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53CE2">
      <w:pPr>
        <w:adjustRightInd w:val="0"/>
        <w:snapToGrid w:val="0"/>
        <w:spacing w:line="560" w:lineRule="exact"/>
        <w:rPr>
          <w:rFonts w:hint="default" w:ascii="Times New Roman" w:hAnsi="Times New Roman" w:eastAsia="仿宋_GB2312" w:cs="Times New Roman"/>
          <w:sz w:val="32"/>
          <w:szCs w:val="32"/>
        </w:rPr>
      </w:pPr>
    </w:p>
    <w:p w14:paraId="3FF1368D">
      <w:pPr>
        <w:adjustRightInd w:val="0"/>
        <w:snapToGrid w:val="0"/>
        <w:spacing w:line="560" w:lineRule="exact"/>
        <w:rPr>
          <w:rFonts w:hint="default" w:ascii="Times New Roman" w:hAnsi="Times New Roman" w:eastAsia="仿宋_GB2312" w:cs="Times New Roman"/>
          <w:sz w:val="32"/>
          <w:szCs w:val="32"/>
        </w:rPr>
      </w:pPr>
    </w:p>
    <w:p w14:paraId="4CD64D7D">
      <w:pPr>
        <w:adjustRightInd w:val="0"/>
        <w:snapToGrid w:val="0"/>
        <w:spacing w:line="560" w:lineRule="exact"/>
        <w:rPr>
          <w:rFonts w:hint="default" w:ascii="Times New Roman" w:hAnsi="Times New Roman" w:eastAsia="仿宋_GB2312" w:cs="Times New Roman"/>
          <w:sz w:val="32"/>
          <w:szCs w:val="32"/>
        </w:rPr>
      </w:pPr>
    </w:p>
    <w:p w14:paraId="4AF09B33">
      <w:pPr>
        <w:adjustRightInd w:val="0"/>
        <w:snapToGrid w:val="0"/>
        <w:spacing w:line="560" w:lineRule="exact"/>
        <w:rPr>
          <w:rFonts w:hint="default" w:ascii="Times New Roman" w:hAnsi="Times New Roman" w:eastAsia="仿宋_GB2312" w:cs="Times New Roman"/>
          <w:sz w:val="32"/>
          <w:szCs w:val="32"/>
        </w:rPr>
      </w:pPr>
    </w:p>
    <w:p w14:paraId="0D9A0B94">
      <w:pPr>
        <w:adjustRightInd w:val="0"/>
        <w:snapToGrid w:val="0"/>
        <w:spacing w:line="560" w:lineRule="exact"/>
        <w:rPr>
          <w:rFonts w:hint="default" w:ascii="Times New Roman" w:hAnsi="Times New Roman" w:eastAsia="仿宋_GB2312" w:cs="Times New Roman"/>
          <w:sz w:val="32"/>
          <w:szCs w:val="32"/>
        </w:rPr>
      </w:pPr>
    </w:p>
    <w:p w14:paraId="11048D95">
      <w:pPr>
        <w:adjustRightInd w:val="0"/>
        <w:snapToGrid w:val="0"/>
        <w:spacing w:line="560" w:lineRule="exact"/>
        <w:rPr>
          <w:rFonts w:hint="default" w:ascii="Times New Roman" w:hAnsi="Times New Roman" w:eastAsia="仿宋_GB2312" w:cs="Times New Roman"/>
          <w:sz w:val="32"/>
          <w:szCs w:val="32"/>
        </w:rPr>
      </w:pPr>
    </w:p>
    <w:p w14:paraId="195BDAA3">
      <w:pPr>
        <w:adjustRightInd w:val="0"/>
        <w:snapToGrid w:val="0"/>
        <w:spacing w:line="560" w:lineRule="exact"/>
        <w:rPr>
          <w:rFonts w:hint="default" w:ascii="Times New Roman" w:hAnsi="Times New Roman" w:eastAsia="仿宋_GB2312" w:cs="Times New Roman"/>
          <w:sz w:val="32"/>
          <w:szCs w:val="32"/>
        </w:rPr>
      </w:pPr>
    </w:p>
    <w:p w14:paraId="3CD11901">
      <w:pPr>
        <w:adjustRightInd w:val="0"/>
        <w:snapToGrid w:val="0"/>
        <w:spacing w:line="560" w:lineRule="exact"/>
        <w:rPr>
          <w:rFonts w:hint="default" w:ascii="Times New Roman" w:hAnsi="Times New Roman" w:eastAsia="仿宋_GB2312" w:cs="Times New Roman"/>
          <w:sz w:val="32"/>
          <w:szCs w:val="32"/>
        </w:rPr>
      </w:pPr>
    </w:p>
    <w:p w14:paraId="57EB4136">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南文体旅〔202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号</w:t>
      </w:r>
    </w:p>
    <w:p w14:paraId="086DE172">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default" w:ascii="Times New Roman" w:hAnsi="Times New Roman" w:eastAsia="仿宋_GB2312" w:cs="Times New Roman"/>
          <w:sz w:val="32"/>
          <w:szCs w:val="32"/>
        </w:rPr>
      </w:pPr>
    </w:p>
    <w:p w14:paraId="014C631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eastAsia="方正小标宋简体"/>
          <w:sz w:val="44"/>
          <w:szCs w:val="44"/>
        </w:rPr>
      </w:pPr>
      <w:bookmarkStart w:id="0" w:name="qfrq"/>
      <w:r>
        <w:rPr>
          <w:rFonts w:eastAsia="方正小标宋简体"/>
          <w:sz w:val="44"/>
          <w:szCs w:val="44"/>
        </w:rPr>
        <w:t>南安市文化体育和旅游局202</w:t>
      </w:r>
      <w:r>
        <w:rPr>
          <w:rFonts w:hint="eastAsia" w:eastAsia="方正小标宋简体"/>
          <w:sz w:val="44"/>
          <w:szCs w:val="44"/>
          <w:lang w:val="en-US" w:eastAsia="zh-CN"/>
        </w:rPr>
        <w:t>5</w:t>
      </w:r>
      <w:r>
        <w:rPr>
          <w:rFonts w:eastAsia="方正小标宋简体"/>
          <w:sz w:val="44"/>
          <w:szCs w:val="44"/>
        </w:rPr>
        <w:t>年政府信息</w:t>
      </w:r>
    </w:p>
    <w:p w14:paraId="2F7D914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eastAsia="方正小标宋简体"/>
          <w:sz w:val="44"/>
          <w:szCs w:val="44"/>
          <w:lang w:eastAsia="zh-CN"/>
        </w:rPr>
      </w:pPr>
      <w:r>
        <w:rPr>
          <w:rFonts w:eastAsia="方正小标宋简体"/>
          <w:sz w:val="44"/>
          <w:szCs w:val="44"/>
        </w:rPr>
        <w:t>公开工作年度报告</w:t>
      </w:r>
    </w:p>
    <w:p w14:paraId="3623B9D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eastAsia="仿宋_GB2312"/>
          <w:sz w:val="32"/>
          <w:szCs w:val="32"/>
        </w:rPr>
      </w:pPr>
    </w:p>
    <w:p w14:paraId="474A7F9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eastAsia="仿宋_GB2312"/>
          <w:sz w:val="32"/>
          <w:szCs w:val="32"/>
        </w:rPr>
      </w:pPr>
      <w:r>
        <w:rPr>
          <w:rFonts w:eastAsia="仿宋_GB2312"/>
          <w:sz w:val="32"/>
          <w:szCs w:val="32"/>
        </w:rPr>
        <w:t>本年报是根据《中华人民共和国政府信息公开条例》《国务院办公厅政府信息与政务公开办公室关于印发〈中华人民共和国政府信息公开工作年度报告格式〉的通知》《福建省政府信息公开办法》等文件要求，由南安市文化体育和旅游局编制而成的。报告全文包括：总体情况、主动公开政府信息情况、收到和处理政府信息公开申请情况、政府信息公开行政复议、行政诉讼情况、存在的主要问题及改进情况、其他需要报告的事项等六个部分。本报告统计数据期限为202</w:t>
      </w:r>
      <w:r>
        <w:rPr>
          <w:rFonts w:hint="eastAsia" w:eastAsia="仿宋_GB2312"/>
          <w:sz w:val="32"/>
          <w:szCs w:val="32"/>
          <w:lang w:val="en-US" w:eastAsia="zh-CN"/>
        </w:rPr>
        <w:t>5</w:t>
      </w:r>
      <w:r>
        <w:rPr>
          <w:rFonts w:eastAsia="仿宋_GB2312"/>
          <w:sz w:val="32"/>
          <w:szCs w:val="32"/>
        </w:rPr>
        <w:t>年1月1日至12月31日。本报告在南安市人民政府门户网站（http：//www.nanan.gov.cn</w:t>
      </w:r>
      <w:r>
        <w:rPr>
          <w:rFonts w:hint="eastAsia" w:eastAsia="仿宋_GB2312"/>
          <w:sz w:val="32"/>
          <w:szCs w:val="32"/>
          <w:lang w:eastAsia="zh-CN"/>
        </w:rPr>
        <w:t>）</w:t>
      </w:r>
      <w:r>
        <w:rPr>
          <w:rFonts w:eastAsia="仿宋_GB2312"/>
          <w:sz w:val="32"/>
          <w:szCs w:val="32"/>
        </w:rPr>
        <w:t>政府信息公开专栏内的</w:t>
      </w:r>
      <w:r>
        <w:rPr>
          <w:rFonts w:hint="eastAsia" w:eastAsia="仿宋_GB2312"/>
          <w:sz w:val="32"/>
          <w:szCs w:val="32"/>
          <w:lang w:eastAsia="zh-CN"/>
        </w:rPr>
        <w:t>“</w:t>
      </w:r>
      <w:r>
        <w:rPr>
          <w:rFonts w:eastAsia="仿宋_GB2312"/>
          <w:sz w:val="32"/>
          <w:szCs w:val="32"/>
        </w:rPr>
        <w:t>信息公开年报</w:t>
      </w:r>
      <w:r>
        <w:rPr>
          <w:rFonts w:hint="eastAsia" w:eastAsia="仿宋_GB2312"/>
          <w:sz w:val="32"/>
          <w:szCs w:val="32"/>
          <w:lang w:eastAsia="zh-CN"/>
        </w:rPr>
        <w:t>”</w:t>
      </w:r>
      <w:r>
        <w:rPr>
          <w:rFonts w:eastAsia="仿宋_GB2312"/>
          <w:sz w:val="32"/>
          <w:szCs w:val="32"/>
        </w:rPr>
        <w:t>栏目中公布。如对本年报有任何疑问，可与南安市文化体育和旅游局办公室联系（地址：南安市美林街道洋美社区加洋425号，邮编：362300，电话：0595-86382411，电子邮箱：</w:t>
      </w:r>
      <w:r>
        <w:fldChar w:fldCharType="begin"/>
      </w:r>
      <w:r>
        <w:instrText xml:space="preserve"> HYPERLINK "mailto:wentiju411@126.com" </w:instrText>
      </w:r>
      <w:r>
        <w:fldChar w:fldCharType="separate"/>
      </w:r>
      <w:r>
        <w:rPr>
          <w:rStyle w:val="24"/>
          <w:rFonts w:eastAsia="仿宋_GB2312"/>
          <w:sz w:val="32"/>
          <w:szCs w:val="32"/>
        </w:rPr>
        <w:t>wentiju411@126.com</w:t>
      </w:r>
      <w:r>
        <w:rPr>
          <w:rStyle w:val="24"/>
          <w:rFonts w:eastAsia="仿宋_GB2312"/>
          <w:sz w:val="32"/>
          <w:szCs w:val="32"/>
        </w:rPr>
        <w:fldChar w:fldCharType="end"/>
      </w:r>
      <w:r>
        <w:rPr>
          <w:rFonts w:eastAsia="仿宋_GB2312"/>
          <w:sz w:val="32"/>
          <w:szCs w:val="32"/>
        </w:rPr>
        <w:t>）。</w:t>
      </w:r>
    </w:p>
    <w:p w14:paraId="4982905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eastAsia="黑体"/>
          <w:sz w:val="32"/>
          <w:szCs w:val="32"/>
        </w:rPr>
      </w:pPr>
      <w:r>
        <w:rPr>
          <w:rFonts w:eastAsia="黑体"/>
          <w:sz w:val="32"/>
          <w:szCs w:val="32"/>
        </w:rPr>
        <w:t>一、总体情况</w:t>
      </w:r>
    </w:p>
    <w:p w14:paraId="007BE81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eastAsia="仿宋_GB2312"/>
          <w:sz w:val="32"/>
          <w:szCs w:val="32"/>
        </w:rPr>
      </w:pPr>
      <w:r>
        <w:rPr>
          <w:rFonts w:eastAsia="仿宋_GB2312"/>
          <w:sz w:val="32"/>
          <w:szCs w:val="32"/>
        </w:rPr>
        <w:t>2025年，</w:t>
      </w:r>
      <w:r>
        <w:rPr>
          <w:rFonts w:hint="eastAsia" w:eastAsia="仿宋_GB2312"/>
          <w:sz w:val="32"/>
          <w:szCs w:val="32"/>
          <w:lang w:eastAsia="zh-CN"/>
        </w:rPr>
        <w:t>我</w:t>
      </w:r>
      <w:r>
        <w:rPr>
          <w:rFonts w:eastAsia="仿宋_GB2312"/>
          <w:sz w:val="32"/>
          <w:szCs w:val="32"/>
        </w:rPr>
        <w:t>局以习近平新时代中国特色社会主义思想为指导，深入贯彻落实党中央、国务院及省、市关于</w:t>
      </w:r>
      <w:r>
        <w:rPr>
          <w:rFonts w:hint="eastAsia" w:eastAsia="仿宋_GB2312"/>
          <w:sz w:val="32"/>
          <w:szCs w:val="32"/>
          <w:lang w:eastAsia="zh-CN"/>
        </w:rPr>
        <w:t>政府信息</w:t>
      </w:r>
      <w:r>
        <w:rPr>
          <w:rFonts w:eastAsia="仿宋_GB2312"/>
          <w:sz w:val="32"/>
          <w:szCs w:val="32"/>
        </w:rPr>
        <w:t>公开工作的决策部署，坚持</w:t>
      </w:r>
      <w:r>
        <w:rPr>
          <w:rFonts w:hint="eastAsia" w:eastAsia="仿宋_GB2312"/>
          <w:sz w:val="32"/>
          <w:szCs w:val="32"/>
          <w:lang w:eastAsia="zh-CN"/>
        </w:rPr>
        <w:t>“</w:t>
      </w:r>
      <w:r>
        <w:rPr>
          <w:rFonts w:eastAsia="仿宋_GB2312"/>
          <w:sz w:val="32"/>
          <w:szCs w:val="32"/>
        </w:rPr>
        <w:t>公开为常态、不公开为例外</w:t>
      </w:r>
      <w:r>
        <w:rPr>
          <w:rFonts w:hint="eastAsia" w:eastAsia="仿宋_GB2312"/>
          <w:sz w:val="32"/>
          <w:szCs w:val="32"/>
          <w:lang w:eastAsia="zh-CN"/>
        </w:rPr>
        <w:t>”的核心</w:t>
      </w:r>
      <w:r>
        <w:rPr>
          <w:rFonts w:eastAsia="仿宋_GB2312"/>
          <w:sz w:val="32"/>
          <w:szCs w:val="32"/>
        </w:rPr>
        <w:t>原则，紧扣文体旅事业高质量发展中心工作，聚焦社会公众关切，全面提升</w:t>
      </w:r>
      <w:r>
        <w:rPr>
          <w:rFonts w:hint="eastAsia" w:eastAsia="仿宋_GB2312"/>
          <w:sz w:val="32"/>
          <w:szCs w:val="32"/>
          <w:lang w:eastAsia="zh-CN"/>
        </w:rPr>
        <w:t>政府信息</w:t>
      </w:r>
      <w:r>
        <w:rPr>
          <w:rFonts w:eastAsia="仿宋_GB2312"/>
          <w:sz w:val="32"/>
          <w:szCs w:val="32"/>
        </w:rPr>
        <w:t>公开标准化、规范化水平。全年</w:t>
      </w:r>
      <w:r>
        <w:rPr>
          <w:rFonts w:hint="eastAsia" w:eastAsia="仿宋_GB2312"/>
          <w:sz w:val="32"/>
          <w:szCs w:val="32"/>
          <w:lang w:eastAsia="zh-CN"/>
        </w:rPr>
        <w:t>政府信息</w:t>
      </w:r>
      <w:r>
        <w:rPr>
          <w:rFonts w:eastAsia="仿宋_GB2312"/>
          <w:sz w:val="32"/>
          <w:szCs w:val="32"/>
        </w:rPr>
        <w:t>公开工作围绕主动公开提质、依申请公开提效、平台建设提优、监督保障强化四大主线推进</w:t>
      </w:r>
      <w:r>
        <w:rPr>
          <w:rFonts w:hint="eastAsia" w:eastAsia="仿宋_GB2312"/>
          <w:sz w:val="32"/>
          <w:szCs w:val="32"/>
          <w:lang w:eastAsia="zh-CN"/>
        </w:rPr>
        <w:t>，</w:t>
      </w:r>
      <w:r>
        <w:rPr>
          <w:rFonts w:eastAsia="仿宋_GB2312"/>
          <w:sz w:val="32"/>
          <w:szCs w:val="32"/>
          <w:lang w:val="en-US" w:eastAsia="zh-CN"/>
        </w:rPr>
        <w:t>全面保障群众知情权、参与权、表达权和监督权落地见效</w:t>
      </w:r>
      <w:r>
        <w:rPr>
          <w:rFonts w:hint="eastAsia" w:eastAsia="仿宋_GB2312"/>
          <w:sz w:val="32"/>
          <w:szCs w:val="32"/>
          <w:lang w:val="en-US" w:eastAsia="zh-CN"/>
        </w:rPr>
        <w:t>。</w:t>
      </w:r>
    </w:p>
    <w:p w14:paraId="07FBCD6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eastAsia="楷体_GB2312"/>
          <w:bCs/>
          <w:sz w:val="32"/>
          <w:szCs w:val="32"/>
        </w:rPr>
      </w:pPr>
      <w:r>
        <w:rPr>
          <w:rFonts w:eastAsia="楷体_GB2312"/>
          <w:bCs/>
          <w:sz w:val="32"/>
          <w:szCs w:val="32"/>
        </w:rPr>
        <w:t>（一）工作总体情况</w:t>
      </w:r>
    </w:p>
    <w:p w14:paraId="230C676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eastAsia="仿宋_GB2312"/>
          <w:sz w:val="32"/>
          <w:szCs w:val="32"/>
          <w:lang w:val="en-US" w:eastAsia="zh-CN"/>
        </w:rPr>
      </w:pPr>
      <w:r>
        <w:rPr>
          <w:rFonts w:eastAsia="仿宋_GB2312"/>
          <w:sz w:val="32"/>
          <w:szCs w:val="32"/>
          <w:lang w:val="en-US" w:eastAsia="zh-CN"/>
        </w:rPr>
        <w:t>我局深入贯彻落实上级关于</w:t>
      </w:r>
      <w:r>
        <w:rPr>
          <w:rFonts w:hint="eastAsia" w:eastAsia="仿宋_GB2312"/>
          <w:sz w:val="32"/>
          <w:szCs w:val="32"/>
          <w:lang w:val="en-US" w:eastAsia="zh-CN"/>
        </w:rPr>
        <w:t>政府信息</w:t>
      </w:r>
      <w:r>
        <w:rPr>
          <w:rFonts w:eastAsia="仿宋_GB2312"/>
          <w:sz w:val="32"/>
          <w:szCs w:val="32"/>
          <w:lang w:val="en-US" w:eastAsia="zh-CN"/>
        </w:rPr>
        <w:t>公开工作的各项要求，以提升公开实效、保障群众知情权为核心，统筹推进</w:t>
      </w:r>
      <w:r>
        <w:rPr>
          <w:rFonts w:hint="eastAsia" w:eastAsia="仿宋_GB2312"/>
          <w:sz w:val="32"/>
          <w:szCs w:val="32"/>
          <w:lang w:val="en-US" w:eastAsia="zh-CN"/>
        </w:rPr>
        <w:t>政府信息</w:t>
      </w:r>
      <w:r>
        <w:rPr>
          <w:rFonts w:eastAsia="仿宋_GB2312"/>
          <w:sz w:val="32"/>
          <w:szCs w:val="32"/>
          <w:lang w:val="en-US" w:eastAsia="zh-CN"/>
        </w:rPr>
        <w:t>公开与业务工作深度融合。通过规范公开流程</w:t>
      </w:r>
      <w:r>
        <w:rPr>
          <w:rFonts w:hint="eastAsia" w:eastAsia="仿宋_GB2312"/>
          <w:sz w:val="32"/>
          <w:szCs w:val="32"/>
          <w:lang w:val="en-US" w:eastAsia="zh-CN"/>
        </w:rPr>
        <w:t>及</w:t>
      </w:r>
      <w:r>
        <w:rPr>
          <w:rFonts w:eastAsia="仿宋_GB2312"/>
          <w:sz w:val="32"/>
          <w:szCs w:val="32"/>
          <w:lang w:val="en-US" w:eastAsia="zh-CN"/>
        </w:rPr>
        <w:t>拓宽公开渠道，全年累计主动公开政府信息</w:t>
      </w:r>
      <w:r>
        <w:rPr>
          <w:rFonts w:hint="eastAsia" w:eastAsia="仿宋_GB2312"/>
          <w:sz w:val="32"/>
          <w:szCs w:val="32"/>
          <w:lang w:val="en-US" w:eastAsia="zh-CN"/>
        </w:rPr>
        <w:t>43</w:t>
      </w:r>
      <w:r>
        <w:rPr>
          <w:rFonts w:eastAsia="仿宋_GB2312"/>
          <w:sz w:val="32"/>
          <w:szCs w:val="32"/>
          <w:lang w:val="en-US" w:eastAsia="zh-CN"/>
        </w:rPr>
        <w:t>条，涵盖政策文件、工作动态、公共服务等重点领域，切实增强</w:t>
      </w:r>
      <w:r>
        <w:rPr>
          <w:rFonts w:hint="eastAsia" w:eastAsia="仿宋_GB2312"/>
          <w:sz w:val="32"/>
          <w:szCs w:val="32"/>
          <w:lang w:val="en-US" w:eastAsia="zh-CN"/>
        </w:rPr>
        <w:t>政府信息</w:t>
      </w:r>
      <w:r>
        <w:rPr>
          <w:rFonts w:eastAsia="仿宋_GB2312"/>
          <w:sz w:val="32"/>
          <w:szCs w:val="32"/>
          <w:lang w:val="en-US" w:eastAsia="zh-CN"/>
        </w:rPr>
        <w:t>公开的针对性和可读性，持续夯实</w:t>
      </w:r>
      <w:r>
        <w:rPr>
          <w:rFonts w:hint="eastAsia" w:eastAsia="仿宋_GB2312"/>
          <w:sz w:val="32"/>
          <w:szCs w:val="32"/>
          <w:lang w:val="en-US" w:eastAsia="zh-CN"/>
        </w:rPr>
        <w:t>政府信息</w:t>
      </w:r>
      <w:r>
        <w:rPr>
          <w:rFonts w:eastAsia="仿宋_GB2312"/>
          <w:sz w:val="32"/>
          <w:szCs w:val="32"/>
          <w:lang w:val="en-US" w:eastAsia="zh-CN"/>
        </w:rPr>
        <w:t>公开工作基础。</w:t>
      </w:r>
    </w:p>
    <w:p w14:paraId="316D458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eastAsia="楷体_GB2312"/>
          <w:bCs/>
          <w:sz w:val="32"/>
          <w:szCs w:val="32"/>
        </w:rPr>
      </w:pPr>
      <w:r>
        <w:rPr>
          <w:rFonts w:eastAsia="楷体_GB2312"/>
          <w:bCs/>
          <w:sz w:val="32"/>
          <w:szCs w:val="32"/>
        </w:rPr>
        <w:t>（二）主动公开情况</w:t>
      </w:r>
    </w:p>
    <w:p w14:paraId="63C5B500">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eastAsia="仿宋_GB2312"/>
          <w:color w:val="000000" w:themeColor="text1"/>
          <w:sz w:val="32"/>
          <w:szCs w:val="32"/>
          <w:lang w:val="en-US" w:eastAsia="zh-CN"/>
        </w:rPr>
      </w:pPr>
      <w:r>
        <w:rPr>
          <w:rFonts w:eastAsia="仿宋_GB2312"/>
          <w:color w:val="000000" w:themeColor="text1"/>
          <w:sz w:val="32"/>
          <w:szCs w:val="32"/>
          <w:lang w:val="en-US" w:eastAsia="zh-CN"/>
        </w:rPr>
        <w:t>我局聚焦文体旅行业重点与群众关切，精准推进政府信息主动公开工作，全年累计公开信息</w:t>
      </w:r>
      <w:r>
        <w:rPr>
          <w:rFonts w:hint="eastAsia" w:eastAsia="仿宋_GB2312"/>
          <w:color w:val="000000" w:themeColor="text1"/>
          <w:sz w:val="32"/>
          <w:szCs w:val="32"/>
          <w:lang w:val="en-US" w:eastAsia="zh-CN"/>
        </w:rPr>
        <w:t>43</w:t>
      </w:r>
      <w:r>
        <w:rPr>
          <w:rFonts w:eastAsia="仿宋_GB2312"/>
          <w:color w:val="000000" w:themeColor="text1"/>
          <w:sz w:val="32"/>
          <w:szCs w:val="32"/>
          <w:lang w:val="en-US" w:eastAsia="zh-CN"/>
        </w:rPr>
        <w:t>条，内容覆盖行业政策解读、文旅活动策划、体育设施建设、财政资金使用、市场监管动态等多个维度，实现公开内容的全方位拓展。严格落实信息发布审核机制，保障全文电子化率、纸质文件归档移交率均达100%。依托线上线下双渠道发力</w:t>
      </w:r>
      <w:r>
        <w:rPr>
          <w:rFonts w:hint="eastAsia" w:eastAsia="仿宋_GB2312"/>
          <w:color w:val="000000" w:themeColor="text1"/>
          <w:sz w:val="32"/>
          <w:szCs w:val="32"/>
          <w:lang w:val="en-US" w:eastAsia="zh-CN"/>
        </w:rPr>
        <w:t>，</w:t>
      </w:r>
      <w:r>
        <w:rPr>
          <w:rFonts w:eastAsia="仿宋_GB2312"/>
          <w:color w:val="000000" w:themeColor="text1"/>
          <w:sz w:val="32"/>
          <w:szCs w:val="32"/>
          <w:lang w:val="en-US" w:eastAsia="zh-CN"/>
        </w:rPr>
        <w:t>通过政务新媒体平台推送便民信息，进一步提升信息公开的便捷性与可及性，切实满足群众的信息获取需求。</w:t>
      </w:r>
    </w:p>
    <w:p w14:paraId="12FE1D7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eastAsia="楷体_GB2312"/>
          <w:bCs/>
          <w:sz w:val="32"/>
          <w:szCs w:val="32"/>
          <w:lang w:val="en-US" w:eastAsia="zh-CN"/>
        </w:rPr>
      </w:pPr>
      <w:r>
        <w:rPr>
          <w:rFonts w:eastAsia="楷体_GB2312"/>
          <w:bCs/>
          <w:sz w:val="32"/>
          <w:szCs w:val="32"/>
          <w:lang w:val="en-US" w:eastAsia="zh-CN"/>
        </w:rPr>
        <w:t>（三）收到和处理政府信息公开申请情况</w:t>
      </w:r>
    </w:p>
    <w:p w14:paraId="7E743F04">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eastAsia="仿宋_GB2312"/>
          <w:sz w:val="32"/>
          <w:szCs w:val="32"/>
        </w:rPr>
      </w:pPr>
      <w:r>
        <w:rPr>
          <w:rFonts w:hint="eastAsia" w:eastAsia="仿宋_GB2312"/>
          <w:color w:val="000000" w:themeColor="text1"/>
          <w:sz w:val="32"/>
          <w:szCs w:val="32"/>
          <w:lang w:val="en-US" w:eastAsia="zh-CN"/>
        </w:rPr>
        <w:t>我局持续做好</w:t>
      </w:r>
      <w:r>
        <w:rPr>
          <w:rFonts w:eastAsia="仿宋_GB2312"/>
          <w:color w:val="000000" w:themeColor="text1"/>
          <w:sz w:val="32"/>
          <w:szCs w:val="32"/>
          <w:lang w:val="en-US" w:eastAsia="zh-CN"/>
        </w:rPr>
        <w:t>规范依申请公开全流程管理，畅通线上线下申请渠道，建立疑难申请会商机制，确保诉求依法依规回应。2025年共接收政府信息公开申请</w:t>
      </w:r>
      <w:r>
        <w:rPr>
          <w:rFonts w:hint="eastAsia" w:eastAsia="仿宋_GB2312"/>
          <w:color w:val="000000" w:themeColor="text1"/>
          <w:sz w:val="32"/>
          <w:szCs w:val="32"/>
          <w:lang w:val="en-US" w:eastAsia="zh-CN"/>
        </w:rPr>
        <w:t>2</w:t>
      </w:r>
      <w:r>
        <w:rPr>
          <w:rFonts w:eastAsia="仿宋_GB2312"/>
          <w:color w:val="000000" w:themeColor="text1"/>
          <w:sz w:val="32"/>
          <w:szCs w:val="32"/>
          <w:lang w:val="en-US" w:eastAsia="zh-CN"/>
        </w:rPr>
        <w:t>件，均在法定时限内办结答复，办结率100%，实现</w:t>
      </w:r>
      <w:r>
        <w:rPr>
          <w:rFonts w:hint="eastAsia" w:eastAsia="仿宋_GB2312"/>
          <w:color w:val="000000" w:themeColor="text1"/>
          <w:sz w:val="32"/>
          <w:szCs w:val="32"/>
          <w:lang w:val="en-US" w:eastAsia="zh-CN"/>
        </w:rPr>
        <w:t>“</w:t>
      </w:r>
      <w:r>
        <w:rPr>
          <w:rFonts w:eastAsia="仿宋_GB2312"/>
          <w:color w:val="000000" w:themeColor="text1"/>
          <w:sz w:val="32"/>
          <w:szCs w:val="32"/>
          <w:lang w:val="en-US" w:eastAsia="zh-CN"/>
        </w:rPr>
        <w:t>件件有回音、事事有着落</w:t>
      </w:r>
      <w:r>
        <w:rPr>
          <w:rFonts w:hint="eastAsia" w:eastAsia="仿宋_GB2312"/>
          <w:color w:val="000000" w:themeColor="text1"/>
          <w:sz w:val="32"/>
          <w:szCs w:val="32"/>
          <w:lang w:val="en-US" w:eastAsia="zh-CN"/>
        </w:rPr>
        <w:t>”</w:t>
      </w:r>
      <w:r>
        <w:rPr>
          <w:rFonts w:eastAsia="仿宋_GB2312"/>
          <w:color w:val="000000" w:themeColor="text1"/>
          <w:sz w:val="32"/>
          <w:szCs w:val="32"/>
          <w:lang w:val="en-US" w:eastAsia="zh-CN"/>
        </w:rPr>
        <w:t>。</w:t>
      </w:r>
    </w:p>
    <w:p w14:paraId="0E3765A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eastAsia="楷体_GB2312"/>
          <w:bCs/>
          <w:sz w:val="32"/>
          <w:szCs w:val="32"/>
        </w:rPr>
      </w:pPr>
      <w:r>
        <w:rPr>
          <w:rFonts w:eastAsia="楷体_GB2312"/>
          <w:bCs/>
          <w:sz w:val="32"/>
          <w:szCs w:val="32"/>
        </w:rPr>
        <w:t>（四）政府信息管理情况</w:t>
      </w:r>
    </w:p>
    <w:p w14:paraId="23DB1156">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eastAsia="仿宋_GB2312"/>
          <w:color w:val="000000" w:themeColor="text1"/>
          <w:sz w:val="32"/>
          <w:szCs w:val="32"/>
          <w:lang w:val="en-US" w:eastAsia="zh-CN"/>
        </w:rPr>
      </w:pPr>
      <w:r>
        <w:rPr>
          <w:rFonts w:hint="eastAsia" w:eastAsia="仿宋_GB2312"/>
          <w:color w:val="000000" w:themeColor="text1"/>
          <w:sz w:val="32"/>
          <w:szCs w:val="32"/>
          <w:lang w:val="en-US" w:eastAsia="zh-CN"/>
        </w:rPr>
        <w:t>完善信息发布“三审三校”制度，健全公文公开属性认定机制，全年制发公文均严格标注公开属性，未发生信息发布失准等问题。动态更新政府信息公开目录，对照文化、旅游、体育领域政府信息公开标准指引，优化公开事项，确保公开内容精准适配公众需求。</w:t>
      </w:r>
    </w:p>
    <w:p w14:paraId="2BAAD15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eastAsia="楷体_GB2312"/>
          <w:bCs/>
          <w:sz w:val="32"/>
          <w:szCs w:val="32"/>
        </w:rPr>
      </w:pPr>
      <w:r>
        <w:rPr>
          <w:rFonts w:eastAsia="楷体_GB2312"/>
          <w:bCs/>
          <w:sz w:val="32"/>
          <w:szCs w:val="32"/>
        </w:rPr>
        <w:t>（五）平台建设情况</w:t>
      </w:r>
    </w:p>
    <w:p w14:paraId="5502B6B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eastAsia="仿宋_GB2312"/>
          <w:sz w:val="32"/>
          <w:szCs w:val="32"/>
        </w:rPr>
      </w:pPr>
      <w:r>
        <w:rPr>
          <w:rFonts w:eastAsia="仿宋_GB2312"/>
          <w:sz w:val="32"/>
          <w:szCs w:val="32"/>
          <w:lang w:val="en-US" w:eastAsia="zh-CN"/>
        </w:rPr>
        <w:t>我局秉持</w:t>
      </w:r>
      <w:r>
        <w:rPr>
          <w:rFonts w:hint="eastAsia" w:eastAsia="仿宋_GB2312"/>
          <w:sz w:val="32"/>
          <w:szCs w:val="32"/>
          <w:lang w:val="en-US" w:eastAsia="zh-CN"/>
        </w:rPr>
        <w:t>“</w:t>
      </w:r>
      <w:r>
        <w:rPr>
          <w:rFonts w:eastAsia="仿宋_GB2312"/>
          <w:sz w:val="32"/>
          <w:szCs w:val="32"/>
          <w:lang w:val="en-US" w:eastAsia="zh-CN"/>
        </w:rPr>
        <w:t>阵地化建设、规范化运维、精准化服务</w:t>
      </w:r>
      <w:r>
        <w:rPr>
          <w:rFonts w:hint="eastAsia" w:eastAsia="仿宋_GB2312"/>
          <w:sz w:val="32"/>
          <w:szCs w:val="32"/>
          <w:lang w:val="en-US" w:eastAsia="zh-CN"/>
        </w:rPr>
        <w:t>”</w:t>
      </w:r>
      <w:r>
        <w:rPr>
          <w:rFonts w:eastAsia="仿宋_GB2312"/>
          <w:sz w:val="32"/>
          <w:szCs w:val="32"/>
          <w:lang w:val="en-US" w:eastAsia="zh-CN"/>
        </w:rPr>
        <w:t>原则，扎实推进</w:t>
      </w:r>
      <w:r>
        <w:rPr>
          <w:rFonts w:hint="eastAsia" w:eastAsia="仿宋_GB2312"/>
          <w:color w:val="000000" w:themeColor="text1"/>
          <w:sz w:val="32"/>
          <w:szCs w:val="32"/>
          <w:lang w:val="en-US" w:eastAsia="zh-CN"/>
        </w:rPr>
        <w:t>政府信息</w:t>
      </w:r>
      <w:r>
        <w:rPr>
          <w:rFonts w:eastAsia="仿宋_GB2312"/>
          <w:sz w:val="32"/>
          <w:szCs w:val="32"/>
          <w:lang w:val="en-US" w:eastAsia="zh-CN"/>
        </w:rPr>
        <w:t>公开平台体系构建。以</w:t>
      </w:r>
      <w:r>
        <w:rPr>
          <w:rFonts w:hint="eastAsia" w:eastAsia="仿宋_GB2312"/>
          <w:sz w:val="32"/>
          <w:szCs w:val="32"/>
          <w:lang w:val="en-US" w:eastAsia="zh-CN"/>
        </w:rPr>
        <w:t>南安</w:t>
      </w:r>
      <w:r>
        <w:rPr>
          <w:rFonts w:eastAsia="仿宋_GB2312"/>
          <w:sz w:val="32"/>
          <w:szCs w:val="32"/>
          <w:lang w:val="en-US" w:eastAsia="zh-CN"/>
        </w:rPr>
        <w:t>市人民政府网站为核心公开阵地，严格落实专栏内容保障机制，常态化开展公开目录动态更新与信息合规性核验，确保文体旅领域</w:t>
      </w:r>
      <w:r>
        <w:rPr>
          <w:rFonts w:hint="eastAsia" w:eastAsia="仿宋_GB2312"/>
          <w:color w:val="000000" w:themeColor="text1"/>
          <w:sz w:val="32"/>
          <w:szCs w:val="32"/>
          <w:lang w:val="en-US" w:eastAsia="zh-CN"/>
        </w:rPr>
        <w:t>政府</w:t>
      </w:r>
      <w:r>
        <w:rPr>
          <w:rFonts w:eastAsia="仿宋_GB2312"/>
          <w:sz w:val="32"/>
          <w:szCs w:val="32"/>
          <w:lang w:val="en-US" w:eastAsia="zh-CN"/>
        </w:rPr>
        <w:t>信息权威发布、精准推送。同步优化政务新媒体矩阵运营，统筹管理</w:t>
      </w:r>
      <w:r>
        <w:rPr>
          <w:rFonts w:eastAsia="仿宋_GB2312"/>
          <w:sz w:val="32"/>
          <w:szCs w:val="32"/>
        </w:rPr>
        <w:t>微信公众号</w:t>
      </w:r>
      <w:r>
        <w:rPr>
          <w:rFonts w:hint="eastAsia" w:eastAsia="仿宋_GB2312"/>
          <w:sz w:val="32"/>
          <w:szCs w:val="32"/>
          <w:lang w:eastAsia="zh-CN"/>
        </w:rPr>
        <w:t>“</w:t>
      </w:r>
      <w:r>
        <w:rPr>
          <w:rFonts w:eastAsia="仿宋_GB2312"/>
          <w:sz w:val="32"/>
          <w:szCs w:val="32"/>
        </w:rPr>
        <w:t>南安文体旅局”、服务号“南安文旅”，抖音号、微信视频号“南安文体旅</w:t>
      </w:r>
      <w:r>
        <w:rPr>
          <w:rFonts w:hint="eastAsia" w:eastAsia="仿宋_GB2312"/>
          <w:sz w:val="32"/>
          <w:szCs w:val="32"/>
          <w:lang w:eastAsia="zh-CN"/>
        </w:rPr>
        <w:t>”</w:t>
      </w:r>
      <w:r>
        <w:rPr>
          <w:rFonts w:eastAsia="仿宋_GB2312"/>
          <w:sz w:val="32"/>
          <w:szCs w:val="32"/>
          <w:lang w:val="en-US" w:eastAsia="zh-CN"/>
        </w:rPr>
        <w:t>等多元平台，聚焦政策解读、行业动态、公共服务等核心内容，创新传播形式、提升内容质量，强化政企社民互动交流。</w:t>
      </w:r>
      <w:r>
        <w:rPr>
          <w:rFonts w:hint="eastAsia" w:eastAsia="仿宋_GB2312"/>
          <w:sz w:val="32"/>
          <w:szCs w:val="32"/>
        </w:rPr>
        <w:t>春节期间，围绕“福见南安·享成功”主题，推出新春嘉年华主题推广，邀请知名演员李菲儿线下打卡南安景点，全网曝光量超1.05亿，微博话题曝光互动量达到7549.3万，全国热点榜单最高位列第四。中秋国庆期间，围绕全市40余场重点活动，联动40余位达人发布推介内容100余篇，打造的抖音话题“去南安追寻一场高甲戏之约”霸榜9天。</w:t>
      </w:r>
    </w:p>
    <w:p w14:paraId="3EE2743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eastAsia="楷体_GB2312"/>
          <w:bCs/>
          <w:sz w:val="32"/>
          <w:szCs w:val="32"/>
        </w:rPr>
      </w:pPr>
      <w:r>
        <w:rPr>
          <w:rFonts w:eastAsia="楷体_GB2312"/>
          <w:bCs/>
          <w:sz w:val="32"/>
          <w:szCs w:val="32"/>
        </w:rPr>
        <w:t>（六）监督保障情况</w:t>
      </w:r>
    </w:p>
    <w:p w14:paraId="7772628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eastAsia="仿宋_GB2312"/>
          <w:sz w:val="32"/>
          <w:szCs w:val="32"/>
          <w:lang w:val="en-US" w:eastAsia="zh-CN"/>
        </w:rPr>
      </w:pPr>
      <w:r>
        <w:rPr>
          <w:rFonts w:hint="eastAsia" w:eastAsia="仿宋_GB2312"/>
          <w:sz w:val="32"/>
          <w:szCs w:val="32"/>
          <w:lang w:val="en-US" w:eastAsia="zh-CN"/>
        </w:rPr>
        <w:t>我局坚持以制度建设为抓手筑牢政府信息公开监督保障防线，明确岗位责任分工，构建起“分管领导牵头、业务科室落实、办公室统筹 ”的工作格局，定期对公开信息的时效性、准确性、合规性开展核查，对发现的问题立行立改。同时，2025年开展政府信息公开业务培训1场，通过专题授课、经验交流等方式提升干部专业素养，切实以严实举措保障政府信息公开工作规范有序推进。</w:t>
      </w:r>
    </w:p>
    <w:p w14:paraId="4872A3FB">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eastAsia="黑体"/>
          <w:sz w:val="32"/>
          <w:szCs w:val="32"/>
        </w:rPr>
      </w:pPr>
      <w:r>
        <w:rPr>
          <w:rFonts w:eastAsia="黑体"/>
          <w:sz w:val="32"/>
          <w:szCs w:val="32"/>
        </w:rPr>
        <w:t>二、主动公开政府信息情况</w:t>
      </w:r>
    </w:p>
    <w:tbl>
      <w:tblPr>
        <w:tblStyle w:val="18"/>
        <w:tblW w:w="5000" w:type="pct"/>
        <w:jc w:val="center"/>
        <w:tblLayout w:type="autofit"/>
        <w:tblCellMar>
          <w:top w:w="0" w:type="dxa"/>
          <w:left w:w="0" w:type="dxa"/>
          <w:bottom w:w="0" w:type="dxa"/>
          <w:right w:w="0" w:type="dxa"/>
        </w:tblCellMar>
      </w:tblPr>
      <w:tblGrid>
        <w:gridCol w:w="2094"/>
        <w:gridCol w:w="2168"/>
        <w:gridCol w:w="2130"/>
        <w:gridCol w:w="2566"/>
      </w:tblGrid>
      <w:tr w14:paraId="6956BABA">
        <w:tblPrEx>
          <w:tblCellMar>
            <w:top w:w="0" w:type="dxa"/>
            <w:left w:w="0" w:type="dxa"/>
            <w:bottom w:w="0" w:type="dxa"/>
            <w:right w:w="0" w:type="dxa"/>
          </w:tblCellMar>
        </w:tblPrEx>
        <w:trPr>
          <w:trHeight w:val="32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5A31F590">
            <w:pPr>
              <w:keepNext w:val="0"/>
              <w:keepLines w:val="0"/>
              <w:pageBreakBefore w:val="0"/>
              <w:widowControl w:val="0"/>
              <w:kinsoku/>
              <w:wordWrap/>
              <w:overflowPunct/>
              <w:topLinePunct w:val="0"/>
              <w:autoSpaceDE/>
              <w:autoSpaceDN/>
              <w:bidi w:val="0"/>
              <w:spacing w:line="400" w:lineRule="exact"/>
              <w:jc w:val="left"/>
              <w:textAlignment w:val="auto"/>
              <w:rPr>
                <w:rFonts w:eastAsia="仿宋_GB2312"/>
                <w:color w:val="000000" w:themeColor="text1"/>
                <w:kern w:val="0"/>
                <w:szCs w:val="21"/>
              </w:rPr>
            </w:pPr>
            <w:r>
              <w:rPr>
                <w:rFonts w:eastAsia="仿宋_GB2312"/>
                <w:color w:val="000000" w:themeColor="text1"/>
                <w:kern w:val="0"/>
                <w:szCs w:val="21"/>
              </w:rPr>
              <w:t>第二十条第（一）项</w:t>
            </w:r>
          </w:p>
        </w:tc>
      </w:tr>
      <w:tr w14:paraId="04F8506D">
        <w:tblPrEx>
          <w:tblCellMar>
            <w:top w:w="0" w:type="dxa"/>
            <w:left w:w="0" w:type="dxa"/>
            <w:bottom w:w="0" w:type="dxa"/>
            <w:right w:w="0" w:type="dxa"/>
          </w:tblCellMar>
        </w:tblPrEx>
        <w:trPr>
          <w:trHeight w:val="340" w:hRule="atLeast"/>
          <w:jc w:val="center"/>
        </w:trPr>
        <w:tc>
          <w:tcPr>
            <w:tcW w:w="1169" w:type="pct"/>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28D15E2C">
            <w:pPr>
              <w:keepNext w:val="0"/>
              <w:keepLines w:val="0"/>
              <w:pageBreakBefore w:val="0"/>
              <w:widowControl w:val="0"/>
              <w:kinsoku/>
              <w:wordWrap/>
              <w:overflowPunct/>
              <w:topLinePunct w:val="0"/>
              <w:autoSpaceDE/>
              <w:autoSpaceDN/>
              <w:bidi w:val="0"/>
              <w:spacing w:line="400" w:lineRule="exact"/>
              <w:jc w:val="left"/>
              <w:textAlignment w:val="auto"/>
              <w:rPr>
                <w:rFonts w:eastAsia="仿宋_GB2312"/>
                <w:color w:val="000000" w:themeColor="text1"/>
                <w:kern w:val="0"/>
                <w:szCs w:val="21"/>
              </w:rPr>
            </w:pPr>
            <w:r>
              <w:rPr>
                <w:rFonts w:eastAsia="仿宋_GB2312"/>
                <w:color w:val="000000" w:themeColor="text1"/>
                <w:kern w:val="0"/>
                <w:szCs w:val="21"/>
              </w:rPr>
              <w:t>信息内容</w:t>
            </w:r>
          </w:p>
        </w:tc>
        <w:tc>
          <w:tcPr>
            <w:tcW w:w="1210" w:type="pct"/>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32912F66">
            <w:pPr>
              <w:keepNext w:val="0"/>
              <w:keepLines w:val="0"/>
              <w:pageBreakBefore w:val="0"/>
              <w:widowControl w:val="0"/>
              <w:kinsoku/>
              <w:wordWrap/>
              <w:overflowPunct/>
              <w:topLinePunct w:val="0"/>
              <w:autoSpaceDE/>
              <w:autoSpaceDN/>
              <w:bidi w:val="0"/>
              <w:spacing w:line="400" w:lineRule="exact"/>
              <w:jc w:val="left"/>
              <w:textAlignment w:val="auto"/>
              <w:rPr>
                <w:rFonts w:eastAsia="仿宋_GB2312"/>
                <w:color w:val="000000" w:themeColor="text1"/>
                <w:kern w:val="0"/>
                <w:szCs w:val="21"/>
              </w:rPr>
            </w:pPr>
            <w:r>
              <w:rPr>
                <w:rFonts w:eastAsia="仿宋_GB2312"/>
                <w:color w:val="000000" w:themeColor="text1"/>
                <w:kern w:val="0"/>
                <w:szCs w:val="21"/>
              </w:rPr>
              <w:t>本年制发件数</w:t>
            </w:r>
          </w:p>
        </w:tc>
        <w:tc>
          <w:tcPr>
            <w:tcW w:w="1189" w:type="pct"/>
            <w:tcBorders>
              <w:top w:val="single" w:color="auto" w:sz="8" w:space="0"/>
              <w:left w:val="nil"/>
              <w:bottom w:val="single" w:color="auto" w:sz="8" w:space="0"/>
              <w:right w:val="single" w:color="auto" w:sz="4" w:space="0"/>
            </w:tcBorders>
            <w:tcMar>
              <w:top w:w="0" w:type="dxa"/>
              <w:left w:w="57" w:type="dxa"/>
              <w:bottom w:w="0" w:type="dxa"/>
              <w:right w:w="57" w:type="dxa"/>
            </w:tcMar>
            <w:vAlign w:val="center"/>
          </w:tcPr>
          <w:p w14:paraId="0DBBD60D">
            <w:pPr>
              <w:keepNext w:val="0"/>
              <w:keepLines w:val="0"/>
              <w:pageBreakBefore w:val="0"/>
              <w:widowControl w:val="0"/>
              <w:kinsoku/>
              <w:wordWrap/>
              <w:overflowPunct/>
              <w:topLinePunct w:val="0"/>
              <w:autoSpaceDE/>
              <w:autoSpaceDN/>
              <w:bidi w:val="0"/>
              <w:spacing w:line="400" w:lineRule="exact"/>
              <w:jc w:val="left"/>
              <w:textAlignment w:val="auto"/>
              <w:rPr>
                <w:rFonts w:eastAsia="仿宋_GB2312"/>
                <w:color w:val="000000" w:themeColor="text1"/>
                <w:kern w:val="0"/>
                <w:szCs w:val="21"/>
              </w:rPr>
            </w:pPr>
            <w:r>
              <w:rPr>
                <w:rFonts w:eastAsia="仿宋_GB2312"/>
                <w:color w:val="000000" w:themeColor="text1"/>
                <w:kern w:val="0"/>
                <w:szCs w:val="21"/>
              </w:rPr>
              <w:t>本年废止件数</w:t>
            </w:r>
          </w:p>
        </w:tc>
        <w:tc>
          <w:tcPr>
            <w:tcW w:w="1430" w:type="pct"/>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3DBBFF3C">
            <w:pPr>
              <w:keepNext w:val="0"/>
              <w:keepLines w:val="0"/>
              <w:pageBreakBefore w:val="0"/>
              <w:widowControl w:val="0"/>
              <w:kinsoku/>
              <w:wordWrap/>
              <w:overflowPunct/>
              <w:topLinePunct w:val="0"/>
              <w:autoSpaceDE/>
              <w:autoSpaceDN/>
              <w:bidi w:val="0"/>
              <w:spacing w:line="400" w:lineRule="exact"/>
              <w:jc w:val="left"/>
              <w:textAlignment w:val="auto"/>
              <w:rPr>
                <w:rFonts w:eastAsia="仿宋_GB2312"/>
                <w:color w:val="000000" w:themeColor="text1"/>
                <w:kern w:val="0"/>
                <w:szCs w:val="21"/>
              </w:rPr>
            </w:pPr>
            <w:r>
              <w:rPr>
                <w:rFonts w:eastAsia="仿宋_GB2312"/>
                <w:color w:val="000000" w:themeColor="text1"/>
                <w:kern w:val="0"/>
                <w:szCs w:val="21"/>
              </w:rPr>
              <w:t>现行有效件数</w:t>
            </w:r>
          </w:p>
        </w:tc>
      </w:tr>
      <w:tr w14:paraId="09D35823">
        <w:tblPrEx>
          <w:tblCellMar>
            <w:top w:w="0" w:type="dxa"/>
            <w:left w:w="0" w:type="dxa"/>
            <w:bottom w:w="0" w:type="dxa"/>
            <w:right w:w="0" w:type="dxa"/>
          </w:tblCellMar>
        </w:tblPrEx>
        <w:trPr>
          <w:trHeight w:val="340" w:hRule="atLeast"/>
          <w:jc w:val="center"/>
        </w:trPr>
        <w:tc>
          <w:tcPr>
            <w:tcW w:w="1169" w:type="pct"/>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5AC02B18">
            <w:pPr>
              <w:keepNext w:val="0"/>
              <w:keepLines w:val="0"/>
              <w:pageBreakBefore w:val="0"/>
              <w:widowControl w:val="0"/>
              <w:kinsoku/>
              <w:wordWrap/>
              <w:overflowPunct/>
              <w:topLinePunct w:val="0"/>
              <w:autoSpaceDE/>
              <w:autoSpaceDN/>
              <w:bidi w:val="0"/>
              <w:spacing w:line="400" w:lineRule="exact"/>
              <w:jc w:val="left"/>
              <w:textAlignment w:val="auto"/>
              <w:rPr>
                <w:rFonts w:eastAsia="仿宋_GB2312"/>
                <w:color w:val="000000" w:themeColor="text1"/>
                <w:kern w:val="0"/>
                <w:szCs w:val="21"/>
              </w:rPr>
            </w:pPr>
            <w:r>
              <w:rPr>
                <w:rFonts w:eastAsia="仿宋_GB2312"/>
                <w:color w:val="000000" w:themeColor="text1"/>
                <w:kern w:val="0"/>
                <w:szCs w:val="21"/>
              </w:rPr>
              <w:t>规章</w:t>
            </w:r>
          </w:p>
        </w:tc>
        <w:tc>
          <w:tcPr>
            <w:tcW w:w="1210" w:type="pct"/>
            <w:tcBorders>
              <w:top w:val="nil"/>
              <w:left w:val="nil"/>
              <w:bottom w:val="single" w:color="auto" w:sz="8" w:space="0"/>
              <w:right w:val="single" w:color="auto" w:sz="8" w:space="0"/>
            </w:tcBorders>
            <w:tcMar>
              <w:top w:w="0" w:type="dxa"/>
              <w:left w:w="57" w:type="dxa"/>
              <w:bottom w:w="0" w:type="dxa"/>
              <w:right w:w="57" w:type="dxa"/>
            </w:tcMar>
            <w:vAlign w:val="center"/>
          </w:tcPr>
          <w:p w14:paraId="47048AD6">
            <w:pPr>
              <w:keepNext w:val="0"/>
              <w:keepLines w:val="0"/>
              <w:pageBreakBefore w:val="0"/>
              <w:widowControl w:val="0"/>
              <w:kinsoku/>
              <w:wordWrap/>
              <w:overflowPunct/>
              <w:topLinePunct w:val="0"/>
              <w:autoSpaceDE/>
              <w:autoSpaceDN/>
              <w:bidi w:val="0"/>
              <w:spacing w:line="400" w:lineRule="exact"/>
              <w:jc w:val="left"/>
              <w:textAlignment w:val="auto"/>
              <w:rPr>
                <w:rFonts w:eastAsia="仿宋_GB2312"/>
                <w:color w:val="000000" w:themeColor="text1"/>
                <w:kern w:val="0"/>
                <w:szCs w:val="21"/>
              </w:rPr>
            </w:pPr>
            <w:r>
              <w:rPr>
                <w:rFonts w:eastAsia="仿宋_GB2312"/>
                <w:color w:val="000000" w:themeColor="text1"/>
                <w:kern w:val="0"/>
                <w:szCs w:val="21"/>
              </w:rPr>
              <w:t>0</w:t>
            </w:r>
          </w:p>
        </w:tc>
        <w:tc>
          <w:tcPr>
            <w:tcW w:w="1189" w:type="pct"/>
            <w:tcBorders>
              <w:top w:val="nil"/>
              <w:left w:val="nil"/>
              <w:bottom w:val="single" w:color="auto" w:sz="8" w:space="0"/>
              <w:right w:val="single" w:color="auto" w:sz="4" w:space="0"/>
            </w:tcBorders>
            <w:tcMar>
              <w:top w:w="0" w:type="dxa"/>
              <w:left w:w="57" w:type="dxa"/>
              <w:bottom w:w="0" w:type="dxa"/>
              <w:right w:w="57" w:type="dxa"/>
            </w:tcMar>
            <w:vAlign w:val="center"/>
          </w:tcPr>
          <w:p w14:paraId="449DDC6B">
            <w:pPr>
              <w:keepNext w:val="0"/>
              <w:keepLines w:val="0"/>
              <w:pageBreakBefore w:val="0"/>
              <w:widowControl w:val="0"/>
              <w:kinsoku/>
              <w:wordWrap/>
              <w:overflowPunct/>
              <w:topLinePunct w:val="0"/>
              <w:autoSpaceDE/>
              <w:autoSpaceDN/>
              <w:bidi w:val="0"/>
              <w:spacing w:line="400" w:lineRule="exact"/>
              <w:jc w:val="left"/>
              <w:textAlignment w:val="auto"/>
              <w:rPr>
                <w:rFonts w:eastAsia="仿宋_GB2312"/>
                <w:color w:val="000000" w:themeColor="text1"/>
                <w:kern w:val="0"/>
                <w:szCs w:val="21"/>
              </w:rPr>
            </w:pPr>
            <w:r>
              <w:rPr>
                <w:rFonts w:eastAsia="仿宋_GB2312"/>
                <w:color w:val="000000" w:themeColor="text1"/>
                <w:kern w:val="0"/>
                <w:szCs w:val="21"/>
              </w:rPr>
              <w:t>0</w:t>
            </w:r>
          </w:p>
        </w:tc>
        <w:tc>
          <w:tcPr>
            <w:tcW w:w="1430" w:type="pct"/>
            <w:tcBorders>
              <w:top w:val="nil"/>
              <w:left w:val="nil"/>
              <w:bottom w:val="single" w:color="auto" w:sz="8" w:space="0"/>
              <w:right w:val="single" w:color="auto" w:sz="8" w:space="0"/>
            </w:tcBorders>
            <w:tcMar>
              <w:top w:w="0" w:type="dxa"/>
              <w:left w:w="57" w:type="dxa"/>
              <w:bottom w:w="0" w:type="dxa"/>
              <w:right w:w="57" w:type="dxa"/>
            </w:tcMar>
            <w:vAlign w:val="center"/>
          </w:tcPr>
          <w:p w14:paraId="0D5C62C7">
            <w:pPr>
              <w:keepNext w:val="0"/>
              <w:keepLines w:val="0"/>
              <w:pageBreakBefore w:val="0"/>
              <w:widowControl w:val="0"/>
              <w:kinsoku/>
              <w:wordWrap/>
              <w:overflowPunct/>
              <w:topLinePunct w:val="0"/>
              <w:autoSpaceDE/>
              <w:autoSpaceDN/>
              <w:bidi w:val="0"/>
              <w:spacing w:line="400" w:lineRule="exact"/>
              <w:jc w:val="left"/>
              <w:textAlignment w:val="auto"/>
              <w:rPr>
                <w:rFonts w:eastAsia="仿宋_GB2312"/>
                <w:color w:val="000000" w:themeColor="text1"/>
                <w:kern w:val="0"/>
                <w:szCs w:val="21"/>
              </w:rPr>
            </w:pPr>
            <w:r>
              <w:rPr>
                <w:rFonts w:eastAsia="仿宋_GB2312"/>
                <w:color w:val="000000" w:themeColor="text1"/>
                <w:szCs w:val="21"/>
              </w:rPr>
              <w:t>0</w:t>
            </w:r>
          </w:p>
        </w:tc>
      </w:tr>
      <w:tr w14:paraId="2B22F841">
        <w:tblPrEx>
          <w:tblCellMar>
            <w:top w:w="0" w:type="dxa"/>
            <w:left w:w="0" w:type="dxa"/>
            <w:bottom w:w="0" w:type="dxa"/>
            <w:right w:w="0" w:type="dxa"/>
          </w:tblCellMar>
        </w:tblPrEx>
        <w:trPr>
          <w:trHeight w:val="340" w:hRule="atLeast"/>
          <w:jc w:val="center"/>
        </w:trPr>
        <w:tc>
          <w:tcPr>
            <w:tcW w:w="1169" w:type="pct"/>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7343A5EB">
            <w:pPr>
              <w:keepNext w:val="0"/>
              <w:keepLines w:val="0"/>
              <w:pageBreakBefore w:val="0"/>
              <w:widowControl w:val="0"/>
              <w:kinsoku/>
              <w:wordWrap/>
              <w:overflowPunct/>
              <w:topLinePunct w:val="0"/>
              <w:autoSpaceDE/>
              <w:autoSpaceDN/>
              <w:bidi w:val="0"/>
              <w:spacing w:line="400" w:lineRule="exact"/>
              <w:jc w:val="left"/>
              <w:textAlignment w:val="auto"/>
              <w:rPr>
                <w:rFonts w:eastAsia="仿宋_GB2312"/>
                <w:color w:val="000000" w:themeColor="text1"/>
                <w:kern w:val="0"/>
                <w:szCs w:val="21"/>
              </w:rPr>
            </w:pPr>
            <w:r>
              <w:rPr>
                <w:rFonts w:eastAsia="仿宋_GB2312"/>
                <w:color w:val="000000" w:themeColor="text1"/>
                <w:kern w:val="0"/>
                <w:szCs w:val="21"/>
              </w:rPr>
              <w:t>行政规范性文件</w:t>
            </w:r>
          </w:p>
        </w:tc>
        <w:tc>
          <w:tcPr>
            <w:tcW w:w="1210" w:type="pct"/>
            <w:tcBorders>
              <w:top w:val="nil"/>
              <w:left w:val="nil"/>
              <w:bottom w:val="single" w:color="auto" w:sz="8" w:space="0"/>
              <w:right w:val="single" w:color="auto" w:sz="8" w:space="0"/>
            </w:tcBorders>
            <w:tcMar>
              <w:top w:w="0" w:type="dxa"/>
              <w:left w:w="57" w:type="dxa"/>
              <w:bottom w:w="0" w:type="dxa"/>
              <w:right w:w="57" w:type="dxa"/>
            </w:tcMar>
            <w:vAlign w:val="center"/>
          </w:tcPr>
          <w:p w14:paraId="37C160CA">
            <w:pPr>
              <w:keepNext w:val="0"/>
              <w:keepLines w:val="0"/>
              <w:pageBreakBefore w:val="0"/>
              <w:widowControl w:val="0"/>
              <w:kinsoku/>
              <w:wordWrap/>
              <w:overflowPunct/>
              <w:topLinePunct w:val="0"/>
              <w:autoSpaceDE/>
              <w:autoSpaceDN/>
              <w:bidi w:val="0"/>
              <w:spacing w:line="400" w:lineRule="exact"/>
              <w:jc w:val="left"/>
              <w:textAlignment w:val="auto"/>
              <w:rPr>
                <w:rFonts w:hint="eastAsia" w:eastAsia="仿宋_GB2312"/>
                <w:color w:val="000000" w:themeColor="text1"/>
                <w:kern w:val="0"/>
                <w:szCs w:val="21"/>
                <w:lang w:val="en-US" w:eastAsia="zh-CN"/>
              </w:rPr>
            </w:pPr>
            <w:r>
              <w:rPr>
                <w:rFonts w:hint="eastAsia" w:eastAsia="仿宋_GB2312"/>
                <w:color w:val="000000" w:themeColor="text1"/>
                <w:kern w:val="0"/>
                <w:szCs w:val="21"/>
                <w:lang w:val="en-US" w:eastAsia="zh-CN"/>
              </w:rPr>
              <w:t>3</w:t>
            </w:r>
          </w:p>
        </w:tc>
        <w:tc>
          <w:tcPr>
            <w:tcW w:w="1189" w:type="pct"/>
            <w:tcBorders>
              <w:top w:val="nil"/>
              <w:left w:val="nil"/>
              <w:bottom w:val="single" w:color="auto" w:sz="8" w:space="0"/>
              <w:right w:val="single" w:color="auto" w:sz="4" w:space="0"/>
            </w:tcBorders>
            <w:tcMar>
              <w:top w:w="0" w:type="dxa"/>
              <w:left w:w="57" w:type="dxa"/>
              <w:bottom w:w="0" w:type="dxa"/>
              <w:right w:w="57" w:type="dxa"/>
            </w:tcMar>
            <w:vAlign w:val="center"/>
          </w:tcPr>
          <w:p w14:paraId="3C020929">
            <w:pPr>
              <w:keepNext w:val="0"/>
              <w:keepLines w:val="0"/>
              <w:pageBreakBefore w:val="0"/>
              <w:widowControl w:val="0"/>
              <w:kinsoku/>
              <w:wordWrap/>
              <w:overflowPunct/>
              <w:topLinePunct w:val="0"/>
              <w:autoSpaceDE/>
              <w:autoSpaceDN/>
              <w:bidi w:val="0"/>
              <w:spacing w:line="400" w:lineRule="exact"/>
              <w:jc w:val="left"/>
              <w:textAlignment w:val="auto"/>
              <w:rPr>
                <w:rFonts w:hint="eastAsia" w:eastAsia="仿宋_GB2312"/>
                <w:color w:val="000000" w:themeColor="text1"/>
                <w:kern w:val="0"/>
                <w:szCs w:val="21"/>
                <w:lang w:val="en-US" w:eastAsia="zh-CN"/>
              </w:rPr>
            </w:pPr>
            <w:r>
              <w:rPr>
                <w:rFonts w:hint="eastAsia" w:eastAsia="仿宋_GB2312"/>
                <w:color w:val="000000" w:themeColor="text1"/>
                <w:kern w:val="0"/>
                <w:szCs w:val="21"/>
                <w:lang w:val="en-US" w:eastAsia="zh-CN"/>
              </w:rPr>
              <w:t>2</w:t>
            </w:r>
          </w:p>
        </w:tc>
        <w:tc>
          <w:tcPr>
            <w:tcW w:w="1430" w:type="pct"/>
            <w:tcBorders>
              <w:top w:val="nil"/>
              <w:left w:val="nil"/>
              <w:bottom w:val="single" w:color="auto" w:sz="8" w:space="0"/>
              <w:right w:val="single" w:color="auto" w:sz="8" w:space="0"/>
            </w:tcBorders>
            <w:tcMar>
              <w:top w:w="0" w:type="dxa"/>
              <w:left w:w="57" w:type="dxa"/>
              <w:bottom w:w="0" w:type="dxa"/>
              <w:right w:w="57" w:type="dxa"/>
            </w:tcMar>
            <w:vAlign w:val="center"/>
          </w:tcPr>
          <w:p w14:paraId="59A723CE">
            <w:pPr>
              <w:keepNext w:val="0"/>
              <w:keepLines w:val="0"/>
              <w:pageBreakBefore w:val="0"/>
              <w:widowControl w:val="0"/>
              <w:kinsoku/>
              <w:wordWrap/>
              <w:overflowPunct/>
              <w:topLinePunct w:val="0"/>
              <w:autoSpaceDE/>
              <w:autoSpaceDN/>
              <w:bidi w:val="0"/>
              <w:spacing w:line="400" w:lineRule="exact"/>
              <w:jc w:val="left"/>
              <w:textAlignment w:val="auto"/>
              <w:rPr>
                <w:rFonts w:hint="eastAsia" w:eastAsia="仿宋_GB2312"/>
                <w:color w:val="000000" w:themeColor="text1"/>
                <w:kern w:val="0"/>
                <w:szCs w:val="21"/>
                <w:lang w:val="en-US" w:eastAsia="zh-CN"/>
              </w:rPr>
            </w:pPr>
            <w:r>
              <w:rPr>
                <w:rFonts w:hint="eastAsia" w:eastAsia="仿宋_GB2312"/>
                <w:color w:val="000000" w:themeColor="text1"/>
                <w:kern w:val="0"/>
                <w:szCs w:val="21"/>
                <w:lang w:val="en-US" w:eastAsia="zh-CN"/>
              </w:rPr>
              <w:t>4</w:t>
            </w:r>
          </w:p>
        </w:tc>
      </w:tr>
      <w:tr w14:paraId="60BAE951">
        <w:tblPrEx>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4D4F8011">
            <w:pPr>
              <w:keepNext w:val="0"/>
              <w:keepLines w:val="0"/>
              <w:pageBreakBefore w:val="0"/>
              <w:widowControl w:val="0"/>
              <w:kinsoku/>
              <w:wordWrap/>
              <w:overflowPunct/>
              <w:topLinePunct w:val="0"/>
              <w:autoSpaceDE/>
              <w:autoSpaceDN/>
              <w:bidi w:val="0"/>
              <w:spacing w:line="400" w:lineRule="exact"/>
              <w:jc w:val="left"/>
              <w:textAlignment w:val="auto"/>
              <w:rPr>
                <w:rFonts w:eastAsia="仿宋_GB2312"/>
                <w:color w:val="000000" w:themeColor="text1"/>
                <w:kern w:val="0"/>
                <w:szCs w:val="21"/>
              </w:rPr>
            </w:pPr>
            <w:r>
              <w:rPr>
                <w:rFonts w:eastAsia="仿宋_GB2312"/>
                <w:color w:val="000000" w:themeColor="text1"/>
                <w:kern w:val="0"/>
                <w:szCs w:val="21"/>
              </w:rPr>
              <w:t>第二十条第（五）项</w:t>
            </w:r>
          </w:p>
        </w:tc>
      </w:tr>
      <w:tr w14:paraId="6D46D01E">
        <w:tblPrEx>
          <w:tblCellMar>
            <w:top w:w="0" w:type="dxa"/>
            <w:left w:w="0" w:type="dxa"/>
            <w:bottom w:w="0" w:type="dxa"/>
            <w:right w:w="0" w:type="dxa"/>
          </w:tblCellMar>
        </w:tblPrEx>
        <w:trPr>
          <w:trHeight w:val="340" w:hRule="atLeast"/>
          <w:jc w:val="center"/>
        </w:trPr>
        <w:tc>
          <w:tcPr>
            <w:tcW w:w="1169" w:type="pct"/>
            <w:tcBorders>
              <w:top w:val="nil"/>
              <w:left w:val="single" w:color="auto" w:sz="8" w:space="0"/>
              <w:bottom w:val="single" w:color="auto" w:sz="8" w:space="0"/>
              <w:right w:val="single" w:color="auto" w:sz="4" w:space="0"/>
            </w:tcBorders>
            <w:tcMar>
              <w:top w:w="0" w:type="dxa"/>
              <w:left w:w="57" w:type="dxa"/>
              <w:bottom w:w="0" w:type="dxa"/>
              <w:right w:w="57" w:type="dxa"/>
            </w:tcMar>
            <w:vAlign w:val="center"/>
          </w:tcPr>
          <w:p w14:paraId="66398E91">
            <w:pPr>
              <w:keepNext w:val="0"/>
              <w:keepLines w:val="0"/>
              <w:pageBreakBefore w:val="0"/>
              <w:widowControl w:val="0"/>
              <w:kinsoku/>
              <w:wordWrap/>
              <w:overflowPunct/>
              <w:topLinePunct w:val="0"/>
              <w:autoSpaceDE/>
              <w:autoSpaceDN/>
              <w:bidi w:val="0"/>
              <w:spacing w:line="400" w:lineRule="exact"/>
              <w:jc w:val="left"/>
              <w:textAlignment w:val="auto"/>
              <w:rPr>
                <w:rFonts w:eastAsia="仿宋_GB2312"/>
                <w:color w:val="000000" w:themeColor="text1"/>
                <w:kern w:val="0"/>
                <w:szCs w:val="21"/>
              </w:rPr>
            </w:pPr>
            <w:r>
              <w:rPr>
                <w:rFonts w:eastAsia="仿宋_GB2312"/>
                <w:color w:val="000000" w:themeColor="text1"/>
                <w:kern w:val="0"/>
                <w:szCs w:val="21"/>
              </w:rPr>
              <w:t>信息内容</w:t>
            </w:r>
          </w:p>
        </w:tc>
        <w:tc>
          <w:tcPr>
            <w:tcW w:w="3830" w:type="pct"/>
            <w:gridSpan w:val="3"/>
            <w:tcBorders>
              <w:top w:val="nil"/>
              <w:left w:val="nil"/>
              <w:bottom w:val="single" w:color="auto" w:sz="8" w:space="0"/>
              <w:right w:val="single" w:color="auto" w:sz="8" w:space="0"/>
            </w:tcBorders>
            <w:tcMar>
              <w:top w:w="0" w:type="dxa"/>
              <w:left w:w="57" w:type="dxa"/>
              <w:bottom w:w="0" w:type="dxa"/>
              <w:right w:w="57" w:type="dxa"/>
            </w:tcMar>
            <w:vAlign w:val="center"/>
          </w:tcPr>
          <w:p w14:paraId="24704BE5">
            <w:pPr>
              <w:keepNext w:val="0"/>
              <w:keepLines w:val="0"/>
              <w:pageBreakBefore w:val="0"/>
              <w:widowControl w:val="0"/>
              <w:kinsoku/>
              <w:wordWrap/>
              <w:overflowPunct/>
              <w:topLinePunct w:val="0"/>
              <w:autoSpaceDE/>
              <w:autoSpaceDN/>
              <w:bidi w:val="0"/>
              <w:spacing w:line="400" w:lineRule="exact"/>
              <w:jc w:val="left"/>
              <w:textAlignment w:val="auto"/>
              <w:rPr>
                <w:rFonts w:eastAsia="仿宋_GB2312"/>
                <w:color w:val="000000" w:themeColor="text1"/>
                <w:kern w:val="0"/>
                <w:szCs w:val="21"/>
              </w:rPr>
            </w:pPr>
            <w:r>
              <w:rPr>
                <w:rFonts w:eastAsia="仿宋_GB2312"/>
                <w:color w:val="000000" w:themeColor="text1"/>
                <w:kern w:val="0"/>
                <w:szCs w:val="21"/>
              </w:rPr>
              <w:t>本年处理决定数量</w:t>
            </w:r>
          </w:p>
        </w:tc>
      </w:tr>
      <w:tr w14:paraId="53785D75">
        <w:tblPrEx>
          <w:tblCellMar>
            <w:top w:w="0" w:type="dxa"/>
            <w:left w:w="0" w:type="dxa"/>
            <w:bottom w:w="0" w:type="dxa"/>
            <w:right w:w="0" w:type="dxa"/>
          </w:tblCellMar>
        </w:tblPrEx>
        <w:trPr>
          <w:trHeight w:val="340" w:hRule="atLeast"/>
          <w:jc w:val="center"/>
        </w:trPr>
        <w:tc>
          <w:tcPr>
            <w:tcW w:w="1169" w:type="pct"/>
            <w:tcBorders>
              <w:top w:val="single" w:color="auto" w:sz="8" w:space="0"/>
              <w:left w:val="single" w:color="auto" w:sz="8" w:space="0"/>
              <w:bottom w:val="single" w:color="auto" w:sz="8" w:space="0"/>
              <w:right w:val="single" w:color="auto" w:sz="4" w:space="0"/>
            </w:tcBorders>
            <w:tcMar>
              <w:top w:w="0" w:type="dxa"/>
              <w:left w:w="57" w:type="dxa"/>
              <w:bottom w:w="0" w:type="dxa"/>
              <w:right w:w="57" w:type="dxa"/>
            </w:tcMar>
            <w:vAlign w:val="center"/>
          </w:tcPr>
          <w:p w14:paraId="21D62A4E">
            <w:pPr>
              <w:keepNext w:val="0"/>
              <w:keepLines w:val="0"/>
              <w:pageBreakBefore w:val="0"/>
              <w:widowControl w:val="0"/>
              <w:kinsoku/>
              <w:wordWrap/>
              <w:overflowPunct/>
              <w:topLinePunct w:val="0"/>
              <w:autoSpaceDE/>
              <w:autoSpaceDN/>
              <w:bidi w:val="0"/>
              <w:spacing w:line="400" w:lineRule="exact"/>
              <w:jc w:val="left"/>
              <w:textAlignment w:val="auto"/>
              <w:rPr>
                <w:rFonts w:eastAsia="仿宋_GB2312"/>
                <w:color w:val="000000" w:themeColor="text1"/>
                <w:kern w:val="0"/>
                <w:szCs w:val="21"/>
              </w:rPr>
            </w:pPr>
            <w:r>
              <w:rPr>
                <w:rFonts w:eastAsia="仿宋_GB2312"/>
                <w:color w:val="000000" w:themeColor="text1"/>
                <w:kern w:val="0"/>
                <w:szCs w:val="21"/>
              </w:rPr>
              <w:t>行政许可</w:t>
            </w:r>
          </w:p>
        </w:tc>
        <w:tc>
          <w:tcPr>
            <w:tcW w:w="3830" w:type="pct"/>
            <w:gridSpan w:val="3"/>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839B672">
            <w:pPr>
              <w:keepNext w:val="0"/>
              <w:keepLines w:val="0"/>
              <w:pageBreakBefore w:val="0"/>
              <w:widowControl w:val="0"/>
              <w:kinsoku/>
              <w:wordWrap/>
              <w:overflowPunct/>
              <w:topLinePunct w:val="0"/>
              <w:autoSpaceDE/>
              <w:autoSpaceDN/>
              <w:bidi w:val="0"/>
              <w:spacing w:line="400" w:lineRule="exact"/>
              <w:jc w:val="left"/>
              <w:textAlignment w:val="auto"/>
              <w:rPr>
                <w:rFonts w:hint="default" w:eastAsia="仿宋_GB2312"/>
                <w:color w:val="000000" w:themeColor="text1"/>
                <w:kern w:val="0"/>
                <w:szCs w:val="21"/>
                <w:lang w:val="en-US" w:eastAsia="zh-CN"/>
              </w:rPr>
            </w:pPr>
            <w:r>
              <w:rPr>
                <w:rFonts w:hint="eastAsia" w:eastAsia="仿宋_GB2312"/>
                <w:color w:val="000000" w:themeColor="text1"/>
                <w:kern w:val="0"/>
                <w:szCs w:val="21"/>
                <w:lang w:val="en-US" w:eastAsia="zh-CN"/>
              </w:rPr>
              <w:t>177</w:t>
            </w:r>
          </w:p>
        </w:tc>
      </w:tr>
      <w:tr w14:paraId="13C2FE6F">
        <w:tblPrEx>
          <w:tblCellMar>
            <w:top w:w="0" w:type="dxa"/>
            <w:left w:w="0" w:type="dxa"/>
            <w:bottom w:w="0" w:type="dxa"/>
            <w:right w:w="0" w:type="dxa"/>
          </w:tblCellMar>
        </w:tblPrEx>
        <w:trPr>
          <w:trHeight w:val="364"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0653F16C">
            <w:pPr>
              <w:keepNext w:val="0"/>
              <w:keepLines w:val="0"/>
              <w:pageBreakBefore w:val="0"/>
              <w:widowControl w:val="0"/>
              <w:kinsoku/>
              <w:wordWrap/>
              <w:overflowPunct/>
              <w:topLinePunct w:val="0"/>
              <w:autoSpaceDE/>
              <w:autoSpaceDN/>
              <w:bidi w:val="0"/>
              <w:spacing w:line="400" w:lineRule="exact"/>
              <w:jc w:val="left"/>
              <w:textAlignment w:val="auto"/>
              <w:rPr>
                <w:rFonts w:eastAsia="仿宋_GB2312"/>
                <w:color w:val="000000" w:themeColor="text1"/>
                <w:kern w:val="0"/>
                <w:szCs w:val="21"/>
              </w:rPr>
            </w:pPr>
            <w:r>
              <w:rPr>
                <w:rFonts w:eastAsia="仿宋_GB2312"/>
                <w:color w:val="000000" w:themeColor="text1"/>
                <w:kern w:val="0"/>
                <w:szCs w:val="21"/>
              </w:rPr>
              <w:t>第二十条第（六）项</w:t>
            </w:r>
          </w:p>
        </w:tc>
      </w:tr>
      <w:tr w14:paraId="10372F79">
        <w:tblPrEx>
          <w:tblCellMar>
            <w:top w:w="0" w:type="dxa"/>
            <w:left w:w="0" w:type="dxa"/>
            <w:bottom w:w="0" w:type="dxa"/>
            <w:right w:w="0" w:type="dxa"/>
          </w:tblCellMar>
        </w:tblPrEx>
        <w:trPr>
          <w:trHeight w:val="340" w:hRule="atLeast"/>
          <w:jc w:val="center"/>
        </w:trPr>
        <w:tc>
          <w:tcPr>
            <w:tcW w:w="1169" w:type="pct"/>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4278F048">
            <w:pPr>
              <w:keepNext w:val="0"/>
              <w:keepLines w:val="0"/>
              <w:pageBreakBefore w:val="0"/>
              <w:widowControl w:val="0"/>
              <w:kinsoku/>
              <w:wordWrap/>
              <w:overflowPunct/>
              <w:topLinePunct w:val="0"/>
              <w:autoSpaceDE/>
              <w:autoSpaceDN/>
              <w:bidi w:val="0"/>
              <w:spacing w:line="400" w:lineRule="exact"/>
              <w:jc w:val="left"/>
              <w:textAlignment w:val="auto"/>
              <w:rPr>
                <w:rFonts w:eastAsia="仿宋_GB2312"/>
                <w:color w:val="000000" w:themeColor="text1"/>
                <w:kern w:val="0"/>
                <w:szCs w:val="21"/>
              </w:rPr>
            </w:pPr>
            <w:r>
              <w:rPr>
                <w:rFonts w:eastAsia="仿宋_GB2312"/>
                <w:color w:val="000000" w:themeColor="text1"/>
                <w:kern w:val="0"/>
                <w:szCs w:val="21"/>
              </w:rPr>
              <w:t>信息内容</w:t>
            </w:r>
          </w:p>
        </w:tc>
        <w:tc>
          <w:tcPr>
            <w:tcW w:w="3830" w:type="pct"/>
            <w:gridSpan w:val="3"/>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76C9BDB">
            <w:pPr>
              <w:keepNext w:val="0"/>
              <w:keepLines w:val="0"/>
              <w:pageBreakBefore w:val="0"/>
              <w:widowControl w:val="0"/>
              <w:kinsoku/>
              <w:wordWrap/>
              <w:overflowPunct/>
              <w:topLinePunct w:val="0"/>
              <w:autoSpaceDE/>
              <w:autoSpaceDN/>
              <w:bidi w:val="0"/>
              <w:spacing w:line="400" w:lineRule="exact"/>
              <w:jc w:val="left"/>
              <w:textAlignment w:val="auto"/>
              <w:rPr>
                <w:rFonts w:eastAsia="仿宋_GB2312"/>
                <w:color w:val="000000" w:themeColor="text1"/>
                <w:kern w:val="0"/>
                <w:szCs w:val="21"/>
              </w:rPr>
            </w:pPr>
            <w:r>
              <w:rPr>
                <w:rFonts w:eastAsia="仿宋_GB2312"/>
                <w:color w:val="000000" w:themeColor="text1"/>
                <w:kern w:val="0"/>
                <w:szCs w:val="21"/>
              </w:rPr>
              <w:t>本年处理决定数量</w:t>
            </w:r>
          </w:p>
        </w:tc>
      </w:tr>
      <w:tr w14:paraId="1AA8A64E">
        <w:tblPrEx>
          <w:tblCellMar>
            <w:top w:w="0" w:type="dxa"/>
            <w:left w:w="0" w:type="dxa"/>
            <w:bottom w:w="0" w:type="dxa"/>
            <w:right w:w="0" w:type="dxa"/>
          </w:tblCellMar>
        </w:tblPrEx>
        <w:trPr>
          <w:trHeight w:val="340" w:hRule="atLeast"/>
          <w:jc w:val="center"/>
        </w:trPr>
        <w:tc>
          <w:tcPr>
            <w:tcW w:w="1169" w:type="pct"/>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599A49B0">
            <w:pPr>
              <w:keepNext w:val="0"/>
              <w:keepLines w:val="0"/>
              <w:pageBreakBefore w:val="0"/>
              <w:widowControl w:val="0"/>
              <w:kinsoku/>
              <w:wordWrap/>
              <w:overflowPunct/>
              <w:topLinePunct w:val="0"/>
              <w:autoSpaceDE/>
              <w:autoSpaceDN/>
              <w:bidi w:val="0"/>
              <w:spacing w:line="400" w:lineRule="exact"/>
              <w:jc w:val="left"/>
              <w:textAlignment w:val="auto"/>
              <w:rPr>
                <w:rFonts w:eastAsia="仿宋_GB2312"/>
                <w:color w:val="000000" w:themeColor="text1"/>
                <w:kern w:val="0"/>
                <w:szCs w:val="21"/>
              </w:rPr>
            </w:pPr>
            <w:r>
              <w:rPr>
                <w:rFonts w:eastAsia="仿宋_GB2312"/>
                <w:color w:val="000000" w:themeColor="text1"/>
                <w:kern w:val="0"/>
                <w:szCs w:val="21"/>
              </w:rPr>
              <w:t>行政处罚</w:t>
            </w:r>
          </w:p>
        </w:tc>
        <w:tc>
          <w:tcPr>
            <w:tcW w:w="3830" w:type="pct"/>
            <w:gridSpan w:val="3"/>
            <w:tcBorders>
              <w:top w:val="nil"/>
              <w:left w:val="nil"/>
              <w:bottom w:val="single" w:color="auto" w:sz="8" w:space="0"/>
              <w:right w:val="single" w:color="auto" w:sz="8" w:space="0"/>
            </w:tcBorders>
            <w:tcMar>
              <w:top w:w="0" w:type="dxa"/>
              <w:left w:w="57" w:type="dxa"/>
              <w:bottom w:w="0" w:type="dxa"/>
              <w:right w:w="57" w:type="dxa"/>
            </w:tcMar>
            <w:vAlign w:val="center"/>
          </w:tcPr>
          <w:p w14:paraId="7FEF526B">
            <w:pPr>
              <w:keepNext w:val="0"/>
              <w:keepLines w:val="0"/>
              <w:pageBreakBefore w:val="0"/>
              <w:widowControl w:val="0"/>
              <w:kinsoku/>
              <w:wordWrap/>
              <w:overflowPunct/>
              <w:topLinePunct w:val="0"/>
              <w:autoSpaceDE/>
              <w:autoSpaceDN/>
              <w:bidi w:val="0"/>
              <w:spacing w:line="400" w:lineRule="exact"/>
              <w:jc w:val="left"/>
              <w:textAlignment w:val="auto"/>
              <w:rPr>
                <w:rFonts w:hint="eastAsia" w:eastAsia="仿宋_GB2312"/>
                <w:color w:val="000000" w:themeColor="text1"/>
                <w:kern w:val="0"/>
                <w:szCs w:val="21"/>
                <w:lang w:val="en-US" w:eastAsia="zh-CN"/>
              </w:rPr>
            </w:pPr>
            <w:r>
              <w:rPr>
                <w:rFonts w:hint="eastAsia" w:eastAsia="仿宋_GB2312"/>
                <w:color w:val="000000" w:themeColor="text1"/>
                <w:kern w:val="0"/>
                <w:szCs w:val="21"/>
              </w:rPr>
              <w:t>1</w:t>
            </w:r>
            <w:r>
              <w:rPr>
                <w:rFonts w:hint="eastAsia" w:eastAsia="仿宋_GB2312"/>
                <w:color w:val="000000" w:themeColor="text1"/>
                <w:kern w:val="0"/>
                <w:szCs w:val="21"/>
                <w:lang w:val="en-US" w:eastAsia="zh-CN"/>
              </w:rPr>
              <w:t>1</w:t>
            </w:r>
          </w:p>
        </w:tc>
      </w:tr>
      <w:tr w14:paraId="2570EFEF">
        <w:tblPrEx>
          <w:tblCellMar>
            <w:top w:w="0" w:type="dxa"/>
            <w:left w:w="0" w:type="dxa"/>
            <w:bottom w:w="0" w:type="dxa"/>
            <w:right w:w="0" w:type="dxa"/>
          </w:tblCellMar>
        </w:tblPrEx>
        <w:trPr>
          <w:trHeight w:val="340" w:hRule="atLeast"/>
          <w:jc w:val="center"/>
        </w:trPr>
        <w:tc>
          <w:tcPr>
            <w:tcW w:w="1169" w:type="pct"/>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66D85A7C">
            <w:pPr>
              <w:keepNext w:val="0"/>
              <w:keepLines w:val="0"/>
              <w:pageBreakBefore w:val="0"/>
              <w:widowControl w:val="0"/>
              <w:kinsoku/>
              <w:wordWrap/>
              <w:overflowPunct/>
              <w:topLinePunct w:val="0"/>
              <w:autoSpaceDE/>
              <w:autoSpaceDN/>
              <w:bidi w:val="0"/>
              <w:spacing w:line="400" w:lineRule="exact"/>
              <w:jc w:val="left"/>
              <w:textAlignment w:val="auto"/>
              <w:rPr>
                <w:rFonts w:eastAsia="仿宋_GB2312"/>
                <w:color w:val="000000" w:themeColor="text1"/>
                <w:kern w:val="0"/>
                <w:szCs w:val="21"/>
              </w:rPr>
            </w:pPr>
            <w:r>
              <w:rPr>
                <w:rFonts w:eastAsia="仿宋_GB2312"/>
                <w:color w:val="000000" w:themeColor="text1"/>
                <w:kern w:val="0"/>
                <w:szCs w:val="21"/>
              </w:rPr>
              <w:t>行政强制</w:t>
            </w:r>
          </w:p>
        </w:tc>
        <w:tc>
          <w:tcPr>
            <w:tcW w:w="3830" w:type="pct"/>
            <w:gridSpan w:val="3"/>
            <w:tcBorders>
              <w:top w:val="nil"/>
              <w:left w:val="nil"/>
              <w:bottom w:val="single" w:color="auto" w:sz="8" w:space="0"/>
              <w:right w:val="single" w:color="auto" w:sz="8" w:space="0"/>
            </w:tcBorders>
            <w:tcMar>
              <w:top w:w="0" w:type="dxa"/>
              <w:left w:w="57" w:type="dxa"/>
              <w:bottom w:w="0" w:type="dxa"/>
              <w:right w:w="57" w:type="dxa"/>
            </w:tcMar>
            <w:vAlign w:val="center"/>
          </w:tcPr>
          <w:p w14:paraId="53467167">
            <w:pPr>
              <w:keepNext w:val="0"/>
              <w:keepLines w:val="0"/>
              <w:pageBreakBefore w:val="0"/>
              <w:widowControl w:val="0"/>
              <w:kinsoku/>
              <w:wordWrap/>
              <w:overflowPunct/>
              <w:topLinePunct w:val="0"/>
              <w:autoSpaceDE/>
              <w:autoSpaceDN/>
              <w:bidi w:val="0"/>
              <w:spacing w:line="400" w:lineRule="exact"/>
              <w:jc w:val="left"/>
              <w:textAlignment w:val="auto"/>
              <w:rPr>
                <w:rFonts w:eastAsia="仿宋_GB2312"/>
                <w:color w:val="000000" w:themeColor="text1"/>
                <w:kern w:val="0"/>
                <w:szCs w:val="21"/>
              </w:rPr>
            </w:pPr>
            <w:r>
              <w:rPr>
                <w:rFonts w:eastAsia="仿宋_GB2312"/>
                <w:color w:val="000000" w:themeColor="text1"/>
                <w:kern w:val="0"/>
                <w:szCs w:val="21"/>
              </w:rPr>
              <w:t>0</w:t>
            </w:r>
          </w:p>
        </w:tc>
      </w:tr>
      <w:tr w14:paraId="5FC3F328">
        <w:tblPrEx>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656F65AB">
            <w:pPr>
              <w:keepNext w:val="0"/>
              <w:keepLines w:val="0"/>
              <w:pageBreakBefore w:val="0"/>
              <w:widowControl w:val="0"/>
              <w:kinsoku/>
              <w:wordWrap/>
              <w:overflowPunct/>
              <w:topLinePunct w:val="0"/>
              <w:autoSpaceDE/>
              <w:autoSpaceDN/>
              <w:bidi w:val="0"/>
              <w:spacing w:line="400" w:lineRule="exact"/>
              <w:jc w:val="left"/>
              <w:textAlignment w:val="auto"/>
              <w:rPr>
                <w:rFonts w:eastAsia="仿宋_GB2312"/>
                <w:color w:val="000000" w:themeColor="text1"/>
                <w:kern w:val="0"/>
                <w:szCs w:val="21"/>
              </w:rPr>
            </w:pPr>
            <w:r>
              <w:rPr>
                <w:rFonts w:eastAsia="仿宋_GB2312"/>
                <w:color w:val="000000" w:themeColor="text1"/>
                <w:kern w:val="0"/>
                <w:szCs w:val="21"/>
              </w:rPr>
              <w:t>第二十条第（八）项</w:t>
            </w:r>
          </w:p>
        </w:tc>
      </w:tr>
      <w:tr w14:paraId="2141B9E2">
        <w:tblPrEx>
          <w:tblCellMar>
            <w:top w:w="0" w:type="dxa"/>
            <w:left w:w="0" w:type="dxa"/>
            <w:bottom w:w="0" w:type="dxa"/>
            <w:right w:w="0" w:type="dxa"/>
          </w:tblCellMar>
        </w:tblPrEx>
        <w:trPr>
          <w:trHeight w:val="315" w:hRule="atLeast"/>
          <w:jc w:val="center"/>
        </w:trPr>
        <w:tc>
          <w:tcPr>
            <w:tcW w:w="1169" w:type="pct"/>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2FF2318C">
            <w:pPr>
              <w:keepNext w:val="0"/>
              <w:keepLines w:val="0"/>
              <w:pageBreakBefore w:val="0"/>
              <w:widowControl w:val="0"/>
              <w:kinsoku/>
              <w:wordWrap/>
              <w:overflowPunct/>
              <w:topLinePunct w:val="0"/>
              <w:autoSpaceDE/>
              <w:autoSpaceDN/>
              <w:bidi w:val="0"/>
              <w:spacing w:line="400" w:lineRule="exact"/>
              <w:jc w:val="left"/>
              <w:textAlignment w:val="auto"/>
              <w:rPr>
                <w:rFonts w:eastAsia="仿宋_GB2312"/>
                <w:color w:val="000000" w:themeColor="text1"/>
                <w:kern w:val="0"/>
                <w:szCs w:val="21"/>
              </w:rPr>
            </w:pPr>
            <w:r>
              <w:rPr>
                <w:rFonts w:eastAsia="仿宋_GB2312"/>
                <w:color w:val="000000" w:themeColor="text1"/>
                <w:kern w:val="0"/>
                <w:szCs w:val="21"/>
              </w:rPr>
              <w:t>信息内容</w:t>
            </w:r>
          </w:p>
        </w:tc>
        <w:tc>
          <w:tcPr>
            <w:tcW w:w="3830" w:type="pct"/>
            <w:gridSpan w:val="3"/>
            <w:tcBorders>
              <w:top w:val="nil"/>
              <w:left w:val="nil"/>
              <w:bottom w:val="single" w:color="auto" w:sz="8" w:space="0"/>
              <w:right w:val="single" w:color="000000" w:sz="8" w:space="0"/>
            </w:tcBorders>
            <w:tcMar>
              <w:top w:w="0" w:type="dxa"/>
              <w:left w:w="57" w:type="dxa"/>
              <w:bottom w:w="0" w:type="dxa"/>
              <w:right w:w="57" w:type="dxa"/>
            </w:tcMar>
            <w:vAlign w:val="center"/>
          </w:tcPr>
          <w:p w14:paraId="1695C4B7">
            <w:pPr>
              <w:keepNext w:val="0"/>
              <w:keepLines w:val="0"/>
              <w:pageBreakBefore w:val="0"/>
              <w:widowControl w:val="0"/>
              <w:kinsoku/>
              <w:wordWrap/>
              <w:overflowPunct/>
              <w:topLinePunct w:val="0"/>
              <w:autoSpaceDE/>
              <w:autoSpaceDN/>
              <w:bidi w:val="0"/>
              <w:spacing w:line="400" w:lineRule="exact"/>
              <w:jc w:val="left"/>
              <w:textAlignment w:val="auto"/>
              <w:rPr>
                <w:rFonts w:eastAsia="仿宋_GB2312"/>
                <w:color w:val="000000" w:themeColor="text1"/>
                <w:kern w:val="0"/>
                <w:szCs w:val="21"/>
              </w:rPr>
            </w:pPr>
            <w:r>
              <w:rPr>
                <w:rFonts w:eastAsia="仿宋_GB2312"/>
                <w:color w:val="000000" w:themeColor="text1"/>
                <w:kern w:val="0"/>
                <w:szCs w:val="21"/>
              </w:rPr>
              <w:t>本年收费金额（单位：万元）</w:t>
            </w:r>
          </w:p>
        </w:tc>
      </w:tr>
      <w:tr w14:paraId="000DC63C">
        <w:tblPrEx>
          <w:tblCellMar>
            <w:top w:w="0" w:type="dxa"/>
            <w:left w:w="0" w:type="dxa"/>
            <w:bottom w:w="0" w:type="dxa"/>
            <w:right w:w="0" w:type="dxa"/>
          </w:tblCellMar>
        </w:tblPrEx>
        <w:trPr>
          <w:trHeight w:val="340" w:hRule="atLeast"/>
          <w:jc w:val="center"/>
        </w:trPr>
        <w:tc>
          <w:tcPr>
            <w:tcW w:w="1169" w:type="pct"/>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628E6177">
            <w:pPr>
              <w:keepNext w:val="0"/>
              <w:keepLines w:val="0"/>
              <w:pageBreakBefore w:val="0"/>
              <w:widowControl w:val="0"/>
              <w:kinsoku/>
              <w:wordWrap/>
              <w:overflowPunct/>
              <w:topLinePunct w:val="0"/>
              <w:autoSpaceDE/>
              <w:autoSpaceDN/>
              <w:bidi w:val="0"/>
              <w:spacing w:line="400" w:lineRule="exact"/>
              <w:jc w:val="left"/>
              <w:textAlignment w:val="auto"/>
              <w:rPr>
                <w:rFonts w:eastAsia="仿宋_GB2312"/>
                <w:color w:val="000000" w:themeColor="text1"/>
                <w:kern w:val="0"/>
                <w:szCs w:val="21"/>
              </w:rPr>
            </w:pPr>
            <w:r>
              <w:rPr>
                <w:rFonts w:eastAsia="仿宋_GB2312"/>
                <w:color w:val="000000" w:themeColor="text1"/>
                <w:kern w:val="0"/>
                <w:szCs w:val="21"/>
              </w:rPr>
              <w:t>行政事业性收费</w:t>
            </w:r>
          </w:p>
        </w:tc>
        <w:tc>
          <w:tcPr>
            <w:tcW w:w="3830" w:type="pct"/>
            <w:gridSpan w:val="3"/>
            <w:tcBorders>
              <w:top w:val="nil"/>
              <w:left w:val="nil"/>
              <w:bottom w:val="single" w:color="auto" w:sz="8" w:space="0"/>
              <w:right w:val="single" w:color="000000" w:sz="8" w:space="0"/>
            </w:tcBorders>
            <w:tcMar>
              <w:top w:w="0" w:type="dxa"/>
              <w:left w:w="57" w:type="dxa"/>
              <w:bottom w:w="0" w:type="dxa"/>
              <w:right w:w="57" w:type="dxa"/>
            </w:tcMar>
            <w:vAlign w:val="center"/>
          </w:tcPr>
          <w:p w14:paraId="7AAC04F5">
            <w:pPr>
              <w:keepNext w:val="0"/>
              <w:keepLines w:val="0"/>
              <w:pageBreakBefore w:val="0"/>
              <w:widowControl w:val="0"/>
              <w:kinsoku/>
              <w:wordWrap/>
              <w:overflowPunct/>
              <w:topLinePunct w:val="0"/>
              <w:autoSpaceDE/>
              <w:autoSpaceDN/>
              <w:bidi w:val="0"/>
              <w:spacing w:line="400" w:lineRule="exact"/>
              <w:jc w:val="left"/>
              <w:textAlignment w:val="auto"/>
              <w:rPr>
                <w:rFonts w:eastAsia="仿宋_GB2312"/>
                <w:color w:val="000000" w:themeColor="text1"/>
                <w:kern w:val="0"/>
                <w:szCs w:val="21"/>
              </w:rPr>
            </w:pPr>
            <w:r>
              <w:rPr>
                <w:rFonts w:eastAsia="仿宋_GB2312"/>
                <w:color w:val="000000" w:themeColor="text1"/>
                <w:kern w:val="0"/>
                <w:szCs w:val="21"/>
              </w:rPr>
              <w:t>0</w:t>
            </w:r>
          </w:p>
        </w:tc>
      </w:tr>
    </w:tbl>
    <w:p w14:paraId="1A2B61F8">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eastAsia="黑体"/>
          <w:sz w:val="32"/>
          <w:szCs w:val="32"/>
        </w:rPr>
      </w:pPr>
      <w:r>
        <w:rPr>
          <w:rFonts w:eastAsia="黑体"/>
          <w:sz w:val="32"/>
          <w:szCs w:val="32"/>
        </w:rPr>
        <w:t>三、收到和处理政府信息公开申请情况</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695"/>
        <w:gridCol w:w="848"/>
        <w:gridCol w:w="3012"/>
        <w:gridCol w:w="634"/>
        <w:gridCol w:w="634"/>
        <w:gridCol w:w="634"/>
        <w:gridCol w:w="634"/>
        <w:gridCol w:w="634"/>
        <w:gridCol w:w="642"/>
        <w:gridCol w:w="640"/>
      </w:tblGrid>
      <w:tr w14:paraId="482CB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529" w:type="pct"/>
            <w:gridSpan w:val="3"/>
            <w:vMerge w:val="restart"/>
            <w:tcMar>
              <w:top w:w="0" w:type="dxa"/>
              <w:left w:w="108" w:type="dxa"/>
              <w:bottom w:w="0" w:type="dxa"/>
              <w:right w:w="108" w:type="dxa"/>
            </w:tcMar>
            <w:vAlign w:val="center"/>
          </w:tcPr>
          <w:p w14:paraId="02335D18">
            <w:pPr>
              <w:keepNext w:val="0"/>
              <w:keepLines w:val="0"/>
              <w:pageBreakBefore w:val="0"/>
              <w:widowControl w:val="0"/>
              <w:kinsoku/>
              <w:wordWrap/>
              <w:overflowPunct/>
              <w:topLinePunct w:val="0"/>
              <w:autoSpaceDE/>
              <w:autoSpaceDN/>
              <w:bidi w:val="0"/>
              <w:spacing w:line="560" w:lineRule="exact"/>
              <w:jc w:val="both"/>
              <w:textAlignment w:val="auto"/>
              <w:rPr>
                <w:rFonts w:eastAsia="仿宋_GB2312"/>
                <w:color w:val="000000" w:themeColor="text1"/>
                <w:kern w:val="0"/>
                <w:sz w:val="24"/>
              </w:rPr>
            </w:pPr>
            <w:r>
              <w:rPr>
                <w:rFonts w:eastAsia="仿宋_GB2312"/>
                <w:color w:val="000000" w:themeColor="text1"/>
                <w:kern w:val="0"/>
                <w:sz w:val="24"/>
              </w:rPr>
              <w:t>（本列数据的勾稽关系为：第一项加第二项之和，等于第三项加第四项之和）</w:t>
            </w:r>
          </w:p>
        </w:tc>
        <w:tc>
          <w:tcPr>
            <w:tcW w:w="2470" w:type="pct"/>
            <w:gridSpan w:val="7"/>
            <w:vAlign w:val="center"/>
          </w:tcPr>
          <w:p w14:paraId="0CA82634">
            <w:pPr>
              <w:keepNext w:val="0"/>
              <w:keepLines w:val="0"/>
              <w:pageBreakBefore w:val="0"/>
              <w:widowControl w:val="0"/>
              <w:kinsoku/>
              <w:wordWrap/>
              <w:overflowPunct/>
              <w:topLinePunct w:val="0"/>
              <w:autoSpaceDE/>
              <w:autoSpaceDN/>
              <w:bidi w:val="0"/>
              <w:spacing w:line="560" w:lineRule="exact"/>
              <w:jc w:val="both"/>
              <w:textAlignment w:val="auto"/>
              <w:rPr>
                <w:rFonts w:eastAsia="仿宋_GB2312"/>
                <w:color w:val="000000" w:themeColor="text1"/>
                <w:kern w:val="0"/>
                <w:szCs w:val="21"/>
              </w:rPr>
            </w:pPr>
            <w:r>
              <w:rPr>
                <w:rFonts w:eastAsia="仿宋_GB2312"/>
                <w:color w:val="000000" w:themeColor="text1"/>
                <w:kern w:val="0"/>
                <w:szCs w:val="21"/>
              </w:rPr>
              <w:t>申请人情况</w:t>
            </w:r>
          </w:p>
        </w:tc>
      </w:tr>
      <w:tr w14:paraId="3ED09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529" w:type="pct"/>
            <w:gridSpan w:val="3"/>
            <w:vMerge w:val="continue"/>
            <w:vAlign w:val="center"/>
          </w:tcPr>
          <w:p w14:paraId="2CAD18E6">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p>
        </w:tc>
        <w:tc>
          <w:tcPr>
            <w:tcW w:w="352" w:type="pct"/>
            <w:vMerge w:val="restart"/>
            <w:vAlign w:val="center"/>
          </w:tcPr>
          <w:p w14:paraId="1BB34D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eastAsia="仿宋_GB2312"/>
                <w:color w:val="000000" w:themeColor="text1"/>
                <w:kern w:val="0"/>
                <w:szCs w:val="21"/>
              </w:rPr>
            </w:pPr>
            <w:r>
              <w:rPr>
                <w:rFonts w:eastAsia="仿宋_GB2312"/>
                <w:color w:val="000000" w:themeColor="text1"/>
                <w:kern w:val="0"/>
                <w:szCs w:val="21"/>
              </w:rPr>
              <w:t>自然人</w:t>
            </w:r>
          </w:p>
        </w:tc>
        <w:tc>
          <w:tcPr>
            <w:tcW w:w="1764" w:type="pct"/>
            <w:gridSpan w:val="5"/>
            <w:vAlign w:val="center"/>
          </w:tcPr>
          <w:p w14:paraId="000835E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eastAsia="仿宋_GB2312"/>
                <w:color w:val="000000" w:themeColor="text1"/>
                <w:kern w:val="0"/>
                <w:szCs w:val="21"/>
              </w:rPr>
            </w:pPr>
            <w:r>
              <w:rPr>
                <w:rFonts w:eastAsia="仿宋_GB2312"/>
                <w:color w:val="000000" w:themeColor="text1"/>
                <w:kern w:val="0"/>
                <w:szCs w:val="21"/>
              </w:rPr>
              <w:t>法人或其他组织</w:t>
            </w:r>
          </w:p>
        </w:tc>
        <w:tc>
          <w:tcPr>
            <w:tcW w:w="353" w:type="pct"/>
            <w:vMerge w:val="restart"/>
            <w:vAlign w:val="center"/>
          </w:tcPr>
          <w:p w14:paraId="309D7904">
            <w:pPr>
              <w:keepNext w:val="0"/>
              <w:keepLines w:val="0"/>
              <w:pageBreakBefore w:val="0"/>
              <w:widowControl w:val="0"/>
              <w:kinsoku/>
              <w:wordWrap/>
              <w:overflowPunct/>
              <w:topLinePunct w:val="0"/>
              <w:autoSpaceDE/>
              <w:autoSpaceDN/>
              <w:bidi w:val="0"/>
              <w:spacing w:line="560" w:lineRule="exact"/>
              <w:jc w:val="center"/>
              <w:textAlignment w:val="auto"/>
              <w:rPr>
                <w:rFonts w:eastAsia="仿宋_GB2312"/>
                <w:color w:val="000000" w:themeColor="text1"/>
                <w:kern w:val="0"/>
                <w:szCs w:val="21"/>
              </w:rPr>
            </w:pPr>
            <w:r>
              <w:rPr>
                <w:rFonts w:eastAsia="仿宋_GB2312"/>
                <w:color w:val="000000" w:themeColor="text1"/>
                <w:kern w:val="0"/>
                <w:szCs w:val="21"/>
              </w:rPr>
              <w:t>总计</w:t>
            </w:r>
          </w:p>
        </w:tc>
      </w:tr>
      <w:tr w14:paraId="58A0E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6" w:hRule="atLeast"/>
          <w:jc w:val="center"/>
        </w:trPr>
        <w:tc>
          <w:tcPr>
            <w:tcW w:w="2529" w:type="pct"/>
            <w:gridSpan w:val="3"/>
            <w:vMerge w:val="continue"/>
            <w:vAlign w:val="center"/>
          </w:tcPr>
          <w:p w14:paraId="479174B1">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p>
        </w:tc>
        <w:tc>
          <w:tcPr>
            <w:tcW w:w="352" w:type="pct"/>
            <w:vMerge w:val="continue"/>
            <w:vAlign w:val="center"/>
          </w:tcPr>
          <w:p w14:paraId="01BCB8C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eastAsia="仿宋_GB2312"/>
                <w:color w:val="000000" w:themeColor="text1"/>
                <w:kern w:val="0"/>
                <w:szCs w:val="21"/>
              </w:rPr>
            </w:pPr>
          </w:p>
        </w:tc>
        <w:tc>
          <w:tcPr>
            <w:tcW w:w="352" w:type="pct"/>
            <w:vAlign w:val="center"/>
          </w:tcPr>
          <w:p w14:paraId="56E009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eastAsia="仿宋_GB2312"/>
                <w:color w:val="000000" w:themeColor="text1"/>
                <w:kern w:val="0"/>
                <w:szCs w:val="21"/>
              </w:rPr>
            </w:pPr>
            <w:r>
              <w:rPr>
                <w:rFonts w:eastAsia="仿宋_GB2312"/>
                <w:color w:val="000000" w:themeColor="text1"/>
                <w:kern w:val="0"/>
                <w:szCs w:val="21"/>
              </w:rPr>
              <w:t>商业</w:t>
            </w:r>
          </w:p>
          <w:p w14:paraId="5D98EFC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eastAsia="仿宋_GB2312"/>
                <w:color w:val="000000" w:themeColor="text1"/>
                <w:kern w:val="0"/>
                <w:szCs w:val="21"/>
              </w:rPr>
            </w:pPr>
            <w:r>
              <w:rPr>
                <w:rFonts w:eastAsia="仿宋_GB2312"/>
                <w:color w:val="000000" w:themeColor="text1"/>
                <w:kern w:val="0"/>
                <w:szCs w:val="21"/>
              </w:rPr>
              <w:t>企业</w:t>
            </w:r>
          </w:p>
        </w:tc>
        <w:tc>
          <w:tcPr>
            <w:tcW w:w="352" w:type="pct"/>
            <w:vAlign w:val="center"/>
          </w:tcPr>
          <w:p w14:paraId="1ADC5CC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eastAsia="仿宋_GB2312"/>
                <w:color w:val="000000" w:themeColor="text1"/>
                <w:kern w:val="0"/>
                <w:szCs w:val="21"/>
              </w:rPr>
            </w:pPr>
            <w:r>
              <w:rPr>
                <w:rFonts w:eastAsia="仿宋_GB2312"/>
                <w:color w:val="000000" w:themeColor="text1"/>
                <w:kern w:val="0"/>
                <w:szCs w:val="21"/>
              </w:rPr>
              <w:t>科研</w:t>
            </w:r>
          </w:p>
          <w:p w14:paraId="3DBB089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eastAsia="仿宋_GB2312"/>
                <w:color w:val="000000" w:themeColor="text1"/>
                <w:kern w:val="0"/>
                <w:szCs w:val="21"/>
              </w:rPr>
            </w:pPr>
            <w:r>
              <w:rPr>
                <w:rFonts w:eastAsia="仿宋_GB2312"/>
                <w:color w:val="000000" w:themeColor="text1"/>
                <w:kern w:val="0"/>
                <w:szCs w:val="21"/>
              </w:rPr>
              <w:t>机构</w:t>
            </w:r>
          </w:p>
        </w:tc>
        <w:tc>
          <w:tcPr>
            <w:tcW w:w="352" w:type="pct"/>
            <w:vAlign w:val="center"/>
          </w:tcPr>
          <w:p w14:paraId="42FBCAD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eastAsia="仿宋_GB2312"/>
                <w:color w:val="000000" w:themeColor="text1"/>
                <w:kern w:val="0"/>
                <w:szCs w:val="21"/>
              </w:rPr>
            </w:pPr>
            <w:r>
              <w:rPr>
                <w:rFonts w:eastAsia="仿宋_GB2312"/>
                <w:color w:val="000000" w:themeColor="text1"/>
                <w:kern w:val="0"/>
                <w:szCs w:val="21"/>
              </w:rPr>
              <w:t>社会公益组织</w:t>
            </w:r>
          </w:p>
        </w:tc>
        <w:tc>
          <w:tcPr>
            <w:tcW w:w="352" w:type="pct"/>
            <w:vAlign w:val="center"/>
          </w:tcPr>
          <w:p w14:paraId="5396DE4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eastAsia="仿宋_GB2312"/>
                <w:color w:val="000000" w:themeColor="text1"/>
                <w:kern w:val="0"/>
                <w:szCs w:val="21"/>
              </w:rPr>
            </w:pPr>
            <w:r>
              <w:rPr>
                <w:rFonts w:eastAsia="仿宋_GB2312"/>
                <w:color w:val="000000" w:themeColor="text1"/>
                <w:kern w:val="0"/>
                <w:szCs w:val="21"/>
              </w:rPr>
              <w:t>法律服务机构</w:t>
            </w:r>
          </w:p>
        </w:tc>
        <w:tc>
          <w:tcPr>
            <w:tcW w:w="353" w:type="pct"/>
            <w:vAlign w:val="center"/>
          </w:tcPr>
          <w:p w14:paraId="4E975E6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eastAsia="仿宋_GB2312"/>
                <w:color w:val="000000" w:themeColor="text1"/>
                <w:kern w:val="0"/>
                <w:szCs w:val="21"/>
              </w:rPr>
            </w:pPr>
            <w:r>
              <w:rPr>
                <w:rFonts w:eastAsia="仿宋_GB2312"/>
                <w:color w:val="000000" w:themeColor="text1"/>
                <w:kern w:val="0"/>
                <w:szCs w:val="21"/>
              </w:rPr>
              <w:t>其他</w:t>
            </w:r>
          </w:p>
        </w:tc>
        <w:tc>
          <w:tcPr>
            <w:tcW w:w="353" w:type="pct"/>
            <w:vMerge w:val="continue"/>
            <w:vAlign w:val="center"/>
          </w:tcPr>
          <w:p w14:paraId="331992B6">
            <w:pPr>
              <w:keepNext w:val="0"/>
              <w:keepLines w:val="0"/>
              <w:pageBreakBefore w:val="0"/>
              <w:widowControl w:val="0"/>
              <w:kinsoku/>
              <w:wordWrap/>
              <w:overflowPunct/>
              <w:topLinePunct w:val="0"/>
              <w:autoSpaceDE/>
              <w:autoSpaceDN/>
              <w:bidi w:val="0"/>
              <w:spacing w:line="560" w:lineRule="exact"/>
              <w:jc w:val="center"/>
              <w:textAlignment w:val="auto"/>
              <w:rPr>
                <w:rFonts w:eastAsia="仿宋_GB2312"/>
                <w:color w:val="000000" w:themeColor="text1"/>
                <w:kern w:val="0"/>
                <w:szCs w:val="21"/>
              </w:rPr>
            </w:pPr>
          </w:p>
        </w:tc>
      </w:tr>
      <w:tr w14:paraId="1DD03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529" w:type="pct"/>
            <w:gridSpan w:val="3"/>
            <w:vAlign w:val="center"/>
          </w:tcPr>
          <w:p w14:paraId="5DB232C9">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一、本年新收政府信息公开申请数量</w:t>
            </w:r>
          </w:p>
        </w:tc>
        <w:tc>
          <w:tcPr>
            <w:tcW w:w="352" w:type="pct"/>
            <w:vAlign w:val="center"/>
          </w:tcPr>
          <w:p w14:paraId="47642A2E">
            <w:pPr>
              <w:keepNext w:val="0"/>
              <w:keepLines w:val="0"/>
              <w:pageBreakBefore w:val="0"/>
              <w:widowControl w:val="0"/>
              <w:kinsoku/>
              <w:wordWrap/>
              <w:overflowPunct/>
              <w:topLinePunct w:val="0"/>
              <w:autoSpaceDE/>
              <w:autoSpaceDN/>
              <w:bidi w:val="0"/>
              <w:spacing w:line="560" w:lineRule="exact"/>
              <w:jc w:val="left"/>
              <w:textAlignment w:val="auto"/>
              <w:rPr>
                <w:rFonts w:hint="eastAsia" w:eastAsia="仿宋_GB2312"/>
                <w:color w:val="000000" w:themeColor="text1"/>
                <w:kern w:val="0"/>
                <w:szCs w:val="21"/>
                <w:lang w:val="en-US" w:eastAsia="zh-CN"/>
              </w:rPr>
            </w:pPr>
            <w:r>
              <w:rPr>
                <w:rFonts w:eastAsia="仿宋_GB2312"/>
                <w:color w:val="000000" w:themeColor="text1"/>
                <w:kern w:val="0"/>
                <w:szCs w:val="21"/>
              </w:rPr>
              <w:t> </w:t>
            </w:r>
            <w:r>
              <w:rPr>
                <w:rFonts w:hint="eastAsia" w:eastAsia="仿宋_GB2312"/>
                <w:color w:val="000000" w:themeColor="text1"/>
                <w:kern w:val="0"/>
                <w:szCs w:val="21"/>
                <w:lang w:val="en-US" w:eastAsia="zh-CN"/>
              </w:rPr>
              <w:t>2</w:t>
            </w:r>
          </w:p>
        </w:tc>
        <w:tc>
          <w:tcPr>
            <w:tcW w:w="352" w:type="pct"/>
            <w:vAlign w:val="center"/>
          </w:tcPr>
          <w:p w14:paraId="2377E848">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2" w:type="pct"/>
            <w:vAlign w:val="center"/>
          </w:tcPr>
          <w:p w14:paraId="48592221">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2" w:type="pct"/>
            <w:vAlign w:val="center"/>
          </w:tcPr>
          <w:p w14:paraId="5F92BF91">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2" w:type="pct"/>
            <w:vAlign w:val="center"/>
          </w:tcPr>
          <w:p w14:paraId="1A68F7A6">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3" w:type="pct"/>
            <w:vAlign w:val="center"/>
          </w:tcPr>
          <w:p w14:paraId="01AE5AD3">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3" w:type="pct"/>
          </w:tcPr>
          <w:p w14:paraId="0CF8EFC1">
            <w:pPr>
              <w:keepNext w:val="0"/>
              <w:keepLines w:val="0"/>
              <w:pageBreakBefore w:val="0"/>
              <w:widowControl w:val="0"/>
              <w:kinsoku/>
              <w:wordWrap/>
              <w:overflowPunct/>
              <w:topLinePunct w:val="0"/>
              <w:autoSpaceDE/>
              <w:autoSpaceDN/>
              <w:bidi w:val="0"/>
              <w:spacing w:line="560" w:lineRule="exact"/>
              <w:jc w:val="left"/>
              <w:textAlignment w:val="auto"/>
              <w:rPr>
                <w:rFonts w:hint="eastAsia" w:eastAsia="仿宋_GB2312"/>
                <w:color w:val="000000" w:themeColor="text1"/>
                <w:kern w:val="0"/>
                <w:szCs w:val="21"/>
                <w:lang w:val="en-US" w:eastAsia="zh-CN"/>
              </w:rPr>
            </w:pPr>
            <w:r>
              <w:rPr>
                <w:rFonts w:hint="eastAsia" w:eastAsia="仿宋_GB2312"/>
                <w:color w:val="000000" w:themeColor="text1"/>
                <w:kern w:val="0"/>
                <w:szCs w:val="21"/>
                <w:lang w:val="en-US" w:eastAsia="zh-CN"/>
              </w:rPr>
              <w:t>2</w:t>
            </w:r>
          </w:p>
        </w:tc>
      </w:tr>
      <w:tr w14:paraId="7EFE2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529" w:type="pct"/>
            <w:gridSpan w:val="3"/>
            <w:vAlign w:val="center"/>
          </w:tcPr>
          <w:p w14:paraId="4B631624">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二、上年结转政府信息公开申请数量</w:t>
            </w:r>
          </w:p>
        </w:tc>
        <w:tc>
          <w:tcPr>
            <w:tcW w:w="352" w:type="pct"/>
            <w:vAlign w:val="center"/>
          </w:tcPr>
          <w:p w14:paraId="701A6015">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2" w:type="pct"/>
            <w:vAlign w:val="center"/>
          </w:tcPr>
          <w:p w14:paraId="04B61FF6">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2" w:type="pct"/>
            <w:vAlign w:val="center"/>
          </w:tcPr>
          <w:p w14:paraId="14726163">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2" w:type="pct"/>
            <w:vAlign w:val="center"/>
          </w:tcPr>
          <w:p w14:paraId="430D9854">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2" w:type="pct"/>
            <w:vAlign w:val="center"/>
          </w:tcPr>
          <w:p w14:paraId="324BA90E">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3" w:type="pct"/>
            <w:vAlign w:val="center"/>
          </w:tcPr>
          <w:p w14:paraId="67380C78">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3" w:type="pct"/>
          </w:tcPr>
          <w:p w14:paraId="53AD83DB">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r>
      <w:tr w14:paraId="11053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1" w:hRule="atLeast"/>
          <w:jc w:val="center"/>
        </w:trPr>
        <w:tc>
          <w:tcPr>
            <w:tcW w:w="386" w:type="pct"/>
            <w:vMerge w:val="restart"/>
            <w:vAlign w:val="center"/>
          </w:tcPr>
          <w:p w14:paraId="6379C8C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r>
              <w:rPr>
                <w:rFonts w:eastAsia="仿宋_GB2312"/>
                <w:color w:val="000000" w:themeColor="text1"/>
                <w:kern w:val="0"/>
                <w:szCs w:val="21"/>
              </w:rPr>
              <w:t>三、本年度办理结果</w:t>
            </w:r>
          </w:p>
        </w:tc>
        <w:tc>
          <w:tcPr>
            <w:tcW w:w="2143" w:type="pct"/>
            <w:gridSpan w:val="2"/>
            <w:vAlign w:val="center"/>
          </w:tcPr>
          <w:p w14:paraId="1CD363F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r>
              <w:rPr>
                <w:rFonts w:eastAsia="仿宋_GB2312"/>
                <w:color w:val="000000" w:themeColor="text1"/>
                <w:kern w:val="0"/>
                <w:szCs w:val="21"/>
              </w:rPr>
              <w:t>（一）予以公开</w:t>
            </w:r>
          </w:p>
        </w:tc>
        <w:tc>
          <w:tcPr>
            <w:tcW w:w="352" w:type="pct"/>
            <w:vAlign w:val="center"/>
          </w:tcPr>
          <w:p w14:paraId="67B568E3">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2" w:type="pct"/>
            <w:vAlign w:val="center"/>
          </w:tcPr>
          <w:p w14:paraId="2DFC5753">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2" w:type="pct"/>
            <w:vAlign w:val="center"/>
          </w:tcPr>
          <w:p w14:paraId="4C08A96E">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2" w:type="pct"/>
            <w:vAlign w:val="center"/>
          </w:tcPr>
          <w:p w14:paraId="6AAB44E0">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2" w:type="pct"/>
            <w:vAlign w:val="center"/>
          </w:tcPr>
          <w:p w14:paraId="4DF87F5F">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3" w:type="pct"/>
            <w:vAlign w:val="center"/>
          </w:tcPr>
          <w:p w14:paraId="50567D1D">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3" w:type="pct"/>
          </w:tcPr>
          <w:p w14:paraId="355D2F38">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r>
      <w:tr w14:paraId="1BF30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86" w:type="pct"/>
            <w:vMerge w:val="continue"/>
            <w:vAlign w:val="center"/>
          </w:tcPr>
          <w:p w14:paraId="61CEC72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p>
        </w:tc>
        <w:tc>
          <w:tcPr>
            <w:tcW w:w="2143" w:type="pct"/>
            <w:gridSpan w:val="2"/>
            <w:vAlign w:val="center"/>
          </w:tcPr>
          <w:p w14:paraId="3D14D81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r>
              <w:rPr>
                <w:rFonts w:eastAsia="仿宋_GB2312"/>
                <w:color w:val="000000" w:themeColor="text1"/>
                <w:kern w:val="0"/>
                <w:szCs w:val="21"/>
              </w:rPr>
              <w:t>（二）部分公开</w:t>
            </w:r>
            <w:r>
              <w:rPr>
                <w:rFonts w:eastAsia="仿宋_GB2312"/>
                <w:color w:val="000000" w:themeColor="text1"/>
                <w:kern w:val="0"/>
                <w:sz w:val="24"/>
              </w:rPr>
              <w:t>（区分处理的，只计这一情形，不计其他情形）</w:t>
            </w:r>
          </w:p>
        </w:tc>
        <w:tc>
          <w:tcPr>
            <w:tcW w:w="352" w:type="pct"/>
            <w:vAlign w:val="center"/>
          </w:tcPr>
          <w:p w14:paraId="13D90CF1">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2" w:type="pct"/>
            <w:vAlign w:val="center"/>
          </w:tcPr>
          <w:p w14:paraId="431A9E18">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2" w:type="pct"/>
            <w:vAlign w:val="center"/>
          </w:tcPr>
          <w:p w14:paraId="18ED1535">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2" w:type="pct"/>
            <w:vAlign w:val="center"/>
          </w:tcPr>
          <w:p w14:paraId="6F5FF0F6">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2" w:type="pct"/>
            <w:vAlign w:val="center"/>
          </w:tcPr>
          <w:p w14:paraId="0A6BFE14">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3" w:type="pct"/>
            <w:vAlign w:val="center"/>
          </w:tcPr>
          <w:p w14:paraId="5A6BDFF3">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3" w:type="pct"/>
          </w:tcPr>
          <w:p w14:paraId="710518B3">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r>
      <w:tr w14:paraId="42D2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86" w:type="pct"/>
            <w:vMerge w:val="continue"/>
            <w:vAlign w:val="center"/>
          </w:tcPr>
          <w:p w14:paraId="3D1A155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p>
        </w:tc>
        <w:tc>
          <w:tcPr>
            <w:tcW w:w="471" w:type="pct"/>
            <w:vMerge w:val="restart"/>
            <w:vAlign w:val="center"/>
          </w:tcPr>
          <w:p w14:paraId="692BE52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r>
              <w:rPr>
                <w:rFonts w:eastAsia="仿宋_GB2312"/>
                <w:color w:val="000000" w:themeColor="text1"/>
                <w:kern w:val="0"/>
                <w:szCs w:val="21"/>
              </w:rPr>
              <w:t>（三）不予公开</w:t>
            </w:r>
          </w:p>
        </w:tc>
        <w:tc>
          <w:tcPr>
            <w:tcW w:w="1671" w:type="pct"/>
          </w:tcPr>
          <w:p w14:paraId="483D701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r>
              <w:rPr>
                <w:rFonts w:eastAsia="仿宋_GB2312"/>
                <w:color w:val="000000" w:themeColor="text1"/>
                <w:kern w:val="0"/>
                <w:szCs w:val="21"/>
              </w:rPr>
              <w:t>1.属于国家秘密</w:t>
            </w:r>
          </w:p>
        </w:tc>
        <w:tc>
          <w:tcPr>
            <w:tcW w:w="352" w:type="pct"/>
            <w:vAlign w:val="center"/>
          </w:tcPr>
          <w:p w14:paraId="4B5007DF">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2" w:type="pct"/>
            <w:vAlign w:val="center"/>
          </w:tcPr>
          <w:p w14:paraId="10B3E655">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2" w:type="pct"/>
            <w:vAlign w:val="center"/>
          </w:tcPr>
          <w:p w14:paraId="2F253AF3">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2" w:type="pct"/>
            <w:vAlign w:val="center"/>
          </w:tcPr>
          <w:p w14:paraId="2DDEAB10">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2" w:type="pct"/>
            <w:vAlign w:val="center"/>
          </w:tcPr>
          <w:p w14:paraId="1E8BE9FC">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3" w:type="pct"/>
            <w:vAlign w:val="center"/>
          </w:tcPr>
          <w:p w14:paraId="5C7D8500">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3" w:type="pct"/>
          </w:tcPr>
          <w:p w14:paraId="0785CD95">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r>
      <w:tr w14:paraId="10788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86" w:type="pct"/>
            <w:vMerge w:val="continue"/>
            <w:vAlign w:val="center"/>
          </w:tcPr>
          <w:p w14:paraId="5BB1784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p>
        </w:tc>
        <w:tc>
          <w:tcPr>
            <w:tcW w:w="471" w:type="pct"/>
            <w:vMerge w:val="continue"/>
            <w:vAlign w:val="center"/>
          </w:tcPr>
          <w:p w14:paraId="76DE17A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p>
        </w:tc>
        <w:tc>
          <w:tcPr>
            <w:tcW w:w="1671" w:type="pct"/>
          </w:tcPr>
          <w:p w14:paraId="71EB894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r>
              <w:rPr>
                <w:rFonts w:eastAsia="仿宋_GB2312"/>
                <w:color w:val="000000" w:themeColor="text1"/>
                <w:kern w:val="0"/>
                <w:szCs w:val="21"/>
              </w:rPr>
              <w:t>2.其他法律行政法规禁止公开</w:t>
            </w:r>
          </w:p>
        </w:tc>
        <w:tc>
          <w:tcPr>
            <w:tcW w:w="352" w:type="pct"/>
            <w:vAlign w:val="center"/>
          </w:tcPr>
          <w:p w14:paraId="1168185A">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2" w:type="pct"/>
            <w:vAlign w:val="center"/>
          </w:tcPr>
          <w:p w14:paraId="2C2D2740">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2" w:type="pct"/>
            <w:vAlign w:val="center"/>
          </w:tcPr>
          <w:p w14:paraId="2F6D3C00">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2" w:type="pct"/>
            <w:vAlign w:val="center"/>
          </w:tcPr>
          <w:p w14:paraId="450D900D">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2" w:type="pct"/>
            <w:vAlign w:val="center"/>
          </w:tcPr>
          <w:p w14:paraId="48F057CF">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3" w:type="pct"/>
            <w:vAlign w:val="center"/>
          </w:tcPr>
          <w:p w14:paraId="094E5E92">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3" w:type="pct"/>
          </w:tcPr>
          <w:p w14:paraId="764A2DF2">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r>
      <w:tr w14:paraId="7ED47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86" w:type="pct"/>
            <w:vMerge w:val="continue"/>
            <w:vAlign w:val="center"/>
          </w:tcPr>
          <w:p w14:paraId="2A430A0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p>
        </w:tc>
        <w:tc>
          <w:tcPr>
            <w:tcW w:w="471" w:type="pct"/>
            <w:vMerge w:val="continue"/>
            <w:vAlign w:val="center"/>
          </w:tcPr>
          <w:p w14:paraId="681B313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p>
        </w:tc>
        <w:tc>
          <w:tcPr>
            <w:tcW w:w="1671" w:type="pct"/>
          </w:tcPr>
          <w:p w14:paraId="510ECB9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r>
              <w:rPr>
                <w:rFonts w:eastAsia="仿宋_GB2312"/>
                <w:color w:val="000000" w:themeColor="text1"/>
                <w:kern w:val="0"/>
                <w:szCs w:val="21"/>
              </w:rPr>
              <w:t>3.危及“三安全一稳定”</w:t>
            </w:r>
          </w:p>
        </w:tc>
        <w:tc>
          <w:tcPr>
            <w:tcW w:w="352" w:type="pct"/>
            <w:vAlign w:val="center"/>
          </w:tcPr>
          <w:p w14:paraId="2979CC3D">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2" w:type="pct"/>
            <w:vAlign w:val="center"/>
          </w:tcPr>
          <w:p w14:paraId="733AEC41">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2" w:type="pct"/>
            <w:vAlign w:val="center"/>
          </w:tcPr>
          <w:p w14:paraId="7C8DEC06">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2" w:type="pct"/>
            <w:vAlign w:val="center"/>
          </w:tcPr>
          <w:p w14:paraId="48AED53D">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2" w:type="pct"/>
            <w:vAlign w:val="center"/>
          </w:tcPr>
          <w:p w14:paraId="519B3235">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3" w:type="pct"/>
            <w:vAlign w:val="center"/>
          </w:tcPr>
          <w:p w14:paraId="4FFB1AF5">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3" w:type="pct"/>
          </w:tcPr>
          <w:p w14:paraId="6F1E3B85">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r>
      <w:tr w14:paraId="45B5D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86" w:type="pct"/>
            <w:vMerge w:val="continue"/>
            <w:vAlign w:val="center"/>
          </w:tcPr>
          <w:p w14:paraId="4710236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p>
        </w:tc>
        <w:tc>
          <w:tcPr>
            <w:tcW w:w="471" w:type="pct"/>
            <w:vMerge w:val="continue"/>
            <w:vAlign w:val="center"/>
          </w:tcPr>
          <w:p w14:paraId="76DD006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p>
        </w:tc>
        <w:tc>
          <w:tcPr>
            <w:tcW w:w="1671" w:type="pct"/>
          </w:tcPr>
          <w:p w14:paraId="6CA12E3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r>
              <w:rPr>
                <w:rFonts w:eastAsia="仿宋_GB2312"/>
                <w:color w:val="000000" w:themeColor="text1"/>
                <w:kern w:val="0"/>
                <w:szCs w:val="21"/>
              </w:rPr>
              <w:t>4.保护第三方合法权益</w:t>
            </w:r>
          </w:p>
        </w:tc>
        <w:tc>
          <w:tcPr>
            <w:tcW w:w="352" w:type="pct"/>
            <w:vAlign w:val="center"/>
          </w:tcPr>
          <w:p w14:paraId="1102375F">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2" w:type="pct"/>
            <w:vAlign w:val="center"/>
          </w:tcPr>
          <w:p w14:paraId="409C21AC">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2" w:type="pct"/>
            <w:vAlign w:val="center"/>
          </w:tcPr>
          <w:p w14:paraId="1B277ADA">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2" w:type="pct"/>
            <w:vAlign w:val="center"/>
          </w:tcPr>
          <w:p w14:paraId="381560BF">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2" w:type="pct"/>
            <w:vAlign w:val="center"/>
          </w:tcPr>
          <w:p w14:paraId="0BCD8DFD">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3" w:type="pct"/>
            <w:vAlign w:val="center"/>
          </w:tcPr>
          <w:p w14:paraId="36813742">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3" w:type="pct"/>
          </w:tcPr>
          <w:p w14:paraId="1A6CB704">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r>
      <w:tr w14:paraId="1DB79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86" w:type="pct"/>
            <w:vMerge w:val="continue"/>
            <w:vAlign w:val="center"/>
          </w:tcPr>
          <w:p w14:paraId="6746F46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p>
        </w:tc>
        <w:tc>
          <w:tcPr>
            <w:tcW w:w="471" w:type="pct"/>
            <w:vMerge w:val="continue"/>
            <w:vAlign w:val="center"/>
          </w:tcPr>
          <w:p w14:paraId="60FF5B3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p>
        </w:tc>
        <w:tc>
          <w:tcPr>
            <w:tcW w:w="1671" w:type="pct"/>
          </w:tcPr>
          <w:p w14:paraId="3C6BA31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r>
              <w:rPr>
                <w:rFonts w:eastAsia="仿宋_GB2312"/>
                <w:color w:val="000000" w:themeColor="text1"/>
                <w:kern w:val="0"/>
                <w:szCs w:val="21"/>
              </w:rPr>
              <w:t>5.属于三类内部事务信息</w:t>
            </w:r>
          </w:p>
        </w:tc>
        <w:tc>
          <w:tcPr>
            <w:tcW w:w="352" w:type="pct"/>
            <w:vAlign w:val="center"/>
          </w:tcPr>
          <w:p w14:paraId="6170F4C6">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2" w:type="pct"/>
            <w:vAlign w:val="center"/>
          </w:tcPr>
          <w:p w14:paraId="743CAA15">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2" w:type="pct"/>
            <w:vAlign w:val="center"/>
          </w:tcPr>
          <w:p w14:paraId="4C8297AA">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2" w:type="pct"/>
            <w:vAlign w:val="center"/>
          </w:tcPr>
          <w:p w14:paraId="2CB765FF">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2" w:type="pct"/>
            <w:vAlign w:val="center"/>
          </w:tcPr>
          <w:p w14:paraId="42E4E40E">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3" w:type="pct"/>
            <w:vAlign w:val="center"/>
          </w:tcPr>
          <w:p w14:paraId="64200D85">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3" w:type="pct"/>
          </w:tcPr>
          <w:p w14:paraId="49FCFEAA">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r>
      <w:tr w14:paraId="19D77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86" w:type="pct"/>
            <w:vMerge w:val="continue"/>
            <w:vAlign w:val="center"/>
          </w:tcPr>
          <w:p w14:paraId="3E58E64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p>
        </w:tc>
        <w:tc>
          <w:tcPr>
            <w:tcW w:w="471" w:type="pct"/>
            <w:vMerge w:val="continue"/>
            <w:vAlign w:val="center"/>
          </w:tcPr>
          <w:p w14:paraId="6806D47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p>
        </w:tc>
        <w:tc>
          <w:tcPr>
            <w:tcW w:w="1671" w:type="pct"/>
          </w:tcPr>
          <w:p w14:paraId="2C2D174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r>
              <w:rPr>
                <w:rFonts w:eastAsia="仿宋_GB2312"/>
                <w:color w:val="000000" w:themeColor="text1"/>
                <w:kern w:val="0"/>
                <w:szCs w:val="21"/>
              </w:rPr>
              <w:t>6.属于四类过程性信息</w:t>
            </w:r>
          </w:p>
        </w:tc>
        <w:tc>
          <w:tcPr>
            <w:tcW w:w="352" w:type="pct"/>
            <w:vAlign w:val="center"/>
          </w:tcPr>
          <w:p w14:paraId="7F82B4BB">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2" w:type="pct"/>
            <w:vAlign w:val="center"/>
          </w:tcPr>
          <w:p w14:paraId="2E404E9C">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2" w:type="pct"/>
            <w:vAlign w:val="center"/>
          </w:tcPr>
          <w:p w14:paraId="1E7BF13D">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2" w:type="pct"/>
            <w:vAlign w:val="center"/>
          </w:tcPr>
          <w:p w14:paraId="7049434F">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2" w:type="pct"/>
            <w:vAlign w:val="center"/>
          </w:tcPr>
          <w:p w14:paraId="6E377070">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3" w:type="pct"/>
            <w:vAlign w:val="center"/>
          </w:tcPr>
          <w:p w14:paraId="753FCB7B">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3" w:type="pct"/>
          </w:tcPr>
          <w:p w14:paraId="224237A4">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r>
      <w:tr w14:paraId="3512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86" w:type="pct"/>
            <w:vMerge w:val="continue"/>
            <w:vAlign w:val="center"/>
          </w:tcPr>
          <w:p w14:paraId="5237C18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p>
        </w:tc>
        <w:tc>
          <w:tcPr>
            <w:tcW w:w="471" w:type="pct"/>
            <w:vMerge w:val="continue"/>
            <w:vAlign w:val="center"/>
          </w:tcPr>
          <w:p w14:paraId="4CFEF88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p>
        </w:tc>
        <w:tc>
          <w:tcPr>
            <w:tcW w:w="1671" w:type="pct"/>
          </w:tcPr>
          <w:p w14:paraId="60B633D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r>
              <w:rPr>
                <w:rFonts w:eastAsia="仿宋_GB2312"/>
                <w:color w:val="000000" w:themeColor="text1"/>
                <w:kern w:val="0"/>
                <w:szCs w:val="21"/>
              </w:rPr>
              <w:t>7.属于行政执法案卷</w:t>
            </w:r>
          </w:p>
        </w:tc>
        <w:tc>
          <w:tcPr>
            <w:tcW w:w="352" w:type="pct"/>
            <w:vAlign w:val="center"/>
          </w:tcPr>
          <w:p w14:paraId="1DD5F7DD">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2" w:type="pct"/>
            <w:vAlign w:val="center"/>
          </w:tcPr>
          <w:p w14:paraId="6115654D">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2" w:type="pct"/>
            <w:vAlign w:val="center"/>
          </w:tcPr>
          <w:p w14:paraId="79CA8814">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2" w:type="pct"/>
            <w:vAlign w:val="center"/>
          </w:tcPr>
          <w:p w14:paraId="67824CA7">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2" w:type="pct"/>
            <w:vAlign w:val="center"/>
          </w:tcPr>
          <w:p w14:paraId="7B19C984">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3" w:type="pct"/>
            <w:vAlign w:val="center"/>
          </w:tcPr>
          <w:p w14:paraId="46C78BFE">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3" w:type="pct"/>
          </w:tcPr>
          <w:p w14:paraId="49E5B6F1">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r>
      <w:tr w14:paraId="7D00B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86" w:type="pct"/>
            <w:vMerge w:val="continue"/>
            <w:vAlign w:val="center"/>
          </w:tcPr>
          <w:p w14:paraId="62D3A54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p>
        </w:tc>
        <w:tc>
          <w:tcPr>
            <w:tcW w:w="471" w:type="pct"/>
            <w:vMerge w:val="continue"/>
            <w:vAlign w:val="center"/>
          </w:tcPr>
          <w:p w14:paraId="1F0806D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p>
        </w:tc>
        <w:tc>
          <w:tcPr>
            <w:tcW w:w="1671" w:type="pct"/>
          </w:tcPr>
          <w:p w14:paraId="6519DC7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r>
              <w:rPr>
                <w:rFonts w:eastAsia="仿宋_GB2312"/>
                <w:color w:val="000000" w:themeColor="text1"/>
                <w:kern w:val="0"/>
                <w:szCs w:val="21"/>
              </w:rPr>
              <w:t>8.属于行政查询事项</w:t>
            </w:r>
          </w:p>
        </w:tc>
        <w:tc>
          <w:tcPr>
            <w:tcW w:w="352" w:type="pct"/>
            <w:vAlign w:val="center"/>
          </w:tcPr>
          <w:p w14:paraId="28074137">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2" w:type="pct"/>
            <w:vAlign w:val="center"/>
          </w:tcPr>
          <w:p w14:paraId="1FBDD03D">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2" w:type="pct"/>
            <w:vAlign w:val="center"/>
          </w:tcPr>
          <w:p w14:paraId="578B13F0">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2" w:type="pct"/>
            <w:vAlign w:val="center"/>
          </w:tcPr>
          <w:p w14:paraId="45CB2F15">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2" w:type="pct"/>
            <w:vAlign w:val="center"/>
          </w:tcPr>
          <w:p w14:paraId="41329D25">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3" w:type="pct"/>
            <w:vAlign w:val="center"/>
          </w:tcPr>
          <w:p w14:paraId="083A5ACC">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3" w:type="pct"/>
          </w:tcPr>
          <w:p w14:paraId="73C9395C">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r>
      <w:tr w14:paraId="567E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86" w:type="pct"/>
            <w:vMerge w:val="continue"/>
            <w:vAlign w:val="center"/>
          </w:tcPr>
          <w:p w14:paraId="7499F39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p>
        </w:tc>
        <w:tc>
          <w:tcPr>
            <w:tcW w:w="471" w:type="pct"/>
            <w:vMerge w:val="restart"/>
            <w:vAlign w:val="center"/>
          </w:tcPr>
          <w:p w14:paraId="2C82C70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r>
              <w:rPr>
                <w:rFonts w:eastAsia="仿宋_GB2312"/>
                <w:color w:val="000000" w:themeColor="text1"/>
                <w:kern w:val="0"/>
                <w:szCs w:val="21"/>
              </w:rPr>
              <w:t>（四）无法提供</w:t>
            </w:r>
          </w:p>
        </w:tc>
        <w:tc>
          <w:tcPr>
            <w:tcW w:w="1671" w:type="pct"/>
          </w:tcPr>
          <w:p w14:paraId="67CDE5F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r>
              <w:rPr>
                <w:rFonts w:eastAsia="仿宋_GB2312"/>
                <w:color w:val="000000" w:themeColor="text1"/>
                <w:kern w:val="0"/>
                <w:szCs w:val="21"/>
              </w:rPr>
              <w:t>1.本机关不掌握相关政府信息</w:t>
            </w:r>
          </w:p>
        </w:tc>
        <w:tc>
          <w:tcPr>
            <w:tcW w:w="352" w:type="pct"/>
            <w:vAlign w:val="center"/>
          </w:tcPr>
          <w:p w14:paraId="0E28BF8E">
            <w:pPr>
              <w:keepNext w:val="0"/>
              <w:keepLines w:val="0"/>
              <w:pageBreakBefore w:val="0"/>
              <w:widowControl w:val="0"/>
              <w:kinsoku/>
              <w:wordWrap/>
              <w:overflowPunct/>
              <w:topLinePunct w:val="0"/>
              <w:autoSpaceDE/>
              <w:autoSpaceDN/>
              <w:bidi w:val="0"/>
              <w:spacing w:line="560" w:lineRule="exact"/>
              <w:jc w:val="left"/>
              <w:textAlignment w:val="auto"/>
              <w:rPr>
                <w:rFonts w:hint="eastAsia" w:eastAsia="仿宋_GB2312"/>
                <w:color w:val="000000" w:themeColor="text1"/>
                <w:kern w:val="0"/>
                <w:szCs w:val="21"/>
                <w:lang w:val="en-US" w:eastAsia="zh-CN"/>
              </w:rPr>
            </w:pPr>
            <w:r>
              <w:rPr>
                <w:rFonts w:eastAsia="仿宋_GB2312"/>
                <w:color w:val="000000" w:themeColor="text1"/>
                <w:kern w:val="0"/>
                <w:szCs w:val="21"/>
              </w:rPr>
              <w:t> </w:t>
            </w:r>
            <w:r>
              <w:rPr>
                <w:rFonts w:hint="eastAsia" w:eastAsia="仿宋_GB2312"/>
                <w:color w:val="000000" w:themeColor="text1"/>
                <w:kern w:val="0"/>
                <w:szCs w:val="21"/>
                <w:lang w:val="en-US" w:eastAsia="zh-CN"/>
              </w:rPr>
              <w:t>2</w:t>
            </w:r>
          </w:p>
        </w:tc>
        <w:tc>
          <w:tcPr>
            <w:tcW w:w="352" w:type="pct"/>
            <w:vAlign w:val="center"/>
          </w:tcPr>
          <w:p w14:paraId="76106681">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2" w:type="pct"/>
            <w:vAlign w:val="center"/>
          </w:tcPr>
          <w:p w14:paraId="2D91637D">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2" w:type="pct"/>
            <w:vAlign w:val="center"/>
          </w:tcPr>
          <w:p w14:paraId="56E9E402">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2" w:type="pct"/>
            <w:vAlign w:val="center"/>
          </w:tcPr>
          <w:p w14:paraId="6A070F1C">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3" w:type="pct"/>
            <w:vAlign w:val="center"/>
          </w:tcPr>
          <w:p w14:paraId="2C880D4B">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3" w:type="pct"/>
          </w:tcPr>
          <w:p w14:paraId="0D053CFA">
            <w:pPr>
              <w:keepNext w:val="0"/>
              <w:keepLines w:val="0"/>
              <w:pageBreakBefore w:val="0"/>
              <w:widowControl w:val="0"/>
              <w:kinsoku/>
              <w:wordWrap/>
              <w:overflowPunct/>
              <w:topLinePunct w:val="0"/>
              <w:autoSpaceDE/>
              <w:autoSpaceDN/>
              <w:bidi w:val="0"/>
              <w:spacing w:line="560" w:lineRule="exact"/>
              <w:jc w:val="left"/>
              <w:textAlignment w:val="auto"/>
              <w:rPr>
                <w:rFonts w:hint="eastAsia" w:eastAsia="仿宋_GB2312"/>
                <w:color w:val="000000" w:themeColor="text1"/>
                <w:kern w:val="0"/>
                <w:szCs w:val="21"/>
                <w:lang w:eastAsia="zh-CN"/>
              </w:rPr>
            </w:pPr>
            <w:r>
              <w:rPr>
                <w:rFonts w:hint="eastAsia" w:eastAsia="仿宋_GB2312"/>
                <w:color w:val="000000" w:themeColor="text1"/>
                <w:kern w:val="0"/>
                <w:szCs w:val="21"/>
                <w:lang w:val="en-US" w:eastAsia="zh-CN"/>
              </w:rPr>
              <w:t>2</w:t>
            </w:r>
          </w:p>
        </w:tc>
      </w:tr>
      <w:tr w14:paraId="6AC08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86" w:type="pct"/>
            <w:vMerge w:val="continue"/>
            <w:vAlign w:val="center"/>
          </w:tcPr>
          <w:p w14:paraId="3575041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p>
        </w:tc>
        <w:tc>
          <w:tcPr>
            <w:tcW w:w="471" w:type="pct"/>
            <w:vMerge w:val="continue"/>
            <w:vAlign w:val="center"/>
          </w:tcPr>
          <w:p w14:paraId="145697D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p>
        </w:tc>
        <w:tc>
          <w:tcPr>
            <w:tcW w:w="1671" w:type="pct"/>
          </w:tcPr>
          <w:p w14:paraId="6A3BEED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r>
              <w:rPr>
                <w:rFonts w:eastAsia="仿宋_GB2312"/>
                <w:color w:val="000000" w:themeColor="text1"/>
                <w:kern w:val="0"/>
                <w:szCs w:val="21"/>
              </w:rPr>
              <w:t>2.没有现成信息需要另行制作</w:t>
            </w:r>
          </w:p>
        </w:tc>
        <w:tc>
          <w:tcPr>
            <w:tcW w:w="352" w:type="pct"/>
            <w:vAlign w:val="center"/>
          </w:tcPr>
          <w:p w14:paraId="0628D031">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2" w:type="pct"/>
            <w:vAlign w:val="center"/>
          </w:tcPr>
          <w:p w14:paraId="00278B22">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2" w:type="pct"/>
            <w:vAlign w:val="center"/>
          </w:tcPr>
          <w:p w14:paraId="437A66C4">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2" w:type="pct"/>
            <w:vAlign w:val="center"/>
          </w:tcPr>
          <w:p w14:paraId="3D577507">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2" w:type="pct"/>
            <w:vAlign w:val="center"/>
          </w:tcPr>
          <w:p w14:paraId="5F4FB08D">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3" w:type="pct"/>
            <w:vAlign w:val="center"/>
          </w:tcPr>
          <w:p w14:paraId="4C7F3188">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3" w:type="pct"/>
          </w:tcPr>
          <w:p w14:paraId="008A6728">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r>
      <w:tr w14:paraId="3EE8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7" w:hRule="atLeast"/>
          <w:jc w:val="center"/>
        </w:trPr>
        <w:tc>
          <w:tcPr>
            <w:tcW w:w="386" w:type="pct"/>
            <w:vMerge w:val="continue"/>
            <w:vAlign w:val="center"/>
          </w:tcPr>
          <w:p w14:paraId="00CA209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p>
        </w:tc>
        <w:tc>
          <w:tcPr>
            <w:tcW w:w="471" w:type="pct"/>
            <w:vMerge w:val="continue"/>
            <w:vAlign w:val="center"/>
          </w:tcPr>
          <w:p w14:paraId="46A5C09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p>
        </w:tc>
        <w:tc>
          <w:tcPr>
            <w:tcW w:w="1671" w:type="pct"/>
          </w:tcPr>
          <w:p w14:paraId="5D15F39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r>
              <w:rPr>
                <w:rFonts w:eastAsia="仿宋_GB2312"/>
                <w:color w:val="000000" w:themeColor="text1"/>
                <w:kern w:val="0"/>
                <w:szCs w:val="21"/>
              </w:rPr>
              <w:t>3.补正后申请内容仍不明确</w:t>
            </w:r>
          </w:p>
        </w:tc>
        <w:tc>
          <w:tcPr>
            <w:tcW w:w="352" w:type="pct"/>
            <w:vAlign w:val="center"/>
          </w:tcPr>
          <w:p w14:paraId="0BB9CC98">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2" w:type="pct"/>
            <w:vAlign w:val="center"/>
          </w:tcPr>
          <w:p w14:paraId="13295E9B">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2" w:type="pct"/>
            <w:vAlign w:val="center"/>
          </w:tcPr>
          <w:p w14:paraId="59FA50F3">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2" w:type="pct"/>
            <w:vAlign w:val="center"/>
          </w:tcPr>
          <w:p w14:paraId="6AE5BF8B">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2" w:type="pct"/>
            <w:vAlign w:val="center"/>
          </w:tcPr>
          <w:p w14:paraId="74173461">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3" w:type="pct"/>
            <w:vAlign w:val="center"/>
          </w:tcPr>
          <w:p w14:paraId="3338ABAF">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3" w:type="pct"/>
          </w:tcPr>
          <w:p w14:paraId="534B5B45">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r>
      <w:tr w14:paraId="61981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86" w:type="pct"/>
            <w:vMerge w:val="continue"/>
            <w:vAlign w:val="center"/>
          </w:tcPr>
          <w:p w14:paraId="251B0D4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p>
        </w:tc>
        <w:tc>
          <w:tcPr>
            <w:tcW w:w="471" w:type="pct"/>
            <w:vMerge w:val="restart"/>
            <w:vAlign w:val="center"/>
          </w:tcPr>
          <w:p w14:paraId="223691A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r>
              <w:rPr>
                <w:rFonts w:eastAsia="仿宋_GB2312"/>
                <w:color w:val="000000" w:themeColor="text1"/>
                <w:kern w:val="0"/>
                <w:szCs w:val="21"/>
              </w:rPr>
              <w:t>（五）不予处理</w:t>
            </w:r>
          </w:p>
        </w:tc>
        <w:tc>
          <w:tcPr>
            <w:tcW w:w="1671" w:type="pct"/>
          </w:tcPr>
          <w:p w14:paraId="6E1B848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r>
              <w:rPr>
                <w:rFonts w:eastAsia="仿宋_GB2312"/>
                <w:color w:val="000000" w:themeColor="text1"/>
                <w:kern w:val="0"/>
                <w:szCs w:val="21"/>
              </w:rPr>
              <w:t>1.信访举报投诉类申请</w:t>
            </w:r>
          </w:p>
        </w:tc>
        <w:tc>
          <w:tcPr>
            <w:tcW w:w="352" w:type="pct"/>
            <w:vAlign w:val="center"/>
          </w:tcPr>
          <w:p w14:paraId="49F8A1F7">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2" w:type="pct"/>
            <w:vAlign w:val="center"/>
          </w:tcPr>
          <w:p w14:paraId="1FFE73B9">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2" w:type="pct"/>
            <w:vAlign w:val="center"/>
          </w:tcPr>
          <w:p w14:paraId="29352EE0">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2" w:type="pct"/>
            <w:vAlign w:val="center"/>
          </w:tcPr>
          <w:p w14:paraId="0AD74C44">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2" w:type="pct"/>
            <w:vAlign w:val="center"/>
          </w:tcPr>
          <w:p w14:paraId="34ADDB27">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3" w:type="pct"/>
            <w:vAlign w:val="center"/>
          </w:tcPr>
          <w:p w14:paraId="7FCC7E58">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3" w:type="pct"/>
          </w:tcPr>
          <w:p w14:paraId="78CAC0B5">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r>
      <w:tr w14:paraId="4CABA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86" w:type="pct"/>
            <w:vMerge w:val="continue"/>
            <w:vAlign w:val="center"/>
          </w:tcPr>
          <w:p w14:paraId="52F0916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p>
        </w:tc>
        <w:tc>
          <w:tcPr>
            <w:tcW w:w="471" w:type="pct"/>
            <w:vMerge w:val="continue"/>
            <w:vAlign w:val="center"/>
          </w:tcPr>
          <w:p w14:paraId="6294771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p>
        </w:tc>
        <w:tc>
          <w:tcPr>
            <w:tcW w:w="1671" w:type="pct"/>
          </w:tcPr>
          <w:p w14:paraId="26DC1B6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r>
              <w:rPr>
                <w:rFonts w:eastAsia="仿宋_GB2312"/>
                <w:color w:val="000000" w:themeColor="text1"/>
                <w:kern w:val="0"/>
                <w:szCs w:val="21"/>
              </w:rPr>
              <w:t>2.重复申请</w:t>
            </w:r>
          </w:p>
        </w:tc>
        <w:tc>
          <w:tcPr>
            <w:tcW w:w="352" w:type="pct"/>
            <w:vAlign w:val="center"/>
          </w:tcPr>
          <w:p w14:paraId="0BAE62A1">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2" w:type="pct"/>
            <w:vAlign w:val="center"/>
          </w:tcPr>
          <w:p w14:paraId="46111BDD">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2" w:type="pct"/>
            <w:vAlign w:val="center"/>
          </w:tcPr>
          <w:p w14:paraId="0E87EAFB">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2" w:type="pct"/>
            <w:vAlign w:val="center"/>
          </w:tcPr>
          <w:p w14:paraId="3B9F903E">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2" w:type="pct"/>
            <w:vAlign w:val="center"/>
          </w:tcPr>
          <w:p w14:paraId="0EA0E106">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3" w:type="pct"/>
            <w:vAlign w:val="center"/>
          </w:tcPr>
          <w:p w14:paraId="44BBAF78">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3" w:type="pct"/>
          </w:tcPr>
          <w:p w14:paraId="7AFFB213">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r>
      <w:tr w14:paraId="3485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86" w:type="pct"/>
            <w:vMerge w:val="continue"/>
            <w:vAlign w:val="center"/>
          </w:tcPr>
          <w:p w14:paraId="5A126CB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p>
        </w:tc>
        <w:tc>
          <w:tcPr>
            <w:tcW w:w="471" w:type="pct"/>
            <w:vMerge w:val="continue"/>
            <w:vAlign w:val="center"/>
          </w:tcPr>
          <w:p w14:paraId="468486B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p>
        </w:tc>
        <w:tc>
          <w:tcPr>
            <w:tcW w:w="1671" w:type="pct"/>
          </w:tcPr>
          <w:p w14:paraId="5524781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r>
              <w:rPr>
                <w:rFonts w:eastAsia="仿宋_GB2312"/>
                <w:color w:val="000000" w:themeColor="text1"/>
                <w:kern w:val="0"/>
                <w:szCs w:val="21"/>
              </w:rPr>
              <w:t>3.要求提供公开出版物</w:t>
            </w:r>
          </w:p>
        </w:tc>
        <w:tc>
          <w:tcPr>
            <w:tcW w:w="352" w:type="pct"/>
            <w:vAlign w:val="center"/>
          </w:tcPr>
          <w:p w14:paraId="3D674840">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2" w:type="pct"/>
            <w:vAlign w:val="center"/>
          </w:tcPr>
          <w:p w14:paraId="08CABAFB">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2" w:type="pct"/>
            <w:vAlign w:val="center"/>
          </w:tcPr>
          <w:p w14:paraId="7CF499C9">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2" w:type="pct"/>
            <w:vAlign w:val="center"/>
          </w:tcPr>
          <w:p w14:paraId="3A271537">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2" w:type="pct"/>
            <w:vAlign w:val="center"/>
          </w:tcPr>
          <w:p w14:paraId="03156EF4">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3" w:type="pct"/>
            <w:vAlign w:val="center"/>
          </w:tcPr>
          <w:p w14:paraId="58DA0729">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3" w:type="pct"/>
          </w:tcPr>
          <w:p w14:paraId="1F74ACAB">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r>
      <w:tr w14:paraId="5797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86" w:type="pct"/>
            <w:vMerge w:val="continue"/>
            <w:vAlign w:val="center"/>
          </w:tcPr>
          <w:p w14:paraId="268667A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p>
        </w:tc>
        <w:tc>
          <w:tcPr>
            <w:tcW w:w="471" w:type="pct"/>
            <w:vMerge w:val="continue"/>
            <w:vAlign w:val="center"/>
          </w:tcPr>
          <w:p w14:paraId="5CD3662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p>
        </w:tc>
        <w:tc>
          <w:tcPr>
            <w:tcW w:w="1671" w:type="pct"/>
          </w:tcPr>
          <w:p w14:paraId="457F030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r>
              <w:rPr>
                <w:rFonts w:eastAsia="仿宋_GB2312"/>
                <w:color w:val="000000" w:themeColor="text1"/>
                <w:kern w:val="0"/>
                <w:szCs w:val="21"/>
              </w:rPr>
              <w:t>4.无正当理由大量反复申请</w:t>
            </w:r>
          </w:p>
        </w:tc>
        <w:tc>
          <w:tcPr>
            <w:tcW w:w="352" w:type="pct"/>
            <w:vAlign w:val="center"/>
          </w:tcPr>
          <w:p w14:paraId="36796417">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2" w:type="pct"/>
            <w:vAlign w:val="center"/>
          </w:tcPr>
          <w:p w14:paraId="4B5EBDF1">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2" w:type="pct"/>
            <w:vAlign w:val="center"/>
          </w:tcPr>
          <w:p w14:paraId="2ADE0B22">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2" w:type="pct"/>
            <w:vAlign w:val="center"/>
          </w:tcPr>
          <w:p w14:paraId="068A6FAF">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2" w:type="pct"/>
            <w:vAlign w:val="center"/>
          </w:tcPr>
          <w:p w14:paraId="08C4D917">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3" w:type="pct"/>
            <w:vAlign w:val="center"/>
          </w:tcPr>
          <w:p w14:paraId="2F3F7AF6">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3" w:type="pct"/>
          </w:tcPr>
          <w:p w14:paraId="6E3216AD">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r>
      <w:tr w14:paraId="7A8F0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9" w:hRule="atLeast"/>
          <w:jc w:val="center"/>
        </w:trPr>
        <w:tc>
          <w:tcPr>
            <w:tcW w:w="386" w:type="pct"/>
            <w:vMerge w:val="continue"/>
            <w:vAlign w:val="center"/>
          </w:tcPr>
          <w:p w14:paraId="791EAED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p>
        </w:tc>
        <w:tc>
          <w:tcPr>
            <w:tcW w:w="471" w:type="pct"/>
            <w:vMerge w:val="continue"/>
            <w:vAlign w:val="center"/>
          </w:tcPr>
          <w:p w14:paraId="333C1C1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p>
        </w:tc>
        <w:tc>
          <w:tcPr>
            <w:tcW w:w="1671" w:type="pct"/>
            <w:vAlign w:val="center"/>
          </w:tcPr>
          <w:p w14:paraId="59F9A32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r>
              <w:rPr>
                <w:rFonts w:eastAsia="仿宋_GB2312"/>
                <w:color w:val="000000" w:themeColor="text1"/>
                <w:kern w:val="0"/>
                <w:szCs w:val="21"/>
              </w:rPr>
              <w:t>5.要求行政机关确认或重新出具已获取信息</w:t>
            </w:r>
          </w:p>
        </w:tc>
        <w:tc>
          <w:tcPr>
            <w:tcW w:w="352" w:type="pct"/>
            <w:vAlign w:val="center"/>
          </w:tcPr>
          <w:p w14:paraId="7AE7D8EB">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2" w:type="pct"/>
            <w:vAlign w:val="center"/>
          </w:tcPr>
          <w:p w14:paraId="3AA27D08">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2" w:type="pct"/>
            <w:vAlign w:val="center"/>
          </w:tcPr>
          <w:p w14:paraId="091AF879">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2" w:type="pct"/>
            <w:vAlign w:val="center"/>
          </w:tcPr>
          <w:p w14:paraId="17031940">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2" w:type="pct"/>
            <w:vAlign w:val="center"/>
          </w:tcPr>
          <w:p w14:paraId="5B011EDF">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3" w:type="pct"/>
            <w:vAlign w:val="center"/>
          </w:tcPr>
          <w:p w14:paraId="41B439E3">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3" w:type="pct"/>
          </w:tcPr>
          <w:p w14:paraId="0973E42E">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r>
      <w:tr w14:paraId="1D773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86" w:type="pct"/>
            <w:vMerge w:val="continue"/>
            <w:vAlign w:val="center"/>
          </w:tcPr>
          <w:p w14:paraId="7CC5A8C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p>
        </w:tc>
        <w:tc>
          <w:tcPr>
            <w:tcW w:w="471" w:type="pct"/>
            <w:vMerge w:val="restart"/>
            <w:vAlign w:val="center"/>
          </w:tcPr>
          <w:p w14:paraId="7BB1E53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r>
              <w:rPr>
                <w:rFonts w:eastAsia="仿宋_GB2312"/>
                <w:color w:val="000000" w:themeColor="text1"/>
                <w:kern w:val="0"/>
                <w:szCs w:val="21"/>
              </w:rPr>
              <w:t>（六）其他处理</w:t>
            </w:r>
          </w:p>
        </w:tc>
        <w:tc>
          <w:tcPr>
            <w:tcW w:w="1671" w:type="pct"/>
            <w:vAlign w:val="center"/>
          </w:tcPr>
          <w:p w14:paraId="7E46845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r>
              <w:rPr>
                <w:rFonts w:eastAsia="仿宋_GB2312"/>
                <w:color w:val="000000" w:themeColor="text1"/>
                <w:kern w:val="0"/>
                <w:szCs w:val="21"/>
              </w:rPr>
              <w:t>1.申请人无正当理由逾期不补正、行政机关不再处理其政府信息公开申请</w:t>
            </w:r>
          </w:p>
        </w:tc>
        <w:tc>
          <w:tcPr>
            <w:tcW w:w="352" w:type="pct"/>
            <w:vAlign w:val="center"/>
          </w:tcPr>
          <w:p w14:paraId="608B9A61">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2" w:type="pct"/>
            <w:vAlign w:val="center"/>
          </w:tcPr>
          <w:p w14:paraId="39074DFD">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2" w:type="pct"/>
            <w:vAlign w:val="center"/>
          </w:tcPr>
          <w:p w14:paraId="3BAF0EB3">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2" w:type="pct"/>
            <w:vAlign w:val="center"/>
          </w:tcPr>
          <w:p w14:paraId="09FB3D64">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2" w:type="pct"/>
            <w:vAlign w:val="center"/>
          </w:tcPr>
          <w:p w14:paraId="2611292E">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3" w:type="pct"/>
            <w:vAlign w:val="center"/>
          </w:tcPr>
          <w:p w14:paraId="5693355F">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3" w:type="pct"/>
          </w:tcPr>
          <w:p w14:paraId="4CD11024">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r>
      <w:tr w14:paraId="7675A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86" w:type="pct"/>
            <w:vMerge w:val="continue"/>
            <w:vAlign w:val="center"/>
          </w:tcPr>
          <w:p w14:paraId="6F7F9C7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p>
        </w:tc>
        <w:tc>
          <w:tcPr>
            <w:tcW w:w="471" w:type="pct"/>
            <w:vMerge w:val="continue"/>
            <w:vAlign w:val="center"/>
          </w:tcPr>
          <w:p w14:paraId="409465A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p>
        </w:tc>
        <w:tc>
          <w:tcPr>
            <w:tcW w:w="1671" w:type="pct"/>
            <w:vAlign w:val="center"/>
          </w:tcPr>
          <w:p w14:paraId="7CF2E12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r>
              <w:rPr>
                <w:rFonts w:eastAsia="仿宋_GB2312"/>
                <w:color w:val="000000" w:themeColor="text1"/>
                <w:kern w:val="0"/>
                <w:szCs w:val="21"/>
              </w:rPr>
              <w:t>2.申请人逾期未按收费通知要求缴纳费用、行政机关不再处理其政府信息公开申请</w:t>
            </w:r>
          </w:p>
        </w:tc>
        <w:tc>
          <w:tcPr>
            <w:tcW w:w="352" w:type="pct"/>
            <w:vAlign w:val="center"/>
          </w:tcPr>
          <w:p w14:paraId="2E9BA55F">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2" w:type="pct"/>
            <w:vAlign w:val="center"/>
          </w:tcPr>
          <w:p w14:paraId="1547F69C">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2" w:type="pct"/>
            <w:vAlign w:val="center"/>
          </w:tcPr>
          <w:p w14:paraId="1AC7FE76">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2" w:type="pct"/>
            <w:vAlign w:val="center"/>
          </w:tcPr>
          <w:p w14:paraId="16697368">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2" w:type="pct"/>
            <w:vAlign w:val="center"/>
          </w:tcPr>
          <w:p w14:paraId="3E3CC408">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3" w:type="pct"/>
            <w:vAlign w:val="center"/>
          </w:tcPr>
          <w:p w14:paraId="7A80F82F">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3" w:type="pct"/>
          </w:tcPr>
          <w:p w14:paraId="593FDD14">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r>
      <w:tr w14:paraId="2B944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86" w:type="pct"/>
            <w:vMerge w:val="continue"/>
            <w:vAlign w:val="center"/>
          </w:tcPr>
          <w:p w14:paraId="50D79FB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p>
        </w:tc>
        <w:tc>
          <w:tcPr>
            <w:tcW w:w="471" w:type="pct"/>
            <w:vMerge w:val="continue"/>
            <w:vAlign w:val="center"/>
          </w:tcPr>
          <w:p w14:paraId="411AEEF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p>
        </w:tc>
        <w:tc>
          <w:tcPr>
            <w:tcW w:w="1671" w:type="pct"/>
            <w:vAlign w:val="center"/>
          </w:tcPr>
          <w:p w14:paraId="64C51B5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r>
              <w:rPr>
                <w:rFonts w:eastAsia="仿宋_GB2312"/>
                <w:color w:val="000000" w:themeColor="text1"/>
                <w:kern w:val="0"/>
                <w:szCs w:val="21"/>
              </w:rPr>
              <w:t>3.其他</w:t>
            </w:r>
          </w:p>
        </w:tc>
        <w:tc>
          <w:tcPr>
            <w:tcW w:w="352" w:type="pct"/>
            <w:vAlign w:val="center"/>
          </w:tcPr>
          <w:p w14:paraId="4D5D322E">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2" w:type="pct"/>
            <w:vAlign w:val="center"/>
          </w:tcPr>
          <w:p w14:paraId="5E3370BD">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2" w:type="pct"/>
            <w:vAlign w:val="center"/>
          </w:tcPr>
          <w:p w14:paraId="4D0AF215">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2" w:type="pct"/>
            <w:vAlign w:val="center"/>
          </w:tcPr>
          <w:p w14:paraId="37435493">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2" w:type="pct"/>
            <w:vAlign w:val="center"/>
          </w:tcPr>
          <w:p w14:paraId="14E3569A">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3" w:type="pct"/>
            <w:vAlign w:val="center"/>
          </w:tcPr>
          <w:p w14:paraId="5B47C276">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3" w:type="pct"/>
          </w:tcPr>
          <w:p w14:paraId="7740E2F9">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r>
      <w:tr w14:paraId="5F13B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86" w:type="pct"/>
            <w:vMerge w:val="continue"/>
            <w:vAlign w:val="center"/>
          </w:tcPr>
          <w:p w14:paraId="12C3771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p>
        </w:tc>
        <w:tc>
          <w:tcPr>
            <w:tcW w:w="2143" w:type="pct"/>
            <w:gridSpan w:val="2"/>
            <w:vAlign w:val="center"/>
          </w:tcPr>
          <w:p w14:paraId="33BA401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r>
              <w:rPr>
                <w:rFonts w:eastAsia="仿宋_GB2312"/>
                <w:color w:val="000000" w:themeColor="text1"/>
                <w:kern w:val="0"/>
                <w:szCs w:val="21"/>
              </w:rPr>
              <w:t>（七）总计</w:t>
            </w:r>
          </w:p>
        </w:tc>
        <w:tc>
          <w:tcPr>
            <w:tcW w:w="352" w:type="pct"/>
            <w:vAlign w:val="center"/>
          </w:tcPr>
          <w:p w14:paraId="63A96AD6">
            <w:pPr>
              <w:keepNext w:val="0"/>
              <w:keepLines w:val="0"/>
              <w:pageBreakBefore w:val="0"/>
              <w:widowControl w:val="0"/>
              <w:kinsoku/>
              <w:wordWrap/>
              <w:overflowPunct/>
              <w:topLinePunct w:val="0"/>
              <w:autoSpaceDE/>
              <w:autoSpaceDN/>
              <w:bidi w:val="0"/>
              <w:spacing w:line="560" w:lineRule="exact"/>
              <w:jc w:val="left"/>
              <w:textAlignment w:val="auto"/>
              <w:rPr>
                <w:rFonts w:hint="eastAsia" w:eastAsia="仿宋_GB2312"/>
                <w:color w:val="000000" w:themeColor="text1"/>
                <w:kern w:val="0"/>
                <w:szCs w:val="21"/>
                <w:lang w:eastAsia="zh-CN"/>
              </w:rPr>
            </w:pPr>
            <w:r>
              <w:rPr>
                <w:rFonts w:eastAsia="仿宋_GB2312"/>
                <w:color w:val="000000" w:themeColor="text1"/>
                <w:kern w:val="0"/>
                <w:szCs w:val="21"/>
              </w:rPr>
              <w:t> </w:t>
            </w:r>
            <w:r>
              <w:rPr>
                <w:rFonts w:hint="eastAsia" w:eastAsia="仿宋_GB2312"/>
                <w:color w:val="000000" w:themeColor="text1"/>
                <w:kern w:val="0"/>
                <w:szCs w:val="21"/>
                <w:lang w:val="en-US" w:eastAsia="zh-CN"/>
              </w:rPr>
              <w:t>2</w:t>
            </w:r>
          </w:p>
        </w:tc>
        <w:tc>
          <w:tcPr>
            <w:tcW w:w="352" w:type="pct"/>
            <w:vAlign w:val="center"/>
          </w:tcPr>
          <w:p w14:paraId="19027F1E">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2" w:type="pct"/>
            <w:vAlign w:val="center"/>
          </w:tcPr>
          <w:p w14:paraId="442E6E44">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2" w:type="pct"/>
            <w:vAlign w:val="center"/>
          </w:tcPr>
          <w:p w14:paraId="19A6634F">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2" w:type="pct"/>
            <w:vAlign w:val="center"/>
          </w:tcPr>
          <w:p w14:paraId="7B54582E">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3" w:type="pct"/>
            <w:vAlign w:val="center"/>
          </w:tcPr>
          <w:p w14:paraId="4305CF21">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3" w:type="pct"/>
          </w:tcPr>
          <w:p w14:paraId="35458303">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hint="eastAsia" w:eastAsia="仿宋_GB2312"/>
                <w:color w:val="000000" w:themeColor="text1"/>
                <w:kern w:val="0"/>
                <w:szCs w:val="21"/>
                <w:lang w:val="en-US" w:eastAsia="zh-CN"/>
              </w:rPr>
              <w:t>2</w:t>
            </w:r>
            <w:bookmarkStart w:id="1" w:name="_GoBack"/>
            <w:bookmarkEnd w:id="1"/>
            <w:r>
              <w:rPr>
                <w:rFonts w:eastAsia="仿宋_GB2312"/>
                <w:color w:val="000000" w:themeColor="text1"/>
                <w:kern w:val="0"/>
                <w:szCs w:val="21"/>
              </w:rPr>
              <w:t> </w:t>
            </w:r>
          </w:p>
        </w:tc>
      </w:tr>
      <w:tr w14:paraId="3A0E1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529" w:type="pct"/>
            <w:gridSpan w:val="3"/>
            <w:vAlign w:val="center"/>
          </w:tcPr>
          <w:p w14:paraId="535DC76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eastAsia="仿宋_GB2312"/>
                <w:color w:val="000000" w:themeColor="text1"/>
                <w:kern w:val="0"/>
                <w:szCs w:val="21"/>
              </w:rPr>
            </w:pPr>
            <w:r>
              <w:rPr>
                <w:rFonts w:eastAsia="仿宋_GB2312"/>
                <w:color w:val="000000" w:themeColor="text1"/>
                <w:kern w:val="0"/>
                <w:szCs w:val="21"/>
              </w:rPr>
              <w:t>四、结转下年度继续办理</w:t>
            </w:r>
          </w:p>
        </w:tc>
        <w:tc>
          <w:tcPr>
            <w:tcW w:w="352" w:type="pct"/>
            <w:vAlign w:val="center"/>
          </w:tcPr>
          <w:p w14:paraId="057D6DE4">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2" w:type="pct"/>
            <w:vAlign w:val="center"/>
          </w:tcPr>
          <w:p w14:paraId="12FDC180">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2" w:type="pct"/>
            <w:vAlign w:val="center"/>
          </w:tcPr>
          <w:p w14:paraId="6A7905B1">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2" w:type="pct"/>
            <w:vAlign w:val="center"/>
          </w:tcPr>
          <w:p w14:paraId="44E36E38">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2" w:type="pct"/>
            <w:vAlign w:val="center"/>
          </w:tcPr>
          <w:p w14:paraId="1448537B">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 0</w:t>
            </w:r>
          </w:p>
        </w:tc>
        <w:tc>
          <w:tcPr>
            <w:tcW w:w="353" w:type="pct"/>
            <w:vAlign w:val="center"/>
          </w:tcPr>
          <w:p w14:paraId="77B7E2DB">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c>
          <w:tcPr>
            <w:tcW w:w="353" w:type="pct"/>
          </w:tcPr>
          <w:p w14:paraId="6FF3539A">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0 </w:t>
            </w:r>
          </w:p>
        </w:tc>
      </w:tr>
    </w:tbl>
    <w:p w14:paraId="2B5FA52B">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eastAsia="黑体"/>
          <w:sz w:val="32"/>
          <w:szCs w:val="32"/>
        </w:rPr>
      </w:pPr>
    </w:p>
    <w:p w14:paraId="1D5E9D6E">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eastAsia="黑体"/>
          <w:sz w:val="32"/>
          <w:szCs w:val="32"/>
        </w:rPr>
      </w:pPr>
      <w:r>
        <w:rPr>
          <w:rFonts w:eastAsia="黑体"/>
          <w:sz w:val="32"/>
          <w:szCs w:val="32"/>
        </w:rPr>
        <w:t>四、政府信息公开行政复议、行政诉讼情况</w:t>
      </w:r>
    </w:p>
    <w:tbl>
      <w:tblPr>
        <w:tblStyle w:val="18"/>
        <w:tblW w:w="9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650"/>
        <w:gridCol w:w="650"/>
        <w:gridCol w:w="650"/>
        <w:gridCol w:w="650"/>
        <w:gridCol w:w="649"/>
        <w:gridCol w:w="649"/>
        <w:gridCol w:w="650"/>
        <w:gridCol w:w="650"/>
        <w:gridCol w:w="650"/>
        <w:gridCol w:w="650"/>
        <w:gridCol w:w="650"/>
        <w:gridCol w:w="650"/>
        <w:gridCol w:w="650"/>
        <w:gridCol w:w="650"/>
      </w:tblGrid>
      <w:tr w14:paraId="12A90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0" w:type="dxa"/>
            <w:gridSpan w:val="5"/>
            <w:tcBorders>
              <w:top w:val="single" w:color="auto" w:sz="4" w:space="0"/>
              <w:left w:val="single" w:color="auto" w:sz="4" w:space="0"/>
              <w:bottom w:val="single" w:color="auto" w:sz="4" w:space="0"/>
              <w:right w:val="single" w:color="auto" w:sz="4" w:space="0"/>
            </w:tcBorders>
            <w:vAlign w:val="center"/>
          </w:tcPr>
          <w:p w14:paraId="186FD4A3">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行政复议</w:t>
            </w:r>
          </w:p>
        </w:tc>
        <w:tc>
          <w:tcPr>
            <w:tcW w:w="6428" w:type="dxa"/>
            <w:gridSpan w:val="10"/>
            <w:tcBorders>
              <w:top w:val="single" w:color="auto" w:sz="4" w:space="0"/>
              <w:left w:val="single" w:color="auto" w:sz="4" w:space="0"/>
              <w:bottom w:val="single" w:color="auto" w:sz="4" w:space="0"/>
              <w:right w:val="single" w:color="auto" w:sz="4" w:space="0"/>
            </w:tcBorders>
            <w:vAlign w:val="center"/>
          </w:tcPr>
          <w:p w14:paraId="4689953F">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行政诉讼</w:t>
            </w:r>
          </w:p>
        </w:tc>
      </w:tr>
      <w:tr w14:paraId="7378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Merge w:val="restart"/>
            <w:tcBorders>
              <w:top w:val="nil"/>
              <w:left w:val="single" w:color="auto" w:sz="4" w:space="0"/>
              <w:bottom w:val="single" w:color="auto" w:sz="4" w:space="0"/>
              <w:right w:val="single" w:color="auto" w:sz="4" w:space="0"/>
            </w:tcBorders>
            <w:vAlign w:val="center"/>
          </w:tcPr>
          <w:p w14:paraId="7242FBB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eastAsia="仿宋_GB2312"/>
                <w:color w:val="000000" w:themeColor="text1"/>
                <w:kern w:val="0"/>
                <w:szCs w:val="21"/>
              </w:rPr>
            </w:pPr>
            <w:r>
              <w:rPr>
                <w:rFonts w:eastAsia="仿宋_GB2312"/>
                <w:color w:val="000000" w:themeColor="text1"/>
                <w:kern w:val="0"/>
                <w:szCs w:val="21"/>
              </w:rPr>
              <w:t>结果维持</w:t>
            </w:r>
          </w:p>
        </w:tc>
        <w:tc>
          <w:tcPr>
            <w:tcW w:w="642" w:type="dxa"/>
            <w:vMerge w:val="restart"/>
            <w:tcBorders>
              <w:top w:val="nil"/>
              <w:left w:val="single" w:color="auto" w:sz="4" w:space="0"/>
              <w:bottom w:val="single" w:color="auto" w:sz="4" w:space="0"/>
              <w:right w:val="single" w:color="auto" w:sz="4" w:space="0"/>
            </w:tcBorders>
            <w:vAlign w:val="center"/>
          </w:tcPr>
          <w:p w14:paraId="575FD9C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eastAsia="仿宋_GB2312"/>
                <w:color w:val="000000" w:themeColor="text1"/>
                <w:kern w:val="0"/>
                <w:szCs w:val="21"/>
              </w:rPr>
            </w:pPr>
            <w:r>
              <w:rPr>
                <w:rFonts w:eastAsia="仿宋_GB2312"/>
                <w:color w:val="000000" w:themeColor="text1"/>
                <w:kern w:val="0"/>
                <w:szCs w:val="21"/>
              </w:rPr>
              <w:t>结果</w:t>
            </w:r>
            <w:r>
              <w:rPr>
                <w:rFonts w:eastAsia="仿宋_GB2312"/>
                <w:color w:val="000000" w:themeColor="text1"/>
                <w:kern w:val="0"/>
                <w:szCs w:val="21"/>
              </w:rPr>
              <w:br w:type="textWrapping"/>
            </w:r>
            <w:r>
              <w:rPr>
                <w:rFonts w:eastAsia="仿宋_GB2312"/>
                <w:color w:val="000000" w:themeColor="text1"/>
                <w:kern w:val="0"/>
                <w:szCs w:val="21"/>
              </w:rPr>
              <w:t>纠正</w:t>
            </w:r>
          </w:p>
        </w:tc>
        <w:tc>
          <w:tcPr>
            <w:tcW w:w="642" w:type="dxa"/>
            <w:vMerge w:val="restart"/>
            <w:tcBorders>
              <w:top w:val="single" w:color="auto" w:sz="4" w:space="0"/>
              <w:left w:val="single" w:color="auto" w:sz="4" w:space="0"/>
              <w:bottom w:val="single" w:color="auto" w:sz="4" w:space="0"/>
              <w:right w:val="single" w:color="auto" w:sz="4" w:space="0"/>
            </w:tcBorders>
            <w:vAlign w:val="center"/>
          </w:tcPr>
          <w:p w14:paraId="30BCFA0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eastAsia="仿宋_GB2312"/>
                <w:color w:val="000000" w:themeColor="text1"/>
                <w:kern w:val="0"/>
                <w:szCs w:val="21"/>
              </w:rPr>
            </w:pPr>
            <w:r>
              <w:rPr>
                <w:rFonts w:eastAsia="仿宋_GB2312"/>
                <w:color w:val="000000" w:themeColor="text1"/>
                <w:kern w:val="0"/>
                <w:szCs w:val="21"/>
              </w:rPr>
              <w:t>其他</w:t>
            </w:r>
            <w:r>
              <w:rPr>
                <w:rFonts w:eastAsia="仿宋_GB2312"/>
                <w:color w:val="000000" w:themeColor="text1"/>
                <w:kern w:val="0"/>
                <w:szCs w:val="21"/>
              </w:rPr>
              <w:br w:type="textWrapping"/>
            </w:r>
            <w:r>
              <w:rPr>
                <w:rFonts w:eastAsia="仿宋_GB2312"/>
                <w:color w:val="000000" w:themeColor="text1"/>
                <w:kern w:val="0"/>
                <w:szCs w:val="21"/>
              </w:rPr>
              <w:t>结果</w:t>
            </w:r>
          </w:p>
        </w:tc>
        <w:tc>
          <w:tcPr>
            <w:tcW w:w="642" w:type="dxa"/>
            <w:vMerge w:val="restart"/>
            <w:tcBorders>
              <w:top w:val="single" w:color="auto" w:sz="4" w:space="0"/>
              <w:left w:val="single" w:color="auto" w:sz="4" w:space="0"/>
              <w:bottom w:val="single" w:color="auto" w:sz="4" w:space="0"/>
              <w:right w:val="single" w:color="auto" w:sz="4" w:space="0"/>
            </w:tcBorders>
            <w:vAlign w:val="center"/>
          </w:tcPr>
          <w:p w14:paraId="0BD8205A">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eastAsia="仿宋_GB2312"/>
                <w:color w:val="000000" w:themeColor="text1"/>
                <w:kern w:val="0"/>
                <w:szCs w:val="21"/>
              </w:rPr>
            </w:pPr>
            <w:r>
              <w:rPr>
                <w:rFonts w:eastAsia="仿宋_GB2312"/>
                <w:color w:val="000000" w:themeColor="text1"/>
                <w:kern w:val="0"/>
                <w:szCs w:val="21"/>
              </w:rPr>
              <w:t>尚未</w:t>
            </w:r>
            <w:r>
              <w:rPr>
                <w:rFonts w:eastAsia="仿宋_GB2312"/>
                <w:color w:val="000000" w:themeColor="text1"/>
                <w:kern w:val="0"/>
                <w:szCs w:val="21"/>
              </w:rPr>
              <w:br w:type="textWrapping"/>
            </w:r>
            <w:r>
              <w:rPr>
                <w:rFonts w:eastAsia="仿宋_GB2312"/>
                <w:color w:val="000000" w:themeColor="text1"/>
                <w:kern w:val="0"/>
                <w:szCs w:val="21"/>
              </w:rPr>
              <w:t>审结</w:t>
            </w:r>
          </w:p>
        </w:tc>
        <w:tc>
          <w:tcPr>
            <w:tcW w:w="642" w:type="dxa"/>
            <w:vMerge w:val="restart"/>
            <w:tcBorders>
              <w:top w:val="single" w:color="auto" w:sz="4" w:space="0"/>
              <w:left w:val="single" w:color="auto" w:sz="4" w:space="0"/>
              <w:bottom w:val="single" w:color="auto" w:sz="4" w:space="0"/>
              <w:right w:val="single" w:color="auto" w:sz="4" w:space="0"/>
            </w:tcBorders>
            <w:vAlign w:val="center"/>
          </w:tcPr>
          <w:p w14:paraId="4885E0CA">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eastAsia="仿宋_GB2312"/>
                <w:color w:val="000000" w:themeColor="text1"/>
                <w:kern w:val="0"/>
                <w:szCs w:val="21"/>
              </w:rPr>
            </w:pPr>
            <w:r>
              <w:rPr>
                <w:rFonts w:eastAsia="仿宋_GB2312"/>
                <w:color w:val="000000" w:themeColor="text1"/>
                <w:kern w:val="0"/>
                <w:szCs w:val="21"/>
              </w:rPr>
              <w:t>总计</w:t>
            </w:r>
          </w:p>
        </w:tc>
        <w:tc>
          <w:tcPr>
            <w:tcW w:w="3213" w:type="dxa"/>
            <w:gridSpan w:val="5"/>
            <w:tcBorders>
              <w:top w:val="single" w:color="auto" w:sz="4" w:space="0"/>
              <w:left w:val="single" w:color="auto" w:sz="4" w:space="0"/>
              <w:bottom w:val="single" w:color="auto" w:sz="4" w:space="0"/>
              <w:right w:val="single" w:color="auto" w:sz="4" w:space="0"/>
            </w:tcBorders>
            <w:vAlign w:val="center"/>
          </w:tcPr>
          <w:p w14:paraId="2F53925A">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eastAsia="仿宋_GB2312"/>
                <w:color w:val="000000" w:themeColor="text1"/>
                <w:kern w:val="0"/>
                <w:szCs w:val="21"/>
              </w:rPr>
            </w:pPr>
            <w:r>
              <w:rPr>
                <w:rFonts w:eastAsia="仿宋_GB2312"/>
                <w:color w:val="000000" w:themeColor="text1"/>
                <w:kern w:val="0"/>
                <w:szCs w:val="21"/>
              </w:rPr>
              <w:t>未经复议直接起诉</w:t>
            </w:r>
          </w:p>
        </w:tc>
        <w:tc>
          <w:tcPr>
            <w:tcW w:w="3215" w:type="dxa"/>
            <w:gridSpan w:val="5"/>
            <w:tcBorders>
              <w:top w:val="single" w:color="auto" w:sz="4" w:space="0"/>
              <w:left w:val="single" w:color="auto" w:sz="4" w:space="0"/>
              <w:bottom w:val="single" w:color="auto" w:sz="4" w:space="0"/>
              <w:right w:val="single" w:color="auto" w:sz="4" w:space="0"/>
            </w:tcBorders>
            <w:vAlign w:val="center"/>
          </w:tcPr>
          <w:p w14:paraId="3AD25AAD">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eastAsia="仿宋_GB2312"/>
                <w:color w:val="000000" w:themeColor="text1"/>
                <w:kern w:val="0"/>
                <w:szCs w:val="21"/>
              </w:rPr>
            </w:pPr>
            <w:r>
              <w:rPr>
                <w:rFonts w:eastAsia="仿宋_GB2312"/>
                <w:color w:val="000000" w:themeColor="text1"/>
                <w:kern w:val="0"/>
                <w:szCs w:val="21"/>
              </w:rPr>
              <w:t>复议后起诉</w:t>
            </w:r>
          </w:p>
        </w:tc>
      </w:tr>
      <w:tr w14:paraId="56C2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0" w:type="dxa"/>
            <w:vMerge w:val="continue"/>
            <w:tcBorders>
              <w:top w:val="nil"/>
              <w:left w:val="single" w:color="auto" w:sz="4" w:space="0"/>
              <w:bottom w:val="single" w:color="auto" w:sz="4" w:space="0"/>
              <w:right w:val="single" w:color="auto" w:sz="4" w:space="0"/>
            </w:tcBorders>
            <w:vAlign w:val="center"/>
          </w:tcPr>
          <w:p w14:paraId="62A9D62A">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eastAsia="仿宋_GB2312"/>
                <w:color w:val="000000" w:themeColor="text1"/>
                <w:kern w:val="0"/>
                <w:szCs w:val="21"/>
              </w:rPr>
            </w:pPr>
          </w:p>
        </w:tc>
        <w:tc>
          <w:tcPr>
            <w:tcW w:w="642" w:type="dxa"/>
            <w:vMerge w:val="continue"/>
            <w:tcBorders>
              <w:top w:val="nil"/>
              <w:left w:val="single" w:color="auto" w:sz="4" w:space="0"/>
              <w:bottom w:val="single" w:color="auto" w:sz="4" w:space="0"/>
              <w:right w:val="single" w:color="auto" w:sz="4" w:space="0"/>
            </w:tcBorders>
            <w:vAlign w:val="center"/>
          </w:tcPr>
          <w:p w14:paraId="63E73868">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eastAsia="仿宋_GB2312"/>
                <w:color w:val="000000" w:themeColor="text1"/>
                <w:kern w:val="0"/>
                <w:szCs w:val="21"/>
              </w:rPr>
            </w:pPr>
          </w:p>
        </w:tc>
        <w:tc>
          <w:tcPr>
            <w:tcW w:w="642" w:type="dxa"/>
            <w:vMerge w:val="continue"/>
            <w:tcBorders>
              <w:top w:val="single" w:color="auto" w:sz="4" w:space="0"/>
              <w:left w:val="single" w:color="auto" w:sz="4" w:space="0"/>
              <w:bottom w:val="single" w:color="auto" w:sz="4" w:space="0"/>
              <w:right w:val="single" w:color="auto" w:sz="4" w:space="0"/>
            </w:tcBorders>
            <w:vAlign w:val="center"/>
          </w:tcPr>
          <w:p w14:paraId="65CA9939">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eastAsia="仿宋_GB2312"/>
                <w:color w:val="000000" w:themeColor="text1"/>
                <w:kern w:val="0"/>
                <w:szCs w:val="21"/>
              </w:rPr>
            </w:pPr>
          </w:p>
        </w:tc>
        <w:tc>
          <w:tcPr>
            <w:tcW w:w="642" w:type="dxa"/>
            <w:vMerge w:val="continue"/>
            <w:tcBorders>
              <w:top w:val="single" w:color="auto" w:sz="4" w:space="0"/>
              <w:left w:val="single" w:color="auto" w:sz="4" w:space="0"/>
              <w:bottom w:val="single" w:color="auto" w:sz="4" w:space="0"/>
              <w:right w:val="single" w:color="auto" w:sz="4" w:space="0"/>
            </w:tcBorders>
            <w:vAlign w:val="center"/>
          </w:tcPr>
          <w:p w14:paraId="6213E163">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eastAsia="仿宋_GB2312"/>
                <w:color w:val="000000" w:themeColor="text1"/>
                <w:kern w:val="0"/>
                <w:szCs w:val="21"/>
              </w:rPr>
            </w:pPr>
          </w:p>
        </w:tc>
        <w:tc>
          <w:tcPr>
            <w:tcW w:w="642" w:type="dxa"/>
            <w:vMerge w:val="continue"/>
            <w:tcBorders>
              <w:top w:val="single" w:color="auto" w:sz="4" w:space="0"/>
              <w:left w:val="single" w:color="auto" w:sz="4" w:space="0"/>
              <w:bottom w:val="single" w:color="auto" w:sz="4" w:space="0"/>
              <w:right w:val="single" w:color="auto" w:sz="4" w:space="0"/>
            </w:tcBorders>
            <w:vAlign w:val="center"/>
          </w:tcPr>
          <w:p w14:paraId="4DF958E2">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eastAsia="仿宋_GB2312"/>
                <w:color w:val="000000" w:themeColor="text1"/>
                <w:kern w:val="0"/>
                <w:szCs w:val="21"/>
              </w:rPr>
            </w:pPr>
          </w:p>
        </w:tc>
        <w:tc>
          <w:tcPr>
            <w:tcW w:w="642" w:type="dxa"/>
            <w:tcBorders>
              <w:top w:val="single" w:color="auto" w:sz="4" w:space="0"/>
              <w:left w:val="single" w:color="auto" w:sz="4" w:space="0"/>
              <w:bottom w:val="single" w:color="auto" w:sz="4" w:space="0"/>
              <w:right w:val="single" w:color="auto" w:sz="4" w:space="0"/>
            </w:tcBorders>
            <w:vAlign w:val="center"/>
          </w:tcPr>
          <w:p w14:paraId="4CC92BB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eastAsia="仿宋_GB2312"/>
                <w:color w:val="000000" w:themeColor="text1"/>
                <w:kern w:val="0"/>
                <w:szCs w:val="21"/>
              </w:rPr>
            </w:pPr>
            <w:r>
              <w:rPr>
                <w:rFonts w:eastAsia="仿宋_GB2312"/>
                <w:color w:val="000000" w:themeColor="text1"/>
                <w:kern w:val="0"/>
                <w:szCs w:val="21"/>
              </w:rPr>
              <w:t>结果</w:t>
            </w:r>
            <w:r>
              <w:rPr>
                <w:rFonts w:eastAsia="仿宋_GB2312"/>
                <w:color w:val="000000" w:themeColor="text1"/>
                <w:kern w:val="0"/>
                <w:szCs w:val="21"/>
              </w:rPr>
              <w:br w:type="textWrapping"/>
            </w:r>
            <w:r>
              <w:rPr>
                <w:rFonts w:eastAsia="仿宋_GB2312"/>
                <w:color w:val="000000" w:themeColor="text1"/>
                <w:kern w:val="0"/>
                <w:szCs w:val="21"/>
              </w:rPr>
              <w:t>维持</w:t>
            </w:r>
          </w:p>
        </w:tc>
        <w:tc>
          <w:tcPr>
            <w:tcW w:w="642" w:type="dxa"/>
            <w:tcBorders>
              <w:top w:val="single" w:color="auto" w:sz="4" w:space="0"/>
              <w:left w:val="single" w:color="auto" w:sz="4" w:space="0"/>
              <w:bottom w:val="single" w:color="auto" w:sz="4" w:space="0"/>
              <w:right w:val="single" w:color="auto" w:sz="4" w:space="0"/>
            </w:tcBorders>
            <w:vAlign w:val="center"/>
          </w:tcPr>
          <w:p w14:paraId="09AD8C22">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eastAsia="仿宋_GB2312"/>
                <w:color w:val="000000" w:themeColor="text1"/>
                <w:kern w:val="0"/>
                <w:szCs w:val="21"/>
              </w:rPr>
            </w:pPr>
            <w:r>
              <w:rPr>
                <w:rFonts w:eastAsia="仿宋_GB2312"/>
                <w:color w:val="000000" w:themeColor="text1"/>
                <w:kern w:val="0"/>
                <w:szCs w:val="21"/>
              </w:rPr>
              <w:t>结果</w:t>
            </w:r>
            <w:r>
              <w:rPr>
                <w:rFonts w:eastAsia="仿宋_GB2312"/>
                <w:color w:val="000000" w:themeColor="text1"/>
                <w:kern w:val="0"/>
                <w:szCs w:val="21"/>
              </w:rPr>
              <w:br w:type="textWrapping"/>
            </w:r>
            <w:r>
              <w:rPr>
                <w:rFonts w:eastAsia="仿宋_GB2312"/>
                <w:color w:val="000000" w:themeColor="text1"/>
                <w:kern w:val="0"/>
                <w:szCs w:val="21"/>
              </w:rPr>
              <w:t>纠正</w:t>
            </w:r>
          </w:p>
        </w:tc>
        <w:tc>
          <w:tcPr>
            <w:tcW w:w="643" w:type="dxa"/>
            <w:tcBorders>
              <w:top w:val="single" w:color="auto" w:sz="4" w:space="0"/>
              <w:left w:val="single" w:color="auto" w:sz="4" w:space="0"/>
              <w:bottom w:val="single" w:color="auto" w:sz="4" w:space="0"/>
              <w:right w:val="single" w:color="auto" w:sz="4" w:space="0"/>
            </w:tcBorders>
            <w:vAlign w:val="center"/>
          </w:tcPr>
          <w:p w14:paraId="6491AD7D">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eastAsia="仿宋_GB2312"/>
                <w:color w:val="000000" w:themeColor="text1"/>
                <w:kern w:val="0"/>
                <w:szCs w:val="21"/>
              </w:rPr>
            </w:pPr>
            <w:r>
              <w:rPr>
                <w:rFonts w:eastAsia="仿宋_GB2312"/>
                <w:color w:val="000000" w:themeColor="text1"/>
                <w:kern w:val="0"/>
                <w:szCs w:val="21"/>
              </w:rPr>
              <w:t>其他</w:t>
            </w:r>
            <w:r>
              <w:rPr>
                <w:rFonts w:eastAsia="仿宋_GB2312"/>
                <w:color w:val="000000" w:themeColor="text1"/>
                <w:kern w:val="0"/>
                <w:szCs w:val="21"/>
              </w:rPr>
              <w:br w:type="textWrapping"/>
            </w:r>
            <w:r>
              <w:rPr>
                <w:rFonts w:eastAsia="仿宋_GB2312"/>
                <w:color w:val="000000" w:themeColor="text1"/>
                <w:kern w:val="0"/>
                <w:szCs w:val="21"/>
              </w:rPr>
              <w:t>结果</w:t>
            </w:r>
          </w:p>
        </w:tc>
        <w:tc>
          <w:tcPr>
            <w:tcW w:w="643" w:type="dxa"/>
            <w:tcBorders>
              <w:top w:val="single" w:color="auto" w:sz="4" w:space="0"/>
              <w:left w:val="single" w:color="auto" w:sz="4" w:space="0"/>
              <w:bottom w:val="single" w:color="auto" w:sz="4" w:space="0"/>
              <w:right w:val="single" w:color="auto" w:sz="4" w:space="0"/>
            </w:tcBorders>
            <w:vAlign w:val="center"/>
          </w:tcPr>
          <w:p w14:paraId="05DBAC5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eastAsia="仿宋_GB2312"/>
                <w:color w:val="000000" w:themeColor="text1"/>
                <w:kern w:val="0"/>
                <w:szCs w:val="21"/>
              </w:rPr>
            </w:pPr>
            <w:r>
              <w:rPr>
                <w:rFonts w:eastAsia="仿宋_GB2312"/>
                <w:color w:val="000000" w:themeColor="text1"/>
                <w:kern w:val="0"/>
                <w:szCs w:val="21"/>
              </w:rPr>
              <w:t>尚未</w:t>
            </w:r>
            <w:r>
              <w:rPr>
                <w:rFonts w:eastAsia="仿宋_GB2312"/>
                <w:color w:val="000000" w:themeColor="text1"/>
                <w:kern w:val="0"/>
                <w:szCs w:val="21"/>
              </w:rPr>
              <w:br w:type="textWrapping"/>
            </w:r>
            <w:r>
              <w:rPr>
                <w:rFonts w:eastAsia="仿宋_GB2312"/>
                <w:color w:val="000000" w:themeColor="text1"/>
                <w:kern w:val="0"/>
                <w:szCs w:val="21"/>
              </w:rPr>
              <w:t>审结</w:t>
            </w:r>
          </w:p>
        </w:tc>
        <w:tc>
          <w:tcPr>
            <w:tcW w:w="643" w:type="dxa"/>
            <w:tcBorders>
              <w:top w:val="single" w:color="auto" w:sz="4" w:space="0"/>
              <w:left w:val="single" w:color="auto" w:sz="4" w:space="0"/>
              <w:bottom w:val="single" w:color="auto" w:sz="4" w:space="0"/>
              <w:right w:val="single" w:color="auto" w:sz="4" w:space="0"/>
            </w:tcBorders>
            <w:vAlign w:val="center"/>
          </w:tcPr>
          <w:p w14:paraId="0929E7DD">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eastAsia="仿宋_GB2312"/>
                <w:color w:val="000000" w:themeColor="text1"/>
                <w:kern w:val="0"/>
                <w:szCs w:val="21"/>
              </w:rPr>
            </w:pPr>
            <w:r>
              <w:rPr>
                <w:rFonts w:eastAsia="仿宋_GB2312"/>
                <w:color w:val="000000" w:themeColor="text1"/>
                <w:kern w:val="0"/>
                <w:szCs w:val="21"/>
              </w:rPr>
              <w:t>总计</w:t>
            </w:r>
          </w:p>
        </w:tc>
        <w:tc>
          <w:tcPr>
            <w:tcW w:w="643" w:type="dxa"/>
            <w:tcBorders>
              <w:top w:val="single" w:color="auto" w:sz="4" w:space="0"/>
              <w:left w:val="single" w:color="auto" w:sz="4" w:space="0"/>
              <w:bottom w:val="single" w:color="auto" w:sz="4" w:space="0"/>
              <w:right w:val="single" w:color="auto" w:sz="4" w:space="0"/>
            </w:tcBorders>
            <w:vAlign w:val="center"/>
          </w:tcPr>
          <w:p w14:paraId="7AB18C2A">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eastAsia="仿宋_GB2312"/>
                <w:color w:val="000000" w:themeColor="text1"/>
                <w:kern w:val="0"/>
                <w:szCs w:val="21"/>
              </w:rPr>
            </w:pPr>
            <w:r>
              <w:rPr>
                <w:rFonts w:eastAsia="仿宋_GB2312"/>
                <w:color w:val="000000" w:themeColor="text1"/>
                <w:kern w:val="0"/>
                <w:szCs w:val="21"/>
              </w:rPr>
              <w:t>结果</w:t>
            </w:r>
            <w:r>
              <w:rPr>
                <w:rFonts w:eastAsia="仿宋_GB2312"/>
                <w:color w:val="000000" w:themeColor="text1"/>
                <w:kern w:val="0"/>
                <w:szCs w:val="21"/>
              </w:rPr>
              <w:br w:type="textWrapping"/>
            </w:r>
            <w:r>
              <w:rPr>
                <w:rFonts w:eastAsia="仿宋_GB2312"/>
                <w:color w:val="000000" w:themeColor="text1"/>
                <w:kern w:val="0"/>
                <w:szCs w:val="21"/>
              </w:rPr>
              <w:t>维持</w:t>
            </w:r>
          </w:p>
        </w:tc>
        <w:tc>
          <w:tcPr>
            <w:tcW w:w="643" w:type="dxa"/>
            <w:tcBorders>
              <w:top w:val="single" w:color="auto" w:sz="4" w:space="0"/>
              <w:left w:val="single" w:color="auto" w:sz="4" w:space="0"/>
              <w:bottom w:val="single" w:color="auto" w:sz="4" w:space="0"/>
              <w:right w:val="single" w:color="auto" w:sz="4" w:space="0"/>
            </w:tcBorders>
            <w:vAlign w:val="center"/>
          </w:tcPr>
          <w:p w14:paraId="4D69BB1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eastAsia="仿宋_GB2312"/>
                <w:color w:val="000000" w:themeColor="text1"/>
                <w:kern w:val="0"/>
                <w:szCs w:val="21"/>
              </w:rPr>
            </w:pPr>
            <w:r>
              <w:rPr>
                <w:rFonts w:eastAsia="仿宋_GB2312"/>
                <w:color w:val="000000" w:themeColor="text1"/>
                <w:kern w:val="0"/>
                <w:szCs w:val="21"/>
              </w:rPr>
              <w:t>结果</w:t>
            </w:r>
            <w:r>
              <w:rPr>
                <w:rFonts w:eastAsia="仿宋_GB2312"/>
                <w:color w:val="000000" w:themeColor="text1"/>
                <w:kern w:val="0"/>
                <w:szCs w:val="21"/>
              </w:rPr>
              <w:br w:type="textWrapping"/>
            </w:r>
            <w:r>
              <w:rPr>
                <w:rFonts w:eastAsia="仿宋_GB2312"/>
                <w:color w:val="000000" w:themeColor="text1"/>
                <w:kern w:val="0"/>
                <w:szCs w:val="21"/>
              </w:rPr>
              <w:t>纠正</w:t>
            </w:r>
          </w:p>
        </w:tc>
        <w:tc>
          <w:tcPr>
            <w:tcW w:w="643" w:type="dxa"/>
            <w:tcBorders>
              <w:top w:val="single" w:color="auto" w:sz="4" w:space="0"/>
              <w:left w:val="single" w:color="auto" w:sz="4" w:space="0"/>
              <w:bottom w:val="single" w:color="auto" w:sz="4" w:space="0"/>
              <w:right w:val="single" w:color="auto" w:sz="4" w:space="0"/>
            </w:tcBorders>
            <w:vAlign w:val="center"/>
          </w:tcPr>
          <w:p w14:paraId="6B91032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eastAsia="仿宋_GB2312"/>
                <w:color w:val="000000" w:themeColor="text1"/>
                <w:kern w:val="0"/>
                <w:szCs w:val="21"/>
              </w:rPr>
            </w:pPr>
            <w:r>
              <w:rPr>
                <w:rFonts w:eastAsia="仿宋_GB2312"/>
                <w:color w:val="000000" w:themeColor="text1"/>
                <w:kern w:val="0"/>
                <w:szCs w:val="21"/>
              </w:rPr>
              <w:t>其他</w:t>
            </w:r>
            <w:r>
              <w:rPr>
                <w:rFonts w:eastAsia="仿宋_GB2312"/>
                <w:color w:val="000000" w:themeColor="text1"/>
                <w:kern w:val="0"/>
                <w:szCs w:val="21"/>
              </w:rPr>
              <w:br w:type="textWrapping"/>
            </w:r>
            <w:r>
              <w:rPr>
                <w:rFonts w:eastAsia="仿宋_GB2312"/>
                <w:color w:val="000000" w:themeColor="text1"/>
                <w:kern w:val="0"/>
                <w:szCs w:val="21"/>
              </w:rPr>
              <w:t>结果</w:t>
            </w:r>
          </w:p>
        </w:tc>
        <w:tc>
          <w:tcPr>
            <w:tcW w:w="643" w:type="dxa"/>
            <w:tcBorders>
              <w:top w:val="single" w:color="auto" w:sz="4" w:space="0"/>
              <w:left w:val="single" w:color="auto" w:sz="4" w:space="0"/>
              <w:bottom w:val="single" w:color="auto" w:sz="4" w:space="0"/>
              <w:right w:val="single" w:color="auto" w:sz="4" w:space="0"/>
            </w:tcBorders>
            <w:vAlign w:val="center"/>
          </w:tcPr>
          <w:p w14:paraId="6696D59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eastAsia="仿宋_GB2312"/>
                <w:color w:val="000000" w:themeColor="text1"/>
                <w:kern w:val="0"/>
                <w:szCs w:val="21"/>
              </w:rPr>
            </w:pPr>
            <w:r>
              <w:rPr>
                <w:rFonts w:eastAsia="仿宋_GB2312"/>
                <w:color w:val="000000" w:themeColor="text1"/>
                <w:kern w:val="0"/>
                <w:szCs w:val="21"/>
              </w:rPr>
              <w:t>尚未</w:t>
            </w:r>
            <w:r>
              <w:rPr>
                <w:rFonts w:eastAsia="仿宋_GB2312"/>
                <w:color w:val="000000" w:themeColor="text1"/>
                <w:kern w:val="0"/>
                <w:szCs w:val="21"/>
              </w:rPr>
              <w:br w:type="textWrapping"/>
            </w:r>
            <w:r>
              <w:rPr>
                <w:rFonts w:eastAsia="仿宋_GB2312"/>
                <w:color w:val="000000" w:themeColor="text1"/>
                <w:kern w:val="0"/>
                <w:szCs w:val="21"/>
              </w:rPr>
              <w:t>审结</w:t>
            </w:r>
          </w:p>
        </w:tc>
        <w:tc>
          <w:tcPr>
            <w:tcW w:w="643" w:type="dxa"/>
            <w:tcBorders>
              <w:top w:val="single" w:color="auto" w:sz="4" w:space="0"/>
              <w:left w:val="single" w:color="auto" w:sz="4" w:space="0"/>
              <w:bottom w:val="single" w:color="auto" w:sz="4" w:space="0"/>
              <w:right w:val="single" w:color="auto" w:sz="4" w:space="0"/>
            </w:tcBorders>
            <w:vAlign w:val="center"/>
          </w:tcPr>
          <w:p w14:paraId="6E0E783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eastAsia="仿宋_GB2312"/>
                <w:color w:val="000000" w:themeColor="text1"/>
                <w:kern w:val="0"/>
                <w:szCs w:val="21"/>
              </w:rPr>
            </w:pPr>
            <w:r>
              <w:rPr>
                <w:rFonts w:eastAsia="仿宋_GB2312"/>
                <w:color w:val="000000" w:themeColor="text1"/>
                <w:kern w:val="0"/>
                <w:szCs w:val="21"/>
              </w:rPr>
              <w:t>总计</w:t>
            </w:r>
          </w:p>
        </w:tc>
      </w:tr>
      <w:tr w14:paraId="1CDC8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4AB53815">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szCs w:val="21"/>
              </w:rPr>
              <w:t> 0</w:t>
            </w:r>
          </w:p>
        </w:tc>
        <w:tc>
          <w:tcPr>
            <w:tcW w:w="642" w:type="dxa"/>
            <w:tcBorders>
              <w:top w:val="single" w:color="auto" w:sz="4" w:space="0"/>
              <w:left w:val="single" w:color="auto" w:sz="4" w:space="0"/>
              <w:bottom w:val="single" w:color="auto" w:sz="4" w:space="0"/>
              <w:right w:val="single" w:color="auto" w:sz="4" w:space="0"/>
            </w:tcBorders>
            <w:vAlign w:val="center"/>
          </w:tcPr>
          <w:p w14:paraId="6BCBAA01">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szCs w:val="21"/>
              </w:rPr>
              <w:t> 0</w:t>
            </w:r>
          </w:p>
        </w:tc>
        <w:tc>
          <w:tcPr>
            <w:tcW w:w="642" w:type="dxa"/>
            <w:tcBorders>
              <w:top w:val="single" w:color="auto" w:sz="4" w:space="0"/>
              <w:left w:val="single" w:color="auto" w:sz="4" w:space="0"/>
              <w:bottom w:val="single" w:color="auto" w:sz="4" w:space="0"/>
              <w:right w:val="single" w:color="auto" w:sz="4" w:space="0"/>
            </w:tcBorders>
            <w:vAlign w:val="center"/>
          </w:tcPr>
          <w:p w14:paraId="7650FAEE">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szCs w:val="21"/>
              </w:rPr>
              <w:t>0 </w:t>
            </w:r>
          </w:p>
        </w:tc>
        <w:tc>
          <w:tcPr>
            <w:tcW w:w="642" w:type="dxa"/>
            <w:tcBorders>
              <w:top w:val="single" w:color="auto" w:sz="4" w:space="0"/>
              <w:left w:val="single" w:color="auto" w:sz="4" w:space="0"/>
              <w:bottom w:val="single" w:color="auto" w:sz="4" w:space="0"/>
              <w:right w:val="single" w:color="auto" w:sz="4" w:space="0"/>
            </w:tcBorders>
            <w:vAlign w:val="center"/>
          </w:tcPr>
          <w:p w14:paraId="2B8A5184">
            <w:pPr>
              <w:keepNext w:val="0"/>
              <w:keepLines w:val="0"/>
              <w:pageBreakBefore w:val="0"/>
              <w:widowControl w:val="0"/>
              <w:kinsoku/>
              <w:wordWrap/>
              <w:overflowPunct/>
              <w:topLinePunct w:val="0"/>
              <w:autoSpaceDE/>
              <w:autoSpaceDN/>
              <w:bidi w:val="0"/>
              <w:spacing w:line="560" w:lineRule="exact"/>
              <w:jc w:val="left"/>
              <w:textAlignment w:val="auto"/>
              <w:rPr>
                <w:rFonts w:hint="default" w:eastAsia="仿宋_GB2312"/>
                <w:color w:val="000000" w:themeColor="text1"/>
                <w:kern w:val="0"/>
                <w:szCs w:val="21"/>
                <w:lang w:val="en-US" w:eastAsia="zh-CN"/>
              </w:rPr>
            </w:pPr>
            <w:r>
              <w:rPr>
                <w:rFonts w:hint="eastAsia" w:eastAsia="仿宋_GB2312"/>
                <w:color w:val="000000" w:themeColor="text1"/>
                <w:kern w:val="0"/>
                <w:szCs w:val="21"/>
                <w:lang w:val="en-US" w:eastAsia="zh-CN"/>
              </w:rPr>
              <w:t>1</w:t>
            </w:r>
          </w:p>
        </w:tc>
        <w:tc>
          <w:tcPr>
            <w:tcW w:w="642" w:type="dxa"/>
            <w:tcBorders>
              <w:top w:val="single" w:color="auto" w:sz="4" w:space="0"/>
              <w:left w:val="single" w:color="auto" w:sz="4" w:space="0"/>
              <w:bottom w:val="single" w:color="auto" w:sz="4" w:space="0"/>
              <w:right w:val="single" w:color="auto" w:sz="4" w:space="0"/>
            </w:tcBorders>
            <w:vAlign w:val="center"/>
          </w:tcPr>
          <w:p w14:paraId="7F3C00C0">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hint="eastAsia" w:eastAsia="仿宋_GB2312"/>
                <w:color w:val="000000" w:themeColor="text1"/>
                <w:szCs w:val="21"/>
                <w:lang w:val="en-US" w:eastAsia="zh-CN"/>
              </w:rPr>
              <w:t>1</w:t>
            </w:r>
            <w:r>
              <w:rPr>
                <w:rFonts w:eastAsia="仿宋_GB2312"/>
                <w:color w:val="000000" w:themeColor="text1"/>
                <w:szCs w:val="21"/>
              </w:rPr>
              <w:t> </w:t>
            </w:r>
          </w:p>
        </w:tc>
        <w:tc>
          <w:tcPr>
            <w:tcW w:w="642" w:type="dxa"/>
            <w:tcBorders>
              <w:top w:val="single" w:color="auto" w:sz="4" w:space="0"/>
              <w:left w:val="single" w:color="auto" w:sz="4" w:space="0"/>
              <w:bottom w:val="single" w:color="auto" w:sz="4" w:space="0"/>
              <w:right w:val="single" w:color="auto" w:sz="4" w:space="0"/>
            </w:tcBorders>
            <w:vAlign w:val="center"/>
          </w:tcPr>
          <w:p w14:paraId="4A7B38C1">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szCs w:val="21"/>
              </w:rPr>
              <w:t>0 </w:t>
            </w:r>
          </w:p>
        </w:tc>
        <w:tc>
          <w:tcPr>
            <w:tcW w:w="642" w:type="dxa"/>
            <w:tcBorders>
              <w:top w:val="single" w:color="auto" w:sz="4" w:space="0"/>
              <w:left w:val="single" w:color="auto" w:sz="4" w:space="0"/>
              <w:bottom w:val="single" w:color="auto" w:sz="4" w:space="0"/>
              <w:right w:val="single" w:color="auto" w:sz="4" w:space="0"/>
            </w:tcBorders>
            <w:vAlign w:val="center"/>
          </w:tcPr>
          <w:p w14:paraId="7E145D31">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szCs w:val="21"/>
              </w:rPr>
              <w:t> 0</w:t>
            </w:r>
          </w:p>
        </w:tc>
        <w:tc>
          <w:tcPr>
            <w:tcW w:w="643" w:type="dxa"/>
            <w:tcBorders>
              <w:top w:val="single" w:color="auto" w:sz="4" w:space="0"/>
              <w:left w:val="single" w:color="auto" w:sz="4" w:space="0"/>
              <w:bottom w:val="single" w:color="auto" w:sz="4" w:space="0"/>
              <w:right w:val="single" w:color="auto" w:sz="4" w:space="0"/>
            </w:tcBorders>
            <w:vAlign w:val="center"/>
          </w:tcPr>
          <w:p w14:paraId="2F2A7672">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szCs w:val="21"/>
              </w:rPr>
              <w:t>0 </w:t>
            </w:r>
          </w:p>
        </w:tc>
        <w:tc>
          <w:tcPr>
            <w:tcW w:w="643" w:type="dxa"/>
            <w:tcBorders>
              <w:top w:val="single" w:color="auto" w:sz="4" w:space="0"/>
              <w:left w:val="single" w:color="auto" w:sz="4" w:space="0"/>
              <w:bottom w:val="single" w:color="auto" w:sz="4" w:space="0"/>
              <w:right w:val="single" w:color="auto" w:sz="4" w:space="0"/>
            </w:tcBorders>
            <w:vAlign w:val="center"/>
          </w:tcPr>
          <w:p w14:paraId="7383A1CD">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szCs w:val="21"/>
              </w:rPr>
              <w:t>0</w:t>
            </w:r>
          </w:p>
        </w:tc>
        <w:tc>
          <w:tcPr>
            <w:tcW w:w="643" w:type="dxa"/>
            <w:tcBorders>
              <w:top w:val="single" w:color="auto" w:sz="4" w:space="0"/>
              <w:left w:val="single" w:color="auto" w:sz="4" w:space="0"/>
              <w:bottom w:val="single" w:color="auto" w:sz="4" w:space="0"/>
              <w:right w:val="single" w:color="auto" w:sz="4" w:space="0"/>
            </w:tcBorders>
            <w:vAlign w:val="center"/>
          </w:tcPr>
          <w:p w14:paraId="7B33B955">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szCs w:val="21"/>
              </w:rPr>
              <w:t> 0</w:t>
            </w:r>
          </w:p>
        </w:tc>
        <w:tc>
          <w:tcPr>
            <w:tcW w:w="643" w:type="dxa"/>
            <w:tcBorders>
              <w:top w:val="single" w:color="auto" w:sz="4" w:space="0"/>
              <w:left w:val="single" w:color="auto" w:sz="4" w:space="0"/>
              <w:bottom w:val="single" w:color="auto" w:sz="4" w:space="0"/>
              <w:right w:val="single" w:color="auto" w:sz="4" w:space="0"/>
            </w:tcBorders>
            <w:vAlign w:val="center"/>
          </w:tcPr>
          <w:p w14:paraId="40994E64">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szCs w:val="21"/>
              </w:rPr>
              <w:t> 0</w:t>
            </w:r>
          </w:p>
        </w:tc>
        <w:tc>
          <w:tcPr>
            <w:tcW w:w="643" w:type="dxa"/>
            <w:tcBorders>
              <w:top w:val="single" w:color="auto" w:sz="4" w:space="0"/>
              <w:left w:val="single" w:color="auto" w:sz="4" w:space="0"/>
              <w:bottom w:val="single" w:color="auto" w:sz="4" w:space="0"/>
              <w:right w:val="single" w:color="auto" w:sz="4" w:space="0"/>
            </w:tcBorders>
            <w:vAlign w:val="center"/>
          </w:tcPr>
          <w:p w14:paraId="5F2D6895">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szCs w:val="21"/>
              </w:rPr>
              <w:t> 0</w:t>
            </w:r>
          </w:p>
        </w:tc>
        <w:tc>
          <w:tcPr>
            <w:tcW w:w="643" w:type="dxa"/>
            <w:tcBorders>
              <w:top w:val="single" w:color="auto" w:sz="4" w:space="0"/>
              <w:left w:val="single" w:color="auto" w:sz="4" w:space="0"/>
              <w:bottom w:val="single" w:color="auto" w:sz="4" w:space="0"/>
              <w:right w:val="single" w:color="auto" w:sz="4" w:space="0"/>
            </w:tcBorders>
            <w:vAlign w:val="center"/>
          </w:tcPr>
          <w:p w14:paraId="198672A4">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szCs w:val="21"/>
              </w:rPr>
              <w:t>0 </w:t>
            </w:r>
          </w:p>
        </w:tc>
        <w:tc>
          <w:tcPr>
            <w:tcW w:w="643" w:type="dxa"/>
            <w:tcBorders>
              <w:top w:val="single" w:color="auto" w:sz="4" w:space="0"/>
              <w:left w:val="single" w:color="auto" w:sz="4" w:space="0"/>
              <w:bottom w:val="single" w:color="auto" w:sz="4" w:space="0"/>
              <w:right w:val="single" w:color="auto" w:sz="4" w:space="0"/>
            </w:tcBorders>
            <w:vAlign w:val="center"/>
          </w:tcPr>
          <w:p w14:paraId="7DE2830C">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szCs w:val="21"/>
              </w:rPr>
              <w:t>0</w:t>
            </w:r>
          </w:p>
        </w:tc>
        <w:tc>
          <w:tcPr>
            <w:tcW w:w="643" w:type="dxa"/>
            <w:tcBorders>
              <w:top w:val="single" w:color="auto" w:sz="4" w:space="0"/>
              <w:left w:val="single" w:color="auto" w:sz="4" w:space="0"/>
              <w:bottom w:val="single" w:color="auto" w:sz="4" w:space="0"/>
              <w:right w:val="single" w:color="auto" w:sz="4" w:space="0"/>
            </w:tcBorders>
            <w:vAlign w:val="center"/>
          </w:tcPr>
          <w:p w14:paraId="6D88430C">
            <w:pPr>
              <w:keepNext w:val="0"/>
              <w:keepLines w:val="0"/>
              <w:pageBreakBefore w:val="0"/>
              <w:widowControl w:val="0"/>
              <w:kinsoku/>
              <w:wordWrap/>
              <w:overflowPunct/>
              <w:topLinePunct w:val="0"/>
              <w:autoSpaceDE/>
              <w:autoSpaceDN/>
              <w:bidi w:val="0"/>
              <w:spacing w:line="560" w:lineRule="exact"/>
              <w:jc w:val="left"/>
              <w:textAlignment w:val="auto"/>
              <w:rPr>
                <w:rFonts w:eastAsia="仿宋_GB2312"/>
                <w:color w:val="000000" w:themeColor="text1"/>
                <w:kern w:val="0"/>
                <w:szCs w:val="21"/>
              </w:rPr>
            </w:pPr>
            <w:r>
              <w:rPr>
                <w:rFonts w:eastAsia="仿宋_GB2312"/>
                <w:color w:val="000000" w:themeColor="text1"/>
                <w:kern w:val="0"/>
                <w:szCs w:val="21"/>
              </w:rPr>
              <w:t>0</w:t>
            </w:r>
          </w:p>
        </w:tc>
      </w:tr>
    </w:tbl>
    <w:p w14:paraId="6BF1880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eastAsia="黑体"/>
          <w:sz w:val="32"/>
          <w:szCs w:val="32"/>
        </w:rPr>
      </w:pPr>
      <w:r>
        <w:rPr>
          <w:rFonts w:eastAsia="黑体"/>
          <w:sz w:val="32"/>
          <w:szCs w:val="32"/>
        </w:rPr>
        <w:t>五、存在的主要问题及改进情况</w:t>
      </w:r>
    </w:p>
    <w:p w14:paraId="5472E82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eastAsia="仿宋_GB2312"/>
          <w:sz w:val="32"/>
          <w:szCs w:val="32"/>
        </w:rPr>
      </w:pPr>
      <w:r>
        <w:rPr>
          <w:rFonts w:eastAsia="仿宋_GB2312"/>
          <w:color w:val="000000" w:themeColor="text1"/>
          <w:sz w:val="32"/>
          <w:szCs w:val="32"/>
        </w:rPr>
        <w:t>20</w:t>
      </w:r>
      <w:r>
        <w:rPr>
          <w:rFonts w:hint="eastAsia" w:eastAsia="仿宋_GB2312"/>
          <w:color w:val="000000" w:themeColor="text1"/>
          <w:sz w:val="32"/>
          <w:szCs w:val="32"/>
          <w:lang w:val="en-US" w:eastAsia="zh-CN"/>
        </w:rPr>
        <w:t>25</w:t>
      </w:r>
      <w:r>
        <w:rPr>
          <w:rFonts w:eastAsia="仿宋_GB2312"/>
          <w:color w:val="000000" w:themeColor="text1"/>
          <w:sz w:val="32"/>
          <w:szCs w:val="32"/>
        </w:rPr>
        <w:t>年，我局</w:t>
      </w:r>
      <w:r>
        <w:rPr>
          <w:rFonts w:hint="eastAsia" w:eastAsia="仿宋_GB2312"/>
          <w:color w:val="000000" w:themeColor="text1"/>
          <w:sz w:val="32"/>
          <w:szCs w:val="32"/>
          <w:lang w:eastAsia="zh-CN"/>
        </w:rPr>
        <w:t>的政府</w:t>
      </w:r>
      <w:r>
        <w:rPr>
          <w:rFonts w:eastAsia="仿宋_GB2312"/>
          <w:color w:val="000000" w:themeColor="text1"/>
          <w:sz w:val="32"/>
          <w:szCs w:val="32"/>
        </w:rPr>
        <w:t>信息公开工作虽然取得了一定成效，但还存在以下问题和不足：</w:t>
      </w:r>
      <w:r>
        <w:rPr>
          <w:rFonts w:hint="eastAsia" w:eastAsia="仿宋_GB2312"/>
          <w:color w:val="000000" w:themeColor="text1"/>
          <w:sz w:val="32"/>
          <w:szCs w:val="32"/>
          <w:lang w:eastAsia="zh-CN"/>
        </w:rPr>
        <w:t>一是</w:t>
      </w:r>
      <w:r>
        <w:rPr>
          <w:rFonts w:eastAsia="仿宋_GB2312"/>
          <w:sz w:val="32"/>
          <w:szCs w:val="32"/>
        </w:rPr>
        <w:t>公开渠道协同性不强。政府门户网站与政务新媒体平台信息发布存在时差，部分便民服务信息未能实现多平台同步推送</w:t>
      </w:r>
      <w:r>
        <w:rPr>
          <w:rFonts w:hint="eastAsia" w:eastAsia="仿宋_GB2312"/>
          <w:sz w:val="32"/>
          <w:szCs w:val="32"/>
          <w:lang w:eastAsia="zh-CN"/>
        </w:rPr>
        <w:t>；二是</w:t>
      </w:r>
      <w:r>
        <w:rPr>
          <w:rFonts w:eastAsia="仿宋_GB2312"/>
          <w:sz w:val="32"/>
          <w:szCs w:val="32"/>
        </w:rPr>
        <w:t>队伍专业能力有待提升。</w:t>
      </w:r>
      <w:r>
        <w:rPr>
          <w:rFonts w:hint="eastAsia" w:eastAsia="仿宋_GB2312"/>
          <w:sz w:val="32"/>
          <w:szCs w:val="32"/>
          <w:lang w:eastAsia="zh-CN"/>
        </w:rPr>
        <w:t>政府信息</w:t>
      </w:r>
      <w:r>
        <w:rPr>
          <w:rFonts w:eastAsia="仿宋_GB2312"/>
          <w:sz w:val="32"/>
          <w:szCs w:val="32"/>
        </w:rPr>
        <w:t>公开工作人员多为兼职，对信息公开范围界定、依申请公开办理规范等专业知识掌握不够扎实，应对复杂申请的能力需进一步加强。</w:t>
      </w:r>
      <w:r>
        <w:rPr>
          <w:rFonts w:eastAsia="仿宋_GB2312"/>
          <w:color w:val="000000" w:themeColor="text1"/>
          <w:sz w:val="32"/>
          <w:szCs w:val="32"/>
        </w:rPr>
        <w:t>在今后工作中，我局</w:t>
      </w:r>
      <w:r>
        <w:rPr>
          <w:rFonts w:hint="eastAsia" w:eastAsia="仿宋_GB2312"/>
          <w:sz w:val="32"/>
          <w:szCs w:val="32"/>
          <w:lang w:eastAsia="zh-CN"/>
        </w:rPr>
        <w:t>将</w:t>
      </w:r>
      <w:r>
        <w:rPr>
          <w:rFonts w:eastAsia="仿宋_GB2312"/>
          <w:sz w:val="32"/>
          <w:szCs w:val="32"/>
        </w:rPr>
        <w:t>优化公开渠道布局</w:t>
      </w:r>
      <w:r>
        <w:rPr>
          <w:rFonts w:hint="eastAsia" w:eastAsia="仿宋_GB2312"/>
          <w:sz w:val="32"/>
          <w:szCs w:val="32"/>
          <w:lang w:eastAsia="zh-CN"/>
        </w:rPr>
        <w:t>，</w:t>
      </w:r>
      <w:r>
        <w:rPr>
          <w:rFonts w:eastAsia="仿宋_GB2312"/>
          <w:sz w:val="32"/>
          <w:szCs w:val="32"/>
        </w:rPr>
        <w:t>建立政务新媒体信息发布联动机制，实现门户网站与新媒体平台信息同步发布、同步更新</w:t>
      </w:r>
      <w:r>
        <w:rPr>
          <w:rFonts w:hint="eastAsia" w:eastAsia="仿宋_GB2312"/>
          <w:sz w:val="32"/>
          <w:szCs w:val="32"/>
          <w:lang w:eastAsia="zh-CN"/>
        </w:rPr>
        <w:t>。同时</w:t>
      </w:r>
      <w:r>
        <w:rPr>
          <w:rFonts w:eastAsia="仿宋_GB2312"/>
          <w:sz w:val="32"/>
          <w:szCs w:val="32"/>
        </w:rPr>
        <w:t>强化队伍能力建设</w:t>
      </w:r>
      <w:r>
        <w:rPr>
          <w:rFonts w:hint="eastAsia" w:eastAsia="仿宋_GB2312"/>
          <w:sz w:val="32"/>
          <w:szCs w:val="32"/>
          <w:lang w:eastAsia="zh-CN"/>
        </w:rPr>
        <w:t>，</w:t>
      </w:r>
      <w:r>
        <w:rPr>
          <w:rFonts w:eastAsia="仿宋_GB2312"/>
          <w:sz w:val="32"/>
          <w:szCs w:val="32"/>
        </w:rPr>
        <w:t>将</w:t>
      </w:r>
      <w:r>
        <w:rPr>
          <w:rFonts w:hint="eastAsia" w:eastAsia="仿宋_GB2312"/>
          <w:sz w:val="32"/>
          <w:szCs w:val="32"/>
          <w:lang w:eastAsia="zh-CN"/>
        </w:rPr>
        <w:t>定期举办政府信息</w:t>
      </w:r>
      <w:r>
        <w:rPr>
          <w:rFonts w:eastAsia="仿宋_GB2312"/>
          <w:sz w:val="32"/>
          <w:szCs w:val="32"/>
        </w:rPr>
        <w:t>公开培训</w:t>
      </w:r>
      <w:r>
        <w:rPr>
          <w:rFonts w:hint="eastAsia" w:eastAsia="仿宋_GB2312"/>
          <w:sz w:val="32"/>
          <w:szCs w:val="32"/>
          <w:lang w:eastAsia="zh-CN"/>
        </w:rPr>
        <w:t>活动，</w:t>
      </w:r>
      <w:r>
        <w:rPr>
          <w:rFonts w:eastAsia="仿宋_GB2312"/>
          <w:sz w:val="32"/>
          <w:szCs w:val="32"/>
        </w:rPr>
        <w:t>邀请业务骨干开展案例教学</w:t>
      </w:r>
      <w:r>
        <w:rPr>
          <w:rFonts w:hint="eastAsia" w:eastAsia="仿宋_GB2312"/>
          <w:sz w:val="32"/>
          <w:szCs w:val="32"/>
          <w:lang w:eastAsia="zh-CN"/>
        </w:rPr>
        <w:t>，</w:t>
      </w:r>
      <w:r>
        <w:rPr>
          <w:rFonts w:eastAsia="仿宋_GB2312"/>
          <w:sz w:val="32"/>
          <w:szCs w:val="32"/>
        </w:rPr>
        <w:t>建立</w:t>
      </w:r>
      <w:r>
        <w:rPr>
          <w:rFonts w:hint="eastAsia" w:eastAsia="仿宋_GB2312"/>
          <w:sz w:val="32"/>
          <w:szCs w:val="32"/>
          <w:lang w:eastAsia="zh-CN"/>
        </w:rPr>
        <w:t>“</w:t>
      </w:r>
      <w:r>
        <w:rPr>
          <w:rFonts w:eastAsia="仿宋_GB2312"/>
          <w:sz w:val="32"/>
          <w:szCs w:val="32"/>
        </w:rPr>
        <w:t>一对一</w:t>
      </w:r>
      <w:r>
        <w:rPr>
          <w:rFonts w:hint="eastAsia" w:eastAsia="仿宋_GB2312"/>
          <w:sz w:val="32"/>
          <w:szCs w:val="32"/>
          <w:lang w:eastAsia="zh-CN"/>
        </w:rPr>
        <w:t>”</w:t>
      </w:r>
      <w:r>
        <w:rPr>
          <w:rFonts w:eastAsia="仿宋_GB2312"/>
          <w:sz w:val="32"/>
          <w:szCs w:val="32"/>
        </w:rPr>
        <w:t>帮带机制，提升</w:t>
      </w:r>
      <w:r>
        <w:rPr>
          <w:rFonts w:hint="eastAsia" w:eastAsia="仿宋_GB2312"/>
          <w:sz w:val="32"/>
          <w:szCs w:val="32"/>
          <w:lang w:eastAsia="zh-CN"/>
        </w:rPr>
        <w:t>干部专</w:t>
      </w:r>
      <w:r>
        <w:rPr>
          <w:rFonts w:eastAsia="仿宋_GB2312"/>
          <w:sz w:val="32"/>
          <w:szCs w:val="32"/>
        </w:rPr>
        <w:t>业素养和实操能力。</w:t>
      </w:r>
    </w:p>
    <w:p w14:paraId="3C90334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eastAsia="黑体"/>
          <w:sz w:val="32"/>
          <w:szCs w:val="32"/>
        </w:rPr>
      </w:pPr>
      <w:r>
        <w:rPr>
          <w:rFonts w:eastAsia="黑体"/>
          <w:sz w:val="32"/>
          <w:szCs w:val="32"/>
        </w:rPr>
        <w:t>六、其他需要报告的事项</w:t>
      </w:r>
    </w:p>
    <w:p w14:paraId="62FA39DC">
      <w:pPr>
        <w:keepNext w:val="0"/>
        <w:keepLines w:val="0"/>
        <w:pageBreakBefore w:val="0"/>
        <w:widowControl w:val="0"/>
        <w:kinsoku/>
        <w:wordWrap/>
        <w:overflowPunct/>
        <w:topLinePunct w:val="0"/>
        <w:autoSpaceDE/>
        <w:autoSpaceDN/>
        <w:bidi w:val="0"/>
        <w:adjustRightInd/>
        <w:snapToGrid/>
        <w:spacing w:line="540" w:lineRule="exact"/>
        <w:ind w:firstLine="624" w:firstLineChars="195"/>
        <w:jc w:val="left"/>
        <w:textAlignment w:val="auto"/>
        <w:rPr>
          <w:rFonts w:eastAsia="仿宋_GB2312"/>
          <w:sz w:val="32"/>
          <w:szCs w:val="32"/>
        </w:rPr>
      </w:pPr>
      <w:r>
        <w:rPr>
          <w:rFonts w:eastAsia="仿宋_GB2312"/>
          <w:sz w:val="32"/>
          <w:szCs w:val="32"/>
        </w:rPr>
        <w:t>本年度无收取信息处理费情况。</w:t>
      </w:r>
    </w:p>
    <w:p w14:paraId="5C908C2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南安市文化体育和旅游局</w:t>
      </w:r>
    </w:p>
    <w:p w14:paraId="5AF92309">
      <w:pPr>
        <w:keepNext w:val="0"/>
        <w:keepLines w:val="0"/>
        <w:pageBreakBefore w:val="0"/>
        <w:widowControl w:val="0"/>
        <w:kinsoku/>
        <w:wordWrap/>
        <w:overflowPunct/>
        <w:topLinePunct w:val="0"/>
        <w:autoSpaceDE/>
        <w:autoSpaceDN/>
        <w:bidi w:val="0"/>
        <w:adjustRightInd w:val="0"/>
        <w:snapToGrid w:val="0"/>
        <w:spacing w:line="540" w:lineRule="exact"/>
        <w:ind w:firstLine="4960" w:firstLineChars="155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16</w:t>
      </w:r>
      <w:r>
        <w:rPr>
          <w:rFonts w:hint="default" w:ascii="Times New Roman" w:hAnsi="Times New Roman" w:eastAsia="仿宋_GB2312" w:cs="Times New Roman"/>
          <w:sz w:val="32"/>
          <w:szCs w:val="32"/>
        </w:rPr>
        <w:t>日</w:t>
      </w:r>
    </w:p>
    <w:p w14:paraId="139902B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textAlignment w:val="auto"/>
        <w:rPr>
          <w:rFonts w:hint="eastAsia" w:ascii="Times New Roman" w:hAnsi="Times New Roman" w:eastAsia="仿宋_GB2312" w:cs="Times New Roman"/>
          <w:sz w:val="32"/>
          <w:szCs w:val="32"/>
          <w:lang w:eastAsia="zh-CN"/>
        </w:rPr>
        <w:sectPr>
          <w:headerReference r:id="rId3" w:type="default"/>
          <w:footerReference r:id="rId4" w:type="default"/>
          <w:footerReference r:id="rId5" w:type="even"/>
          <w:pgSz w:w="11906" w:h="16838"/>
          <w:pgMar w:top="2098" w:right="1531" w:bottom="2098" w:left="1531" w:header="851" w:footer="1814" w:gutter="0"/>
          <w:pgNumType w:fmt="numberInDash"/>
          <w:cols w:space="720" w:num="1"/>
          <w:docGrid w:linePitch="312" w:charSpace="0"/>
        </w:sectPr>
      </w:pPr>
      <w:r>
        <w:rPr>
          <w:rFonts w:hint="eastAsia" w:eastAsia="仿宋_GB2312" w:cs="Times New Roman"/>
          <w:sz w:val="32"/>
          <w:szCs w:val="32"/>
          <w:lang w:eastAsia="zh-CN"/>
        </w:rPr>
        <w:t>（此件主动公开）</w:t>
      </w:r>
    </w:p>
    <w:p w14:paraId="02A39153">
      <w:pPr>
        <w:spacing w:line="560" w:lineRule="exact"/>
        <w:jc w:val="left"/>
        <w:rPr>
          <w:rFonts w:hint="default" w:ascii="Times New Roman" w:hAnsi="Times New Roman" w:eastAsia="仿宋_GB2312" w:cs="Times New Roman"/>
          <w:sz w:val="32"/>
          <w:szCs w:val="32"/>
        </w:rPr>
      </w:pPr>
    </w:p>
    <w:p w14:paraId="227E6F27">
      <w:pPr>
        <w:spacing w:line="560" w:lineRule="exact"/>
        <w:jc w:val="left"/>
        <w:rPr>
          <w:rFonts w:hint="default" w:ascii="Times New Roman" w:hAnsi="Times New Roman" w:eastAsia="仿宋_GB2312" w:cs="Times New Roman"/>
          <w:sz w:val="32"/>
          <w:szCs w:val="32"/>
        </w:rPr>
      </w:pPr>
    </w:p>
    <w:p w14:paraId="3A88ED9C">
      <w:pPr>
        <w:spacing w:line="560" w:lineRule="exact"/>
        <w:jc w:val="left"/>
        <w:rPr>
          <w:rFonts w:hint="default" w:ascii="Times New Roman" w:hAnsi="Times New Roman" w:eastAsia="仿宋_GB2312" w:cs="Times New Roman"/>
          <w:sz w:val="32"/>
          <w:szCs w:val="32"/>
        </w:rPr>
      </w:pPr>
    </w:p>
    <w:p w14:paraId="53ACFEF1">
      <w:pPr>
        <w:spacing w:line="560" w:lineRule="exact"/>
        <w:jc w:val="left"/>
        <w:rPr>
          <w:rFonts w:hint="default" w:ascii="Times New Roman" w:hAnsi="Times New Roman" w:eastAsia="仿宋_GB2312" w:cs="Times New Roman"/>
          <w:sz w:val="32"/>
          <w:szCs w:val="32"/>
        </w:rPr>
      </w:pPr>
    </w:p>
    <w:p w14:paraId="48760FA1">
      <w:pPr>
        <w:spacing w:line="560" w:lineRule="exact"/>
        <w:jc w:val="left"/>
        <w:rPr>
          <w:rFonts w:hint="default" w:ascii="Times New Roman" w:hAnsi="Times New Roman" w:eastAsia="仿宋_GB2312" w:cs="Times New Roman"/>
          <w:sz w:val="32"/>
          <w:szCs w:val="32"/>
        </w:rPr>
      </w:pPr>
    </w:p>
    <w:p w14:paraId="347E5543">
      <w:pPr>
        <w:spacing w:line="560" w:lineRule="exact"/>
        <w:jc w:val="left"/>
        <w:rPr>
          <w:rFonts w:hint="default" w:ascii="Times New Roman" w:hAnsi="Times New Roman" w:eastAsia="仿宋_GB2312" w:cs="Times New Roman"/>
          <w:sz w:val="32"/>
          <w:szCs w:val="32"/>
        </w:rPr>
      </w:pPr>
    </w:p>
    <w:p w14:paraId="7315227A">
      <w:pPr>
        <w:spacing w:line="560" w:lineRule="exact"/>
        <w:jc w:val="left"/>
        <w:rPr>
          <w:rFonts w:hint="default" w:ascii="Times New Roman" w:hAnsi="Times New Roman" w:eastAsia="仿宋_GB2312" w:cs="Times New Roman"/>
          <w:sz w:val="32"/>
          <w:szCs w:val="32"/>
        </w:rPr>
      </w:pPr>
    </w:p>
    <w:p w14:paraId="72E1E21E">
      <w:pPr>
        <w:spacing w:line="560" w:lineRule="exact"/>
        <w:jc w:val="left"/>
        <w:rPr>
          <w:rFonts w:hint="default" w:ascii="Times New Roman" w:hAnsi="Times New Roman" w:eastAsia="仿宋_GB2312" w:cs="Times New Roman"/>
          <w:sz w:val="32"/>
          <w:szCs w:val="32"/>
        </w:rPr>
      </w:pPr>
    </w:p>
    <w:p w14:paraId="1F625B54">
      <w:pPr>
        <w:spacing w:line="560" w:lineRule="exact"/>
        <w:jc w:val="left"/>
        <w:rPr>
          <w:rFonts w:hint="default" w:ascii="Times New Roman" w:hAnsi="Times New Roman" w:eastAsia="仿宋_GB2312" w:cs="Times New Roman"/>
          <w:sz w:val="32"/>
          <w:szCs w:val="32"/>
        </w:rPr>
      </w:pPr>
    </w:p>
    <w:p w14:paraId="53451862">
      <w:pPr>
        <w:spacing w:line="560" w:lineRule="exact"/>
        <w:jc w:val="left"/>
        <w:rPr>
          <w:rFonts w:hint="default" w:ascii="Times New Roman" w:hAnsi="Times New Roman" w:eastAsia="仿宋_GB2312" w:cs="Times New Roman"/>
          <w:sz w:val="32"/>
          <w:szCs w:val="32"/>
        </w:rPr>
      </w:pPr>
    </w:p>
    <w:p w14:paraId="70A9F960">
      <w:pPr>
        <w:spacing w:line="560" w:lineRule="exact"/>
        <w:jc w:val="left"/>
        <w:rPr>
          <w:rFonts w:hint="default" w:ascii="Times New Roman" w:hAnsi="Times New Roman" w:eastAsia="仿宋_GB2312" w:cs="Times New Roman"/>
          <w:sz w:val="32"/>
          <w:szCs w:val="32"/>
        </w:rPr>
      </w:pPr>
    </w:p>
    <w:p w14:paraId="0D1F32C0">
      <w:pPr>
        <w:spacing w:line="560" w:lineRule="exact"/>
        <w:jc w:val="left"/>
        <w:rPr>
          <w:rFonts w:hint="default" w:ascii="Times New Roman" w:hAnsi="Times New Roman" w:eastAsia="仿宋_GB2312" w:cs="Times New Roman"/>
          <w:sz w:val="32"/>
          <w:szCs w:val="32"/>
        </w:rPr>
      </w:pPr>
    </w:p>
    <w:p w14:paraId="6AFDA11B">
      <w:pPr>
        <w:spacing w:line="560" w:lineRule="exact"/>
        <w:jc w:val="left"/>
        <w:rPr>
          <w:rFonts w:hint="default" w:ascii="Times New Roman" w:hAnsi="Times New Roman" w:eastAsia="仿宋_GB2312" w:cs="Times New Roman"/>
          <w:sz w:val="32"/>
          <w:szCs w:val="32"/>
        </w:rPr>
      </w:pPr>
    </w:p>
    <w:p w14:paraId="7D7F4851">
      <w:pPr>
        <w:spacing w:line="560" w:lineRule="exact"/>
        <w:jc w:val="left"/>
        <w:rPr>
          <w:rFonts w:hint="default" w:ascii="Times New Roman" w:hAnsi="Times New Roman" w:eastAsia="仿宋_GB2312" w:cs="Times New Roman"/>
          <w:sz w:val="32"/>
          <w:szCs w:val="32"/>
        </w:rPr>
      </w:pPr>
    </w:p>
    <w:p w14:paraId="2DDC8271">
      <w:pPr>
        <w:spacing w:line="560" w:lineRule="exact"/>
        <w:jc w:val="left"/>
        <w:rPr>
          <w:rFonts w:hint="default" w:ascii="Times New Roman" w:hAnsi="Times New Roman" w:eastAsia="仿宋_GB2312" w:cs="Times New Roman"/>
          <w:sz w:val="32"/>
          <w:szCs w:val="32"/>
        </w:rPr>
      </w:pPr>
    </w:p>
    <w:p w14:paraId="00D51930">
      <w:pPr>
        <w:spacing w:line="560" w:lineRule="exact"/>
        <w:jc w:val="left"/>
        <w:rPr>
          <w:rFonts w:hint="default" w:ascii="Times New Roman" w:hAnsi="Times New Roman" w:eastAsia="仿宋_GB2312" w:cs="Times New Roman"/>
          <w:sz w:val="32"/>
          <w:szCs w:val="32"/>
        </w:rPr>
      </w:pPr>
    </w:p>
    <w:p w14:paraId="69504C9C">
      <w:pPr>
        <w:spacing w:line="560" w:lineRule="exact"/>
        <w:jc w:val="left"/>
        <w:rPr>
          <w:rFonts w:hint="default" w:ascii="Times New Roman" w:hAnsi="Times New Roman" w:eastAsia="仿宋_GB2312" w:cs="Times New Roman"/>
          <w:sz w:val="32"/>
          <w:szCs w:val="32"/>
        </w:rPr>
      </w:pPr>
    </w:p>
    <w:p w14:paraId="24D6CD2B">
      <w:pPr>
        <w:spacing w:line="560" w:lineRule="exact"/>
        <w:jc w:val="left"/>
        <w:rPr>
          <w:rFonts w:hint="default" w:ascii="Times New Roman" w:hAnsi="Times New Roman" w:eastAsia="仿宋_GB2312" w:cs="Times New Roman"/>
          <w:sz w:val="32"/>
          <w:szCs w:val="32"/>
        </w:rPr>
      </w:pPr>
    </w:p>
    <w:p w14:paraId="3E20816B">
      <w:pPr>
        <w:spacing w:line="560" w:lineRule="exact"/>
        <w:jc w:val="left"/>
        <w:rPr>
          <w:rFonts w:hint="default" w:ascii="Times New Roman" w:hAnsi="Times New Roman" w:eastAsia="仿宋_GB2312" w:cs="Times New Roman"/>
          <w:sz w:val="32"/>
          <w:szCs w:val="32"/>
        </w:rPr>
      </w:pPr>
    </w:p>
    <w:p w14:paraId="37765DB3">
      <w:pPr>
        <w:spacing w:line="560" w:lineRule="exact"/>
        <w:jc w:val="left"/>
        <w:rPr>
          <w:rFonts w:hint="default" w:ascii="Times New Roman" w:hAnsi="Times New Roman" w:eastAsia="仿宋_GB2312" w:cs="Times New Roman"/>
          <w:sz w:val="32"/>
          <w:szCs w:val="32"/>
        </w:rPr>
      </w:pPr>
    </w:p>
    <w:p w14:paraId="34247E43">
      <w:pPr>
        <w:spacing w:line="560" w:lineRule="exact"/>
        <w:jc w:val="left"/>
        <w:rPr>
          <w:rFonts w:hint="default" w:ascii="Times New Roman" w:hAnsi="Times New Roman" w:eastAsia="仿宋_GB2312" w:cs="Times New Roman"/>
          <w:sz w:val="32"/>
          <w:szCs w:val="32"/>
        </w:rPr>
      </w:pPr>
    </w:p>
    <w:p w14:paraId="3CC2BCB9">
      <w:pPr>
        <w:spacing w:line="560" w:lineRule="exact"/>
        <w:jc w:val="left"/>
        <w:rPr>
          <w:rFonts w:hint="default" w:ascii="Times New Roman" w:hAnsi="Times New Roman" w:eastAsia="仿宋_GB2312" w:cs="Times New Roman"/>
          <w:sz w:val="32"/>
          <w:szCs w:val="32"/>
        </w:rPr>
      </w:pPr>
    </w:p>
    <w:p w14:paraId="0A60C7EF">
      <w:pPr>
        <w:spacing w:line="560" w:lineRule="exact"/>
        <w:jc w:val="left"/>
        <w:rPr>
          <w:rFonts w:hint="default" w:ascii="Times New Roman" w:hAnsi="Times New Roman" w:eastAsia="仿宋_GB2312" w:cs="Times New Roman"/>
          <w:sz w:val="32"/>
          <w:szCs w:val="32"/>
        </w:rPr>
      </w:pPr>
    </w:p>
    <w:p w14:paraId="4E35B680">
      <w:pPr>
        <w:pBdr>
          <w:top w:val="single" w:color="auto" w:sz="4" w:space="0"/>
          <w:bottom w:val="single" w:color="auto" w:sz="4" w:space="0"/>
          <w:between w:val="single" w:color="auto" w:sz="4" w:space="0"/>
        </w:pBdr>
        <w:adjustRightInd w:val="0"/>
        <w:snapToGrid w:val="0"/>
        <w:spacing w:line="560" w:lineRule="exact"/>
        <w:ind w:firstLine="280" w:firstLineChars="1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南安市文化体育和旅游局办公室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年1月</w:t>
      </w:r>
      <w:r>
        <w:rPr>
          <w:rFonts w:hint="eastAsia" w:eastAsia="仿宋_GB2312" w:cs="Times New Roman"/>
          <w:sz w:val="28"/>
          <w:szCs w:val="28"/>
          <w:lang w:val="en-US" w:eastAsia="zh-CN"/>
        </w:rPr>
        <w:t>16</w:t>
      </w:r>
      <w:r>
        <w:rPr>
          <w:rFonts w:hint="default" w:ascii="Times New Roman" w:hAnsi="Times New Roman" w:eastAsia="仿宋_GB2312" w:cs="Times New Roman"/>
          <w:sz w:val="28"/>
          <w:szCs w:val="28"/>
        </w:rPr>
        <w:t>日印发</w:t>
      </w:r>
      <w:bookmarkEnd w:id="0"/>
    </w:p>
    <w:sectPr>
      <w:headerReference r:id="rId6" w:type="default"/>
      <w:footerReference r:id="rId7" w:type="default"/>
      <w:pgSz w:w="11906" w:h="16838"/>
      <w:pgMar w:top="1134" w:right="1134" w:bottom="1134" w:left="1134" w:header="851" w:footer="1814"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132E6">
    <w:pPr>
      <w:pStyle w:val="13"/>
      <w:jc w:val="right"/>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EF902A6">
                <w:pPr>
                  <w:pStyle w:val="13"/>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p>
              <w:p w14:paraId="003DA091"/>
            </w:txbxContent>
          </v:textbox>
        </v:shape>
      </w:pict>
    </w:r>
  </w:p>
  <w:p w14:paraId="526CE265">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9B328">
    <w:pPr>
      <w:pStyle w:val="13"/>
    </w:pPr>
    <w:r>
      <w:rPr>
        <w:sz w:val="18"/>
      </w:rP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6A9EDBE">
                <w:pPr>
                  <w:pStyle w:val="13"/>
                </w:pPr>
                <w:r>
                  <w:rPr>
                    <w:rFonts w:hint="eastAsia" w:ascii="宋体" w:hAnsi="宋体" w:eastAsia="宋体"/>
                    <w:sz w:val="24"/>
                    <w:szCs w:val="24"/>
                  </w:rPr>
                  <w:t>—</w:t>
                </w:r>
                <w:r>
                  <w:rPr>
                    <w:rFonts w:ascii="宋体" w:hAnsi="宋体" w:eastAsia="宋体"/>
                    <w:sz w:val="24"/>
                    <w:szCs w:val="24"/>
                  </w:rPr>
                  <w:fldChar w:fldCharType="begin"/>
                </w:r>
                <w:r>
                  <w:rPr>
                    <w:rFonts w:ascii="宋体" w:hAnsi="宋体" w:eastAsia="宋体"/>
                    <w:sz w:val="24"/>
                    <w:szCs w:val="24"/>
                  </w:rPr>
                  <w:instrText xml:space="preserve"> PAGE   \* MERGEFORMAT </w:instrText>
                </w:r>
                <w:r>
                  <w:rPr>
                    <w:rFonts w:ascii="宋体" w:hAnsi="宋体" w:eastAsia="宋体"/>
                    <w:sz w:val="24"/>
                    <w:szCs w:val="24"/>
                  </w:rPr>
                  <w:fldChar w:fldCharType="separate"/>
                </w:r>
                <w:r>
                  <w:rPr>
                    <w:rFonts w:ascii="宋体" w:hAnsi="宋体" w:eastAsia="宋体"/>
                    <w:sz w:val="24"/>
                    <w:szCs w:val="24"/>
                    <w:lang w:val="zh-CN"/>
                  </w:rPr>
                  <w:t>2</w:t>
                </w:r>
                <w:r>
                  <w:rPr>
                    <w:rFonts w:ascii="宋体" w:hAnsi="宋体" w:eastAsia="宋体"/>
                    <w:sz w:val="24"/>
                    <w:szCs w:val="24"/>
                  </w:rPr>
                  <w:fldChar w:fldCharType="end"/>
                </w:r>
                <w:r>
                  <w:rPr>
                    <w:rFonts w:hint="eastAsia" w:ascii="宋体" w:hAnsi="宋体" w:eastAsia="宋体"/>
                    <w:sz w:val="24"/>
                    <w:szCs w:val="24"/>
                  </w:rPr>
                  <w:t>—</w:t>
                </w:r>
              </w:p>
              <w:p w14:paraId="7A741CF1"/>
            </w:txbxContent>
          </v:textbox>
        </v:shape>
      </w:pict>
    </w:r>
  </w:p>
  <w:p w14:paraId="25200EEE">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261272"/>
      <w:docPartObj>
        <w:docPartGallery w:val="autotext"/>
      </w:docPartObj>
    </w:sdtPr>
    <w:sdtContent>
      <w:p w14:paraId="4C3EA480">
        <w:pPr>
          <w:pStyle w:val="13"/>
          <w:jc w:val="right"/>
        </w:pPr>
        <w:r>
          <w:rPr>
            <w:rFonts w:hint="eastAsia" w:asciiTheme="minorEastAsia" w:hAnsiTheme="minorEastAsia" w:eastAsiaTheme="minorEastAsia"/>
            <w:sz w:val="24"/>
            <w:szCs w:val="24"/>
          </w:rPr>
          <w:t>—</w:t>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   \* MERGEFORMAT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1</w:t>
        </w:r>
        <w:r>
          <w:rPr>
            <w:rFonts w:asciiTheme="minorEastAsia" w:hAnsiTheme="minorEastAsia" w:eastAsiaTheme="minorEastAsia"/>
            <w:sz w:val="24"/>
            <w:szCs w:val="24"/>
          </w:rPr>
          <w:fldChar w:fldCharType="end"/>
        </w:r>
        <w:r>
          <w:rPr>
            <w:rFonts w:hint="eastAsia" w:asciiTheme="minorEastAsia" w:hAnsiTheme="minorEastAsia" w:eastAsiaTheme="minorEastAsia"/>
            <w:sz w:val="24"/>
            <w:szCs w:val="24"/>
          </w:rPr>
          <w:t>—</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480F2">
    <w:pPr>
      <w:tabs>
        <w:tab w:val="left" w:pos="169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23343">
    <w:pPr>
      <w:tabs>
        <w:tab w:val="left" w:pos="169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F14E6"/>
    <w:rsid w:val="00001450"/>
    <w:rsid w:val="00002FA0"/>
    <w:rsid w:val="000059DD"/>
    <w:rsid w:val="0001219A"/>
    <w:rsid w:val="00014FEF"/>
    <w:rsid w:val="0001513D"/>
    <w:rsid w:val="00015C95"/>
    <w:rsid w:val="00017E95"/>
    <w:rsid w:val="00020EC7"/>
    <w:rsid w:val="00022884"/>
    <w:rsid w:val="00022D14"/>
    <w:rsid w:val="00024D32"/>
    <w:rsid w:val="00025B9A"/>
    <w:rsid w:val="00025E86"/>
    <w:rsid w:val="00030035"/>
    <w:rsid w:val="000308A7"/>
    <w:rsid w:val="00031003"/>
    <w:rsid w:val="00031390"/>
    <w:rsid w:val="00035225"/>
    <w:rsid w:val="000354D5"/>
    <w:rsid w:val="00040B50"/>
    <w:rsid w:val="0004116E"/>
    <w:rsid w:val="00043469"/>
    <w:rsid w:val="000477A2"/>
    <w:rsid w:val="00053796"/>
    <w:rsid w:val="00057361"/>
    <w:rsid w:val="00061DC1"/>
    <w:rsid w:val="00063979"/>
    <w:rsid w:val="00066E65"/>
    <w:rsid w:val="00067ECA"/>
    <w:rsid w:val="00080E7A"/>
    <w:rsid w:val="00082BCA"/>
    <w:rsid w:val="00083D8E"/>
    <w:rsid w:val="00083E7E"/>
    <w:rsid w:val="00086890"/>
    <w:rsid w:val="00087816"/>
    <w:rsid w:val="00090481"/>
    <w:rsid w:val="000919B4"/>
    <w:rsid w:val="000920B5"/>
    <w:rsid w:val="00093C71"/>
    <w:rsid w:val="00094E54"/>
    <w:rsid w:val="000A12AF"/>
    <w:rsid w:val="000A16A4"/>
    <w:rsid w:val="000A4AD0"/>
    <w:rsid w:val="000A5182"/>
    <w:rsid w:val="000A68B4"/>
    <w:rsid w:val="000B0F8E"/>
    <w:rsid w:val="000B335D"/>
    <w:rsid w:val="000B3FC7"/>
    <w:rsid w:val="000B7B65"/>
    <w:rsid w:val="000C1D57"/>
    <w:rsid w:val="000C4211"/>
    <w:rsid w:val="000C69DC"/>
    <w:rsid w:val="000C7F09"/>
    <w:rsid w:val="000D490D"/>
    <w:rsid w:val="000D7F91"/>
    <w:rsid w:val="000E1205"/>
    <w:rsid w:val="000E24C8"/>
    <w:rsid w:val="000E2A50"/>
    <w:rsid w:val="000E45E1"/>
    <w:rsid w:val="000E50B3"/>
    <w:rsid w:val="000E54B2"/>
    <w:rsid w:val="000E6B0C"/>
    <w:rsid w:val="00102AAF"/>
    <w:rsid w:val="00106EE6"/>
    <w:rsid w:val="00111F9C"/>
    <w:rsid w:val="00112062"/>
    <w:rsid w:val="00113302"/>
    <w:rsid w:val="001157E6"/>
    <w:rsid w:val="00116662"/>
    <w:rsid w:val="001213D6"/>
    <w:rsid w:val="001250CE"/>
    <w:rsid w:val="001270B4"/>
    <w:rsid w:val="001277C2"/>
    <w:rsid w:val="0013124B"/>
    <w:rsid w:val="00131548"/>
    <w:rsid w:val="001329F8"/>
    <w:rsid w:val="00133575"/>
    <w:rsid w:val="001344F7"/>
    <w:rsid w:val="001357FE"/>
    <w:rsid w:val="00140278"/>
    <w:rsid w:val="001402B2"/>
    <w:rsid w:val="00141649"/>
    <w:rsid w:val="00142C3C"/>
    <w:rsid w:val="00143FBB"/>
    <w:rsid w:val="0014724E"/>
    <w:rsid w:val="00154557"/>
    <w:rsid w:val="00154836"/>
    <w:rsid w:val="00154A96"/>
    <w:rsid w:val="00155656"/>
    <w:rsid w:val="0015667D"/>
    <w:rsid w:val="00156A84"/>
    <w:rsid w:val="00161765"/>
    <w:rsid w:val="0016594F"/>
    <w:rsid w:val="00165992"/>
    <w:rsid w:val="001706AD"/>
    <w:rsid w:val="00171168"/>
    <w:rsid w:val="001724A8"/>
    <w:rsid w:val="00173C7E"/>
    <w:rsid w:val="00184466"/>
    <w:rsid w:val="00184B31"/>
    <w:rsid w:val="001859D0"/>
    <w:rsid w:val="00186A74"/>
    <w:rsid w:val="0018760E"/>
    <w:rsid w:val="00192566"/>
    <w:rsid w:val="0019435D"/>
    <w:rsid w:val="00195253"/>
    <w:rsid w:val="0019694B"/>
    <w:rsid w:val="001A112B"/>
    <w:rsid w:val="001A1C8D"/>
    <w:rsid w:val="001A5930"/>
    <w:rsid w:val="001A7B96"/>
    <w:rsid w:val="001B398C"/>
    <w:rsid w:val="001B53F2"/>
    <w:rsid w:val="001B5E9E"/>
    <w:rsid w:val="001C2200"/>
    <w:rsid w:val="001C2B12"/>
    <w:rsid w:val="001C4639"/>
    <w:rsid w:val="001C549A"/>
    <w:rsid w:val="001C5C54"/>
    <w:rsid w:val="001C6765"/>
    <w:rsid w:val="001C7434"/>
    <w:rsid w:val="001D5B7A"/>
    <w:rsid w:val="001D6695"/>
    <w:rsid w:val="001D7561"/>
    <w:rsid w:val="001D7723"/>
    <w:rsid w:val="001D7BED"/>
    <w:rsid w:val="001E3E85"/>
    <w:rsid w:val="001E3FF6"/>
    <w:rsid w:val="001E615C"/>
    <w:rsid w:val="001E6C3D"/>
    <w:rsid w:val="001E72C2"/>
    <w:rsid w:val="001E73BB"/>
    <w:rsid w:val="001F0EA0"/>
    <w:rsid w:val="001F2A43"/>
    <w:rsid w:val="001F357E"/>
    <w:rsid w:val="001F3C36"/>
    <w:rsid w:val="001F45A8"/>
    <w:rsid w:val="001F53E9"/>
    <w:rsid w:val="002005C4"/>
    <w:rsid w:val="00203BB2"/>
    <w:rsid w:val="00203D41"/>
    <w:rsid w:val="002054BD"/>
    <w:rsid w:val="0020563A"/>
    <w:rsid w:val="00206A07"/>
    <w:rsid w:val="00212B4C"/>
    <w:rsid w:val="00212DCD"/>
    <w:rsid w:val="0021327C"/>
    <w:rsid w:val="0021410C"/>
    <w:rsid w:val="00216B44"/>
    <w:rsid w:val="00217488"/>
    <w:rsid w:val="00217739"/>
    <w:rsid w:val="00220521"/>
    <w:rsid w:val="0022291E"/>
    <w:rsid w:val="00223B3D"/>
    <w:rsid w:val="0022467F"/>
    <w:rsid w:val="002246DC"/>
    <w:rsid w:val="0022486C"/>
    <w:rsid w:val="00226E2D"/>
    <w:rsid w:val="00230E99"/>
    <w:rsid w:val="002328C3"/>
    <w:rsid w:val="00232A4B"/>
    <w:rsid w:val="002362DD"/>
    <w:rsid w:val="00240DA7"/>
    <w:rsid w:val="00241758"/>
    <w:rsid w:val="00244327"/>
    <w:rsid w:val="0024443F"/>
    <w:rsid w:val="0024774C"/>
    <w:rsid w:val="00247D75"/>
    <w:rsid w:val="00252DF5"/>
    <w:rsid w:val="00252F8A"/>
    <w:rsid w:val="0025371D"/>
    <w:rsid w:val="00256C32"/>
    <w:rsid w:val="00256DBA"/>
    <w:rsid w:val="0025769D"/>
    <w:rsid w:val="002620EC"/>
    <w:rsid w:val="00263A2C"/>
    <w:rsid w:val="00267B37"/>
    <w:rsid w:val="0027195B"/>
    <w:rsid w:val="0027334D"/>
    <w:rsid w:val="002767EE"/>
    <w:rsid w:val="002821F9"/>
    <w:rsid w:val="00284B41"/>
    <w:rsid w:val="00285F34"/>
    <w:rsid w:val="00287260"/>
    <w:rsid w:val="00287EE8"/>
    <w:rsid w:val="0029045C"/>
    <w:rsid w:val="00293F00"/>
    <w:rsid w:val="002953B9"/>
    <w:rsid w:val="00297FD2"/>
    <w:rsid w:val="002A0459"/>
    <w:rsid w:val="002A064C"/>
    <w:rsid w:val="002A4B52"/>
    <w:rsid w:val="002A754A"/>
    <w:rsid w:val="002A77F4"/>
    <w:rsid w:val="002A7FE6"/>
    <w:rsid w:val="002B0CB3"/>
    <w:rsid w:val="002B3956"/>
    <w:rsid w:val="002B495D"/>
    <w:rsid w:val="002B5E09"/>
    <w:rsid w:val="002B7FED"/>
    <w:rsid w:val="002C2394"/>
    <w:rsid w:val="002C332E"/>
    <w:rsid w:val="002C3BC5"/>
    <w:rsid w:val="002C5BF8"/>
    <w:rsid w:val="002C5CD4"/>
    <w:rsid w:val="002C7159"/>
    <w:rsid w:val="002C7D99"/>
    <w:rsid w:val="002D10AD"/>
    <w:rsid w:val="002D1562"/>
    <w:rsid w:val="002D1FA6"/>
    <w:rsid w:val="002D4BAA"/>
    <w:rsid w:val="002E03D2"/>
    <w:rsid w:val="002E1B1A"/>
    <w:rsid w:val="002E2D59"/>
    <w:rsid w:val="002E2F07"/>
    <w:rsid w:val="002E576E"/>
    <w:rsid w:val="002E6381"/>
    <w:rsid w:val="002E712F"/>
    <w:rsid w:val="002E7C1C"/>
    <w:rsid w:val="002F23F0"/>
    <w:rsid w:val="002F3E6E"/>
    <w:rsid w:val="002F7A17"/>
    <w:rsid w:val="00304F35"/>
    <w:rsid w:val="00306798"/>
    <w:rsid w:val="00307762"/>
    <w:rsid w:val="00307FDA"/>
    <w:rsid w:val="003117E9"/>
    <w:rsid w:val="00312541"/>
    <w:rsid w:val="0031330D"/>
    <w:rsid w:val="0032018F"/>
    <w:rsid w:val="00320D2F"/>
    <w:rsid w:val="0032393A"/>
    <w:rsid w:val="00323ACC"/>
    <w:rsid w:val="0033155F"/>
    <w:rsid w:val="00331EC9"/>
    <w:rsid w:val="00334086"/>
    <w:rsid w:val="003369C3"/>
    <w:rsid w:val="00337D69"/>
    <w:rsid w:val="0034128B"/>
    <w:rsid w:val="00343DB6"/>
    <w:rsid w:val="00343F76"/>
    <w:rsid w:val="00344C15"/>
    <w:rsid w:val="00344D77"/>
    <w:rsid w:val="00346425"/>
    <w:rsid w:val="00346D82"/>
    <w:rsid w:val="00347944"/>
    <w:rsid w:val="00347B77"/>
    <w:rsid w:val="00347CD7"/>
    <w:rsid w:val="0035012B"/>
    <w:rsid w:val="00351794"/>
    <w:rsid w:val="00353488"/>
    <w:rsid w:val="00356060"/>
    <w:rsid w:val="0035627E"/>
    <w:rsid w:val="0036171C"/>
    <w:rsid w:val="00363125"/>
    <w:rsid w:val="00364728"/>
    <w:rsid w:val="00365BE6"/>
    <w:rsid w:val="0036674C"/>
    <w:rsid w:val="00367A69"/>
    <w:rsid w:val="0037072B"/>
    <w:rsid w:val="00370A51"/>
    <w:rsid w:val="003716AD"/>
    <w:rsid w:val="003728C4"/>
    <w:rsid w:val="003740AE"/>
    <w:rsid w:val="0037475E"/>
    <w:rsid w:val="00375632"/>
    <w:rsid w:val="003766AB"/>
    <w:rsid w:val="00382F7F"/>
    <w:rsid w:val="0038388F"/>
    <w:rsid w:val="0038619B"/>
    <w:rsid w:val="0039114F"/>
    <w:rsid w:val="00394BBD"/>
    <w:rsid w:val="00395552"/>
    <w:rsid w:val="003A26EC"/>
    <w:rsid w:val="003A28E9"/>
    <w:rsid w:val="003A2DE5"/>
    <w:rsid w:val="003A53F5"/>
    <w:rsid w:val="003B2769"/>
    <w:rsid w:val="003B33C5"/>
    <w:rsid w:val="003B37BB"/>
    <w:rsid w:val="003B5CEE"/>
    <w:rsid w:val="003B7C03"/>
    <w:rsid w:val="003C45A5"/>
    <w:rsid w:val="003C510C"/>
    <w:rsid w:val="003C5121"/>
    <w:rsid w:val="003E35DA"/>
    <w:rsid w:val="003E5755"/>
    <w:rsid w:val="003F0064"/>
    <w:rsid w:val="003F0834"/>
    <w:rsid w:val="003F2F70"/>
    <w:rsid w:val="003F3552"/>
    <w:rsid w:val="003F42BD"/>
    <w:rsid w:val="003F4871"/>
    <w:rsid w:val="003F7E48"/>
    <w:rsid w:val="004008A9"/>
    <w:rsid w:val="004012E1"/>
    <w:rsid w:val="00403397"/>
    <w:rsid w:val="00403B70"/>
    <w:rsid w:val="00403F82"/>
    <w:rsid w:val="0040450A"/>
    <w:rsid w:val="00404663"/>
    <w:rsid w:val="00407543"/>
    <w:rsid w:val="004077BF"/>
    <w:rsid w:val="00411969"/>
    <w:rsid w:val="004125D4"/>
    <w:rsid w:val="00416C96"/>
    <w:rsid w:val="00417961"/>
    <w:rsid w:val="00421FD2"/>
    <w:rsid w:val="0042258E"/>
    <w:rsid w:val="004228F8"/>
    <w:rsid w:val="00425E52"/>
    <w:rsid w:val="00431101"/>
    <w:rsid w:val="00431CB8"/>
    <w:rsid w:val="00431D06"/>
    <w:rsid w:val="00432263"/>
    <w:rsid w:val="00432D08"/>
    <w:rsid w:val="0043340F"/>
    <w:rsid w:val="00434F61"/>
    <w:rsid w:val="0043579E"/>
    <w:rsid w:val="004364E5"/>
    <w:rsid w:val="00437D2B"/>
    <w:rsid w:val="00441ADE"/>
    <w:rsid w:val="004421AB"/>
    <w:rsid w:val="00442DE7"/>
    <w:rsid w:val="00442DE9"/>
    <w:rsid w:val="00445B67"/>
    <w:rsid w:val="00446CA8"/>
    <w:rsid w:val="00446D94"/>
    <w:rsid w:val="004477E3"/>
    <w:rsid w:val="00447A91"/>
    <w:rsid w:val="00451BF5"/>
    <w:rsid w:val="00454A99"/>
    <w:rsid w:val="004579EC"/>
    <w:rsid w:val="00462A7E"/>
    <w:rsid w:val="004643E5"/>
    <w:rsid w:val="00467F8E"/>
    <w:rsid w:val="004736DA"/>
    <w:rsid w:val="004749C1"/>
    <w:rsid w:val="0047643D"/>
    <w:rsid w:val="00481452"/>
    <w:rsid w:val="0048523D"/>
    <w:rsid w:val="00486C2C"/>
    <w:rsid w:val="0048781C"/>
    <w:rsid w:val="004900FF"/>
    <w:rsid w:val="00491A9F"/>
    <w:rsid w:val="00493EEA"/>
    <w:rsid w:val="004957ED"/>
    <w:rsid w:val="0049595D"/>
    <w:rsid w:val="00497970"/>
    <w:rsid w:val="004A0BCA"/>
    <w:rsid w:val="004A17E3"/>
    <w:rsid w:val="004A1EDF"/>
    <w:rsid w:val="004A2383"/>
    <w:rsid w:val="004A5CA9"/>
    <w:rsid w:val="004A6009"/>
    <w:rsid w:val="004A61C1"/>
    <w:rsid w:val="004A6C79"/>
    <w:rsid w:val="004A6DA6"/>
    <w:rsid w:val="004A6EDE"/>
    <w:rsid w:val="004B00DD"/>
    <w:rsid w:val="004B2FF5"/>
    <w:rsid w:val="004B34A6"/>
    <w:rsid w:val="004B4ADA"/>
    <w:rsid w:val="004B4FF7"/>
    <w:rsid w:val="004B519E"/>
    <w:rsid w:val="004B5F00"/>
    <w:rsid w:val="004B78DC"/>
    <w:rsid w:val="004C3491"/>
    <w:rsid w:val="004C350F"/>
    <w:rsid w:val="004C61A3"/>
    <w:rsid w:val="004C6B02"/>
    <w:rsid w:val="004C6D02"/>
    <w:rsid w:val="004C766B"/>
    <w:rsid w:val="004D2E84"/>
    <w:rsid w:val="004D39F8"/>
    <w:rsid w:val="004D3A45"/>
    <w:rsid w:val="004D5D2E"/>
    <w:rsid w:val="004D60DE"/>
    <w:rsid w:val="004D67A5"/>
    <w:rsid w:val="004D7949"/>
    <w:rsid w:val="004E0658"/>
    <w:rsid w:val="004E11C2"/>
    <w:rsid w:val="004E1BA2"/>
    <w:rsid w:val="004E2430"/>
    <w:rsid w:val="004E3495"/>
    <w:rsid w:val="004E3D81"/>
    <w:rsid w:val="004E71FE"/>
    <w:rsid w:val="004F14BE"/>
    <w:rsid w:val="004F1E9B"/>
    <w:rsid w:val="004F5F14"/>
    <w:rsid w:val="00500C54"/>
    <w:rsid w:val="00502F99"/>
    <w:rsid w:val="00503FC3"/>
    <w:rsid w:val="00504189"/>
    <w:rsid w:val="00507C1E"/>
    <w:rsid w:val="00510D6F"/>
    <w:rsid w:val="00511B5E"/>
    <w:rsid w:val="00513E4F"/>
    <w:rsid w:val="00515F2D"/>
    <w:rsid w:val="00516DAC"/>
    <w:rsid w:val="00517D31"/>
    <w:rsid w:val="00517DA7"/>
    <w:rsid w:val="005200DE"/>
    <w:rsid w:val="00525FBF"/>
    <w:rsid w:val="00526A40"/>
    <w:rsid w:val="00533531"/>
    <w:rsid w:val="00535AE7"/>
    <w:rsid w:val="00537493"/>
    <w:rsid w:val="00537FED"/>
    <w:rsid w:val="00540121"/>
    <w:rsid w:val="0054715C"/>
    <w:rsid w:val="00547F98"/>
    <w:rsid w:val="00550E04"/>
    <w:rsid w:val="005532D6"/>
    <w:rsid w:val="00555914"/>
    <w:rsid w:val="0056135C"/>
    <w:rsid w:val="00561632"/>
    <w:rsid w:val="00562ACB"/>
    <w:rsid w:val="005633AC"/>
    <w:rsid w:val="00563618"/>
    <w:rsid w:val="00566EBC"/>
    <w:rsid w:val="005714B5"/>
    <w:rsid w:val="00575E39"/>
    <w:rsid w:val="0057631B"/>
    <w:rsid w:val="00576FA8"/>
    <w:rsid w:val="0058346E"/>
    <w:rsid w:val="00583F47"/>
    <w:rsid w:val="00586043"/>
    <w:rsid w:val="005A6C22"/>
    <w:rsid w:val="005A7D13"/>
    <w:rsid w:val="005B118E"/>
    <w:rsid w:val="005B4923"/>
    <w:rsid w:val="005B5034"/>
    <w:rsid w:val="005B5CBA"/>
    <w:rsid w:val="005B72A6"/>
    <w:rsid w:val="005C21D4"/>
    <w:rsid w:val="005C29E4"/>
    <w:rsid w:val="005C475F"/>
    <w:rsid w:val="005C5930"/>
    <w:rsid w:val="005D07AE"/>
    <w:rsid w:val="005D315F"/>
    <w:rsid w:val="005D3CC6"/>
    <w:rsid w:val="005D5AA3"/>
    <w:rsid w:val="005D6C67"/>
    <w:rsid w:val="005D6FC5"/>
    <w:rsid w:val="005E0D2D"/>
    <w:rsid w:val="005E27F7"/>
    <w:rsid w:val="005F0F70"/>
    <w:rsid w:val="005F364B"/>
    <w:rsid w:val="005F4513"/>
    <w:rsid w:val="005F4E1C"/>
    <w:rsid w:val="005F4E1E"/>
    <w:rsid w:val="005F54C3"/>
    <w:rsid w:val="005F5C76"/>
    <w:rsid w:val="005F61C1"/>
    <w:rsid w:val="005F766E"/>
    <w:rsid w:val="005F767B"/>
    <w:rsid w:val="005F7D02"/>
    <w:rsid w:val="00601696"/>
    <w:rsid w:val="0060263B"/>
    <w:rsid w:val="00605338"/>
    <w:rsid w:val="00606936"/>
    <w:rsid w:val="00606A9D"/>
    <w:rsid w:val="00607CF7"/>
    <w:rsid w:val="00614D3B"/>
    <w:rsid w:val="0061612E"/>
    <w:rsid w:val="00617B17"/>
    <w:rsid w:val="006200F0"/>
    <w:rsid w:val="006225AC"/>
    <w:rsid w:val="00624538"/>
    <w:rsid w:val="0062729D"/>
    <w:rsid w:val="00634BD1"/>
    <w:rsid w:val="00640F57"/>
    <w:rsid w:val="006417B2"/>
    <w:rsid w:val="0064294E"/>
    <w:rsid w:val="00643021"/>
    <w:rsid w:val="00652EEE"/>
    <w:rsid w:val="00655971"/>
    <w:rsid w:val="00656096"/>
    <w:rsid w:val="00656781"/>
    <w:rsid w:val="006578BD"/>
    <w:rsid w:val="006614CB"/>
    <w:rsid w:val="00661DB1"/>
    <w:rsid w:val="00671A13"/>
    <w:rsid w:val="00672859"/>
    <w:rsid w:val="00673487"/>
    <w:rsid w:val="00674605"/>
    <w:rsid w:val="00674AEF"/>
    <w:rsid w:val="006762E6"/>
    <w:rsid w:val="0067700B"/>
    <w:rsid w:val="00680C48"/>
    <w:rsid w:val="006813E3"/>
    <w:rsid w:val="00682244"/>
    <w:rsid w:val="00682400"/>
    <w:rsid w:val="006830AB"/>
    <w:rsid w:val="006852F2"/>
    <w:rsid w:val="00686011"/>
    <w:rsid w:val="00687752"/>
    <w:rsid w:val="00691C24"/>
    <w:rsid w:val="0069251E"/>
    <w:rsid w:val="0069296F"/>
    <w:rsid w:val="006940F9"/>
    <w:rsid w:val="00694E34"/>
    <w:rsid w:val="00694F96"/>
    <w:rsid w:val="006957F1"/>
    <w:rsid w:val="006965E8"/>
    <w:rsid w:val="00697181"/>
    <w:rsid w:val="00697A48"/>
    <w:rsid w:val="006A1B05"/>
    <w:rsid w:val="006A2AD6"/>
    <w:rsid w:val="006A30EE"/>
    <w:rsid w:val="006A3606"/>
    <w:rsid w:val="006A72AF"/>
    <w:rsid w:val="006A7D0C"/>
    <w:rsid w:val="006B3072"/>
    <w:rsid w:val="006B3B49"/>
    <w:rsid w:val="006B3E8B"/>
    <w:rsid w:val="006B6569"/>
    <w:rsid w:val="006C2710"/>
    <w:rsid w:val="006C5942"/>
    <w:rsid w:val="006D602F"/>
    <w:rsid w:val="006E02DF"/>
    <w:rsid w:val="006E12AF"/>
    <w:rsid w:val="006E16F5"/>
    <w:rsid w:val="006E2D13"/>
    <w:rsid w:val="006E61B4"/>
    <w:rsid w:val="006E731A"/>
    <w:rsid w:val="006F2E45"/>
    <w:rsid w:val="006F2F80"/>
    <w:rsid w:val="006F352E"/>
    <w:rsid w:val="00700D22"/>
    <w:rsid w:val="00704486"/>
    <w:rsid w:val="00705391"/>
    <w:rsid w:val="00706681"/>
    <w:rsid w:val="007070D0"/>
    <w:rsid w:val="007108E8"/>
    <w:rsid w:val="0071169B"/>
    <w:rsid w:val="00723B89"/>
    <w:rsid w:val="00723E7D"/>
    <w:rsid w:val="007256D6"/>
    <w:rsid w:val="00725AE2"/>
    <w:rsid w:val="007279F7"/>
    <w:rsid w:val="00727EBA"/>
    <w:rsid w:val="00730C4E"/>
    <w:rsid w:val="00736CDF"/>
    <w:rsid w:val="007407D7"/>
    <w:rsid w:val="007444C0"/>
    <w:rsid w:val="00744C65"/>
    <w:rsid w:val="00745602"/>
    <w:rsid w:val="00746105"/>
    <w:rsid w:val="0074728F"/>
    <w:rsid w:val="0075195E"/>
    <w:rsid w:val="00753DC1"/>
    <w:rsid w:val="0075445E"/>
    <w:rsid w:val="00756284"/>
    <w:rsid w:val="00756334"/>
    <w:rsid w:val="00757766"/>
    <w:rsid w:val="007603C9"/>
    <w:rsid w:val="00760CEF"/>
    <w:rsid w:val="00763D8D"/>
    <w:rsid w:val="00765853"/>
    <w:rsid w:val="00767FB1"/>
    <w:rsid w:val="007704D7"/>
    <w:rsid w:val="0077521E"/>
    <w:rsid w:val="007752D3"/>
    <w:rsid w:val="00776C6B"/>
    <w:rsid w:val="00776DDB"/>
    <w:rsid w:val="00782D2C"/>
    <w:rsid w:val="00782D9D"/>
    <w:rsid w:val="007831D8"/>
    <w:rsid w:val="00794884"/>
    <w:rsid w:val="00794921"/>
    <w:rsid w:val="007A0153"/>
    <w:rsid w:val="007A1F1B"/>
    <w:rsid w:val="007A40FA"/>
    <w:rsid w:val="007A746E"/>
    <w:rsid w:val="007A7D17"/>
    <w:rsid w:val="007B153E"/>
    <w:rsid w:val="007B369A"/>
    <w:rsid w:val="007B3B12"/>
    <w:rsid w:val="007B3C85"/>
    <w:rsid w:val="007B6019"/>
    <w:rsid w:val="007C2069"/>
    <w:rsid w:val="007C43F9"/>
    <w:rsid w:val="007C51CB"/>
    <w:rsid w:val="007C55B1"/>
    <w:rsid w:val="007C6DBC"/>
    <w:rsid w:val="007C76EE"/>
    <w:rsid w:val="007D7352"/>
    <w:rsid w:val="007E11CB"/>
    <w:rsid w:val="007E2B77"/>
    <w:rsid w:val="007E2D89"/>
    <w:rsid w:val="007F00E6"/>
    <w:rsid w:val="007F0E5A"/>
    <w:rsid w:val="007F26DF"/>
    <w:rsid w:val="007F55E0"/>
    <w:rsid w:val="00800AE3"/>
    <w:rsid w:val="00800FFF"/>
    <w:rsid w:val="008032AA"/>
    <w:rsid w:val="008034A9"/>
    <w:rsid w:val="00810683"/>
    <w:rsid w:val="00812DA0"/>
    <w:rsid w:val="00814A30"/>
    <w:rsid w:val="008153DF"/>
    <w:rsid w:val="0082082A"/>
    <w:rsid w:val="00823262"/>
    <w:rsid w:val="008255A6"/>
    <w:rsid w:val="0082601F"/>
    <w:rsid w:val="008334FE"/>
    <w:rsid w:val="00833BC2"/>
    <w:rsid w:val="0083547C"/>
    <w:rsid w:val="00841403"/>
    <w:rsid w:val="00843125"/>
    <w:rsid w:val="00844ACA"/>
    <w:rsid w:val="00844C79"/>
    <w:rsid w:val="00844E27"/>
    <w:rsid w:val="00847E08"/>
    <w:rsid w:val="00853FBA"/>
    <w:rsid w:val="00855883"/>
    <w:rsid w:val="00857DC2"/>
    <w:rsid w:val="00857F29"/>
    <w:rsid w:val="00860825"/>
    <w:rsid w:val="00863937"/>
    <w:rsid w:val="008701DD"/>
    <w:rsid w:val="00882AF8"/>
    <w:rsid w:val="008854A0"/>
    <w:rsid w:val="00885C0D"/>
    <w:rsid w:val="00886E8F"/>
    <w:rsid w:val="0089033F"/>
    <w:rsid w:val="00891CC1"/>
    <w:rsid w:val="008931C7"/>
    <w:rsid w:val="00893C89"/>
    <w:rsid w:val="00897993"/>
    <w:rsid w:val="008A133D"/>
    <w:rsid w:val="008A19C5"/>
    <w:rsid w:val="008A4A8F"/>
    <w:rsid w:val="008A7D0C"/>
    <w:rsid w:val="008B065F"/>
    <w:rsid w:val="008B4258"/>
    <w:rsid w:val="008B4C93"/>
    <w:rsid w:val="008B628F"/>
    <w:rsid w:val="008B6BC6"/>
    <w:rsid w:val="008C3AF4"/>
    <w:rsid w:val="008C5075"/>
    <w:rsid w:val="008D0384"/>
    <w:rsid w:val="008D0A41"/>
    <w:rsid w:val="008D2B27"/>
    <w:rsid w:val="008D35DB"/>
    <w:rsid w:val="008D42D5"/>
    <w:rsid w:val="008D6DE7"/>
    <w:rsid w:val="008D7A7F"/>
    <w:rsid w:val="008E1A6C"/>
    <w:rsid w:val="008E385E"/>
    <w:rsid w:val="008E39BF"/>
    <w:rsid w:val="008E442C"/>
    <w:rsid w:val="008E4851"/>
    <w:rsid w:val="008E7319"/>
    <w:rsid w:val="008E7AB6"/>
    <w:rsid w:val="008F498D"/>
    <w:rsid w:val="008F5176"/>
    <w:rsid w:val="008F7B0D"/>
    <w:rsid w:val="009015D2"/>
    <w:rsid w:val="0090467B"/>
    <w:rsid w:val="00904C00"/>
    <w:rsid w:val="009106CB"/>
    <w:rsid w:val="00911A67"/>
    <w:rsid w:val="00911FAD"/>
    <w:rsid w:val="00913108"/>
    <w:rsid w:val="0091417A"/>
    <w:rsid w:val="00922791"/>
    <w:rsid w:val="00924F90"/>
    <w:rsid w:val="00925578"/>
    <w:rsid w:val="00927B0E"/>
    <w:rsid w:val="009317C0"/>
    <w:rsid w:val="00933AAE"/>
    <w:rsid w:val="00934616"/>
    <w:rsid w:val="00936535"/>
    <w:rsid w:val="00941B3F"/>
    <w:rsid w:val="00942CB0"/>
    <w:rsid w:val="009436D5"/>
    <w:rsid w:val="00943FF8"/>
    <w:rsid w:val="0094461F"/>
    <w:rsid w:val="00944A27"/>
    <w:rsid w:val="00944C5C"/>
    <w:rsid w:val="0095181E"/>
    <w:rsid w:val="00952D07"/>
    <w:rsid w:val="00955DEF"/>
    <w:rsid w:val="00956B2D"/>
    <w:rsid w:val="009579BA"/>
    <w:rsid w:val="00960A7B"/>
    <w:rsid w:val="00961469"/>
    <w:rsid w:val="00964BAE"/>
    <w:rsid w:val="0096553B"/>
    <w:rsid w:val="00971D2B"/>
    <w:rsid w:val="00972C15"/>
    <w:rsid w:val="00973D6E"/>
    <w:rsid w:val="009750C9"/>
    <w:rsid w:val="00975859"/>
    <w:rsid w:val="0097726A"/>
    <w:rsid w:val="00984A06"/>
    <w:rsid w:val="009865FE"/>
    <w:rsid w:val="00986663"/>
    <w:rsid w:val="009877C6"/>
    <w:rsid w:val="0098797B"/>
    <w:rsid w:val="00991070"/>
    <w:rsid w:val="00992007"/>
    <w:rsid w:val="0099739B"/>
    <w:rsid w:val="009A0663"/>
    <w:rsid w:val="009A455D"/>
    <w:rsid w:val="009A4B69"/>
    <w:rsid w:val="009A7FC2"/>
    <w:rsid w:val="009B3794"/>
    <w:rsid w:val="009B3B22"/>
    <w:rsid w:val="009B4BC9"/>
    <w:rsid w:val="009C35E4"/>
    <w:rsid w:val="009C4E83"/>
    <w:rsid w:val="009C5BE8"/>
    <w:rsid w:val="009C70BC"/>
    <w:rsid w:val="009D0835"/>
    <w:rsid w:val="009D39F1"/>
    <w:rsid w:val="009D72DC"/>
    <w:rsid w:val="009E0016"/>
    <w:rsid w:val="009E1E4D"/>
    <w:rsid w:val="009E4752"/>
    <w:rsid w:val="009E5049"/>
    <w:rsid w:val="009E6EEB"/>
    <w:rsid w:val="009E756E"/>
    <w:rsid w:val="009F14E6"/>
    <w:rsid w:val="009F3731"/>
    <w:rsid w:val="009F7924"/>
    <w:rsid w:val="00A0174F"/>
    <w:rsid w:val="00A02180"/>
    <w:rsid w:val="00A03AED"/>
    <w:rsid w:val="00A05978"/>
    <w:rsid w:val="00A078DE"/>
    <w:rsid w:val="00A1188F"/>
    <w:rsid w:val="00A136F0"/>
    <w:rsid w:val="00A203C7"/>
    <w:rsid w:val="00A20DAC"/>
    <w:rsid w:val="00A226C7"/>
    <w:rsid w:val="00A22950"/>
    <w:rsid w:val="00A22E19"/>
    <w:rsid w:val="00A25304"/>
    <w:rsid w:val="00A26035"/>
    <w:rsid w:val="00A26AFA"/>
    <w:rsid w:val="00A27505"/>
    <w:rsid w:val="00A30CC4"/>
    <w:rsid w:val="00A31BA0"/>
    <w:rsid w:val="00A32319"/>
    <w:rsid w:val="00A40CF8"/>
    <w:rsid w:val="00A420D3"/>
    <w:rsid w:val="00A47395"/>
    <w:rsid w:val="00A47BF4"/>
    <w:rsid w:val="00A50BEE"/>
    <w:rsid w:val="00A50F55"/>
    <w:rsid w:val="00A53F96"/>
    <w:rsid w:val="00A5460E"/>
    <w:rsid w:val="00A57622"/>
    <w:rsid w:val="00A60681"/>
    <w:rsid w:val="00A62BED"/>
    <w:rsid w:val="00A66FE3"/>
    <w:rsid w:val="00A67635"/>
    <w:rsid w:val="00A67DCE"/>
    <w:rsid w:val="00A715D5"/>
    <w:rsid w:val="00A751F0"/>
    <w:rsid w:val="00A81508"/>
    <w:rsid w:val="00A8230C"/>
    <w:rsid w:val="00A85A26"/>
    <w:rsid w:val="00A900EB"/>
    <w:rsid w:val="00A90302"/>
    <w:rsid w:val="00A94044"/>
    <w:rsid w:val="00A94CD8"/>
    <w:rsid w:val="00A95000"/>
    <w:rsid w:val="00A95823"/>
    <w:rsid w:val="00A95B51"/>
    <w:rsid w:val="00A97E9D"/>
    <w:rsid w:val="00AA1D8B"/>
    <w:rsid w:val="00AA4527"/>
    <w:rsid w:val="00AA5178"/>
    <w:rsid w:val="00AA68E0"/>
    <w:rsid w:val="00AB02DD"/>
    <w:rsid w:val="00AB1873"/>
    <w:rsid w:val="00AB5859"/>
    <w:rsid w:val="00AB6BE9"/>
    <w:rsid w:val="00AC4005"/>
    <w:rsid w:val="00AC67EE"/>
    <w:rsid w:val="00AD10DF"/>
    <w:rsid w:val="00AD2026"/>
    <w:rsid w:val="00AD3F66"/>
    <w:rsid w:val="00AD7738"/>
    <w:rsid w:val="00AE466A"/>
    <w:rsid w:val="00AF21C7"/>
    <w:rsid w:val="00AF5F93"/>
    <w:rsid w:val="00B0039A"/>
    <w:rsid w:val="00B01A0E"/>
    <w:rsid w:val="00B04337"/>
    <w:rsid w:val="00B07272"/>
    <w:rsid w:val="00B11D5D"/>
    <w:rsid w:val="00B12E4E"/>
    <w:rsid w:val="00B14AFD"/>
    <w:rsid w:val="00B1721D"/>
    <w:rsid w:val="00B20D1C"/>
    <w:rsid w:val="00B21877"/>
    <w:rsid w:val="00B22731"/>
    <w:rsid w:val="00B276A2"/>
    <w:rsid w:val="00B31EE1"/>
    <w:rsid w:val="00B32BD3"/>
    <w:rsid w:val="00B359A9"/>
    <w:rsid w:val="00B36970"/>
    <w:rsid w:val="00B37FB6"/>
    <w:rsid w:val="00B4222E"/>
    <w:rsid w:val="00B42294"/>
    <w:rsid w:val="00B42A69"/>
    <w:rsid w:val="00B42DBF"/>
    <w:rsid w:val="00B45281"/>
    <w:rsid w:val="00B4793D"/>
    <w:rsid w:val="00B509E4"/>
    <w:rsid w:val="00B53E5F"/>
    <w:rsid w:val="00B547A6"/>
    <w:rsid w:val="00B55692"/>
    <w:rsid w:val="00B558EA"/>
    <w:rsid w:val="00B56320"/>
    <w:rsid w:val="00B60E53"/>
    <w:rsid w:val="00B613A9"/>
    <w:rsid w:val="00B670BB"/>
    <w:rsid w:val="00B701F7"/>
    <w:rsid w:val="00B74048"/>
    <w:rsid w:val="00B76E53"/>
    <w:rsid w:val="00B77024"/>
    <w:rsid w:val="00B80CF4"/>
    <w:rsid w:val="00B80EE3"/>
    <w:rsid w:val="00B82D53"/>
    <w:rsid w:val="00B830B2"/>
    <w:rsid w:val="00B864C8"/>
    <w:rsid w:val="00B9248C"/>
    <w:rsid w:val="00B94AD7"/>
    <w:rsid w:val="00B95FF3"/>
    <w:rsid w:val="00BA1A94"/>
    <w:rsid w:val="00BA1E07"/>
    <w:rsid w:val="00BA3B76"/>
    <w:rsid w:val="00BA44C6"/>
    <w:rsid w:val="00BA4510"/>
    <w:rsid w:val="00BA775E"/>
    <w:rsid w:val="00BB00BD"/>
    <w:rsid w:val="00BB3AAB"/>
    <w:rsid w:val="00BB5D67"/>
    <w:rsid w:val="00BC3DE9"/>
    <w:rsid w:val="00BC55EA"/>
    <w:rsid w:val="00BD2CAB"/>
    <w:rsid w:val="00BD3229"/>
    <w:rsid w:val="00BD375D"/>
    <w:rsid w:val="00BD3F1F"/>
    <w:rsid w:val="00BD4A08"/>
    <w:rsid w:val="00BD6223"/>
    <w:rsid w:val="00BD64B4"/>
    <w:rsid w:val="00BE1821"/>
    <w:rsid w:val="00BE428D"/>
    <w:rsid w:val="00BE458B"/>
    <w:rsid w:val="00BE7073"/>
    <w:rsid w:val="00BE765C"/>
    <w:rsid w:val="00BE7C05"/>
    <w:rsid w:val="00BF076D"/>
    <w:rsid w:val="00BF0DFE"/>
    <w:rsid w:val="00BF1515"/>
    <w:rsid w:val="00BF2EFA"/>
    <w:rsid w:val="00BF638D"/>
    <w:rsid w:val="00BF7B3D"/>
    <w:rsid w:val="00C009A8"/>
    <w:rsid w:val="00C01E3B"/>
    <w:rsid w:val="00C053DD"/>
    <w:rsid w:val="00C06E7B"/>
    <w:rsid w:val="00C06EE0"/>
    <w:rsid w:val="00C120D7"/>
    <w:rsid w:val="00C13C13"/>
    <w:rsid w:val="00C14D13"/>
    <w:rsid w:val="00C15703"/>
    <w:rsid w:val="00C16959"/>
    <w:rsid w:val="00C20ECE"/>
    <w:rsid w:val="00C220DC"/>
    <w:rsid w:val="00C22A6A"/>
    <w:rsid w:val="00C26396"/>
    <w:rsid w:val="00C26FE0"/>
    <w:rsid w:val="00C3736A"/>
    <w:rsid w:val="00C403A1"/>
    <w:rsid w:val="00C4135D"/>
    <w:rsid w:val="00C4196C"/>
    <w:rsid w:val="00C44879"/>
    <w:rsid w:val="00C4652A"/>
    <w:rsid w:val="00C46D87"/>
    <w:rsid w:val="00C46F65"/>
    <w:rsid w:val="00C47AA9"/>
    <w:rsid w:val="00C51837"/>
    <w:rsid w:val="00C55EEE"/>
    <w:rsid w:val="00C56766"/>
    <w:rsid w:val="00C57581"/>
    <w:rsid w:val="00C62263"/>
    <w:rsid w:val="00C6256C"/>
    <w:rsid w:val="00C6522B"/>
    <w:rsid w:val="00C66FEF"/>
    <w:rsid w:val="00C703FF"/>
    <w:rsid w:val="00C70626"/>
    <w:rsid w:val="00C74323"/>
    <w:rsid w:val="00C74A05"/>
    <w:rsid w:val="00C76E7E"/>
    <w:rsid w:val="00C77241"/>
    <w:rsid w:val="00C776CF"/>
    <w:rsid w:val="00C779FF"/>
    <w:rsid w:val="00C81121"/>
    <w:rsid w:val="00C812D2"/>
    <w:rsid w:val="00C82B94"/>
    <w:rsid w:val="00C83338"/>
    <w:rsid w:val="00C872DB"/>
    <w:rsid w:val="00C91DB5"/>
    <w:rsid w:val="00C9413F"/>
    <w:rsid w:val="00C941E0"/>
    <w:rsid w:val="00C960B2"/>
    <w:rsid w:val="00C975CF"/>
    <w:rsid w:val="00CA079D"/>
    <w:rsid w:val="00CA4DB4"/>
    <w:rsid w:val="00CA54D4"/>
    <w:rsid w:val="00CA7FC9"/>
    <w:rsid w:val="00CB08EB"/>
    <w:rsid w:val="00CB37CA"/>
    <w:rsid w:val="00CB6A95"/>
    <w:rsid w:val="00CB6B6F"/>
    <w:rsid w:val="00CB6D8B"/>
    <w:rsid w:val="00CB7565"/>
    <w:rsid w:val="00CB7693"/>
    <w:rsid w:val="00CC059F"/>
    <w:rsid w:val="00CC0615"/>
    <w:rsid w:val="00CC093B"/>
    <w:rsid w:val="00CC1D2A"/>
    <w:rsid w:val="00CC2675"/>
    <w:rsid w:val="00CC41F8"/>
    <w:rsid w:val="00CC5303"/>
    <w:rsid w:val="00CC5B31"/>
    <w:rsid w:val="00CC60F1"/>
    <w:rsid w:val="00CC6215"/>
    <w:rsid w:val="00CD35DD"/>
    <w:rsid w:val="00CD5030"/>
    <w:rsid w:val="00CD7823"/>
    <w:rsid w:val="00CE23D1"/>
    <w:rsid w:val="00CE325D"/>
    <w:rsid w:val="00CE638F"/>
    <w:rsid w:val="00CF1303"/>
    <w:rsid w:val="00CF26CD"/>
    <w:rsid w:val="00CF49CE"/>
    <w:rsid w:val="00CF647D"/>
    <w:rsid w:val="00CF7175"/>
    <w:rsid w:val="00D00B6C"/>
    <w:rsid w:val="00D04B3E"/>
    <w:rsid w:val="00D11102"/>
    <w:rsid w:val="00D126FD"/>
    <w:rsid w:val="00D13CD3"/>
    <w:rsid w:val="00D14818"/>
    <w:rsid w:val="00D20637"/>
    <w:rsid w:val="00D220F5"/>
    <w:rsid w:val="00D265E3"/>
    <w:rsid w:val="00D27185"/>
    <w:rsid w:val="00D27E72"/>
    <w:rsid w:val="00D30033"/>
    <w:rsid w:val="00D3040F"/>
    <w:rsid w:val="00D307FA"/>
    <w:rsid w:val="00D30FB6"/>
    <w:rsid w:val="00D31DFF"/>
    <w:rsid w:val="00D31FC0"/>
    <w:rsid w:val="00D3236A"/>
    <w:rsid w:val="00D32EEF"/>
    <w:rsid w:val="00D3555E"/>
    <w:rsid w:val="00D40E30"/>
    <w:rsid w:val="00D4157A"/>
    <w:rsid w:val="00D47526"/>
    <w:rsid w:val="00D47A58"/>
    <w:rsid w:val="00D52692"/>
    <w:rsid w:val="00D52848"/>
    <w:rsid w:val="00D55320"/>
    <w:rsid w:val="00D55589"/>
    <w:rsid w:val="00D6168F"/>
    <w:rsid w:val="00D7123C"/>
    <w:rsid w:val="00D801E3"/>
    <w:rsid w:val="00D8274D"/>
    <w:rsid w:val="00D911F4"/>
    <w:rsid w:val="00D95B6A"/>
    <w:rsid w:val="00D967D9"/>
    <w:rsid w:val="00D9716E"/>
    <w:rsid w:val="00DA0A4B"/>
    <w:rsid w:val="00DA0D3E"/>
    <w:rsid w:val="00DA2792"/>
    <w:rsid w:val="00DA3C25"/>
    <w:rsid w:val="00DA469F"/>
    <w:rsid w:val="00DA6719"/>
    <w:rsid w:val="00DA7510"/>
    <w:rsid w:val="00DB2BDC"/>
    <w:rsid w:val="00DB5149"/>
    <w:rsid w:val="00DB5198"/>
    <w:rsid w:val="00DB747C"/>
    <w:rsid w:val="00DC24B2"/>
    <w:rsid w:val="00DC3935"/>
    <w:rsid w:val="00DC3E63"/>
    <w:rsid w:val="00DC4A27"/>
    <w:rsid w:val="00DC56C7"/>
    <w:rsid w:val="00DC5AFC"/>
    <w:rsid w:val="00DC72EE"/>
    <w:rsid w:val="00DC74DF"/>
    <w:rsid w:val="00DC7F70"/>
    <w:rsid w:val="00DD182D"/>
    <w:rsid w:val="00DD1B9F"/>
    <w:rsid w:val="00DD531E"/>
    <w:rsid w:val="00DD568E"/>
    <w:rsid w:val="00DD598C"/>
    <w:rsid w:val="00DE1331"/>
    <w:rsid w:val="00DE47AC"/>
    <w:rsid w:val="00DE544E"/>
    <w:rsid w:val="00DE669C"/>
    <w:rsid w:val="00DF08CC"/>
    <w:rsid w:val="00DF08FB"/>
    <w:rsid w:val="00DF17C7"/>
    <w:rsid w:val="00DF1D10"/>
    <w:rsid w:val="00DF2E30"/>
    <w:rsid w:val="00DF357A"/>
    <w:rsid w:val="00DF3AFD"/>
    <w:rsid w:val="00DF4427"/>
    <w:rsid w:val="00E05603"/>
    <w:rsid w:val="00E0676B"/>
    <w:rsid w:val="00E17592"/>
    <w:rsid w:val="00E20536"/>
    <w:rsid w:val="00E20FBE"/>
    <w:rsid w:val="00E2195E"/>
    <w:rsid w:val="00E25407"/>
    <w:rsid w:val="00E300B5"/>
    <w:rsid w:val="00E337B3"/>
    <w:rsid w:val="00E35B3E"/>
    <w:rsid w:val="00E430F5"/>
    <w:rsid w:val="00E4618D"/>
    <w:rsid w:val="00E47133"/>
    <w:rsid w:val="00E47DA5"/>
    <w:rsid w:val="00E52472"/>
    <w:rsid w:val="00E544BC"/>
    <w:rsid w:val="00E545CD"/>
    <w:rsid w:val="00E579D5"/>
    <w:rsid w:val="00E60A4F"/>
    <w:rsid w:val="00E6591F"/>
    <w:rsid w:val="00E72234"/>
    <w:rsid w:val="00E73A26"/>
    <w:rsid w:val="00E75000"/>
    <w:rsid w:val="00E75C1C"/>
    <w:rsid w:val="00E77709"/>
    <w:rsid w:val="00E77928"/>
    <w:rsid w:val="00E8166A"/>
    <w:rsid w:val="00E82548"/>
    <w:rsid w:val="00E83D58"/>
    <w:rsid w:val="00E85E12"/>
    <w:rsid w:val="00E91910"/>
    <w:rsid w:val="00E92B24"/>
    <w:rsid w:val="00E949B2"/>
    <w:rsid w:val="00E974A5"/>
    <w:rsid w:val="00E97D1F"/>
    <w:rsid w:val="00E97DDF"/>
    <w:rsid w:val="00EA11E6"/>
    <w:rsid w:val="00EA30EE"/>
    <w:rsid w:val="00EA553C"/>
    <w:rsid w:val="00EB0E09"/>
    <w:rsid w:val="00EB407B"/>
    <w:rsid w:val="00EB5D10"/>
    <w:rsid w:val="00EB7F93"/>
    <w:rsid w:val="00EC0E66"/>
    <w:rsid w:val="00EC4643"/>
    <w:rsid w:val="00EC6681"/>
    <w:rsid w:val="00ED1F89"/>
    <w:rsid w:val="00ED25F6"/>
    <w:rsid w:val="00ED3176"/>
    <w:rsid w:val="00ED5D47"/>
    <w:rsid w:val="00ED7B09"/>
    <w:rsid w:val="00EE1370"/>
    <w:rsid w:val="00EF0504"/>
    <w:rsid w:val="00EF15FD"/>
    <w:rsid w:val="00EF4BE0"/>
    <w:rsid w:val="00EF4D45"/>
    <w:rsid w:val="00EF5305"/>
    <w:rsid w:val="00EF61C3"/>
    <w:rsid w:val="00EF74A3"/>
    <w:rsid w:val="00F0095F"/>
    <w:rsid w:val="00F037C2"/>
    <w:rsid w:val="00F04046"/>
    <w:rsid w:val="00F04E8E"/>
    <w:rsid w:val="00F061AC"/>
    <w:rsid w:val="00F06224"/>
    <w:rsid w:val="00F0673C"/>
    <w:rsid w:val="00F06B3F"/>
    <w:rsid w:val="00F07E84"/>
    <w:rsid w:val="00F1008B"/>
    <w:rsid w:val="00F13CDC"/>
    <w:rsid w:val="00F14A69"/>
    <w:rsid w:val="00F21399"/>
    <w:rsid w:val="00F21521"/>
    <w:rsid w:val="00F2234B"/>
    <w:rsid w:val="00F22608"/>
    <w:rsid w:val="00F24E98"/>
    <w:rsid w:val="00F2533D"/>
    <w:rsid w:val="00F267E4"/>
    <w:rsid w:val="00F27081"/>
    <w:rsid w:val="00F31253"/>
    <w:rsid w:val="00F35B5A"/>
    <w:rsid w:val="00F40A67"/>
    <w:rsid w:val="00F416B8"/>
    <w:rsid w:val="00F422D6"/>
    <w:rsid w:val="00F4274A"/>
    <w:rsid w:val="00F435FD"/>
    <w:rsid w:val="00F43887"/>
    <w:rsid w:val="00F44F17"/>
    <w:rsid w:val="00F509F6"/>
    <w:rsid w:val="00F50A9C"/>
    <w:rsid w:val="00F527AD"/>
    <w:rsid w:val="00F52E67"/>
    <w:rsid w:val="00F53DF8"/>
    <w:rsid w:val="00F546C2"/>
    <w:rsid w:val="00F61485"/>
    <w:rsid w:val="00F62390"/>
    <w:rsid w:val="00F629FE"/>
    <w:rsid w:val="00F63A62"/>
    <w:rsid w:val="00F64392"/>
    <w:rsid w:val="00F65E36"/>
    <w:rsid w:val="00F66302"/>
    <w:rsid w:val="00F66ED6"/>
    <w:rsid w:val="00F67B1A"/>
    <w:rsid w:val="00F710EC"/>
    <w:rsid w:val="00F7258E"/>
    <w:rsid w:val="00F7294C"/>
    <w:rsid w:val="00F72B7F"/>
    <w:rsid w:val="00F73F13"/>
    <w:rsid w:val="00F741A4"/>
    <w:rsid w:val="00F81A07"/>
    <w:rsid w:val="00F825DF"/>
    <w:rsid w:val="00F83A51"/>
    <w:rsid w:val="00F8499E"/>
    <w:rsid w:val="00F87955"/>
    <w:rsid w:val="00F90D90"/>
    <w:rsid w:val="00F91C08"/>
    <w:rsid w:val="00F94C33"/>
    <w:rsid w:val="00F94D90"/>
    <w:rsid w:val="00F95A2D"/>
    <w:rsid w:val="00F96078"/>
    <w:rsid w:val="00F9623F"/>
    <w:rsid w:val="00F9651A"/>
    <w:rsid w:val="00FA0331"/>
    <w:rsid w:val="00FA0F56"/>
    <w:rsid w:val="00FA1A30"/>
    <w:rsid w:val="00FA1F79"/>
    <w:rsid w:val="00FA24C0"/>
    <w:rsid w:val="00FA4AB2"/>
    <w:rsid w:val="00FA78E7"/>
    <w:rsid w:val="00FB02B4"/>
    <w:rsid w:val="00FB3843"/>
    <w:rsid w:val="00FB51D0"/>
    <w:rsid w:val="00FB51E7"/>
    <w:rsid w:val="00FB5E31"/>
    <w:rsid w:val="00FB62DD"/>
    <w:rsid w:val="00FB6475"/>
    <w:rsid w:val="00FC36C8"/>
    <w:rsid w:val="00FC4F45"/>
    <w:rsid w:val="00FD555E"/>
    <w:rsid w:val="00FD6DFD"/>
    <w:rsid w:val="00FE3547"/>
    <w:rsid w:val="00FE39EA"/>
    <w:rsid w:val="00FE4D19"/>
    <w:rsid w:val="00FE7AC6"/>
    <w:rsid w:val="00FF1689"/>
    <w:rsid w:val="00FF19DB"/>
    <w:rsid w:val="00FF5379"/>
    <w:rsid w:val="00FF6491"/>
    <w:rsid w:val="00FF67FB"/>
    <w:rsid w:val="00FF7F4A"/>
    <w:rsid w:val="00FF7FE0"/>
    <w:rsid w:val="08691E8A"/>
    <w:rsid w:val="0B7058B1"/>
    <w:rsid w:val="0E1D75A2"/>
    <w:rsid w:val="11282A14"/>
    <w:rsid w:val="17521D6B"/>
    <w:rsid w:val="18065BF6"/>
    <w:rsid w:val="18CD48D9"/>
    <w:rsid w:val="1B890C37"/>
    <w:rsid w:val="288528F2"/>
    <w:rsid w:val="39341BC7"/>
    <w:rsid w:val="4BF83E68"/>
    <w:rsid w:val="569726B1"/>
    <w:rsid w:val="79CE2AA1"/>
    <w:rsid w:val="7B1E79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qFormat="1" w:unhideWhenUsed="0" w:uiPriority="99"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qFormat="1"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31"/>
    <w:unhideWhenUsed/>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7">
    <w:name w:val="Body Text"/>
    <w:basedOn w:val="1"/>
    <w:link w:val="35"/>
    <w:qFormat/>
    <w:uiPriority w:val="0"/>
    <w:pPr>
      <w:autoSpaceDE w:val="0"/>
      <w:autoSpaceDN w:val="0"/>
      <w:adjustRightInd w:val="0"/>
      <w:spacing w:line="304" w:lineRule="atLeast"/>
      <w:jc w:val="left"/>
    </w:pPr>
    <w:rPr>
      <w:rFonts w:ascii="仿宋_GB2312" w:eastAsia="仿宋_GB2312"/>
      <w:color w:val="000000"/>
      <w:kern w:val="0"/>
      <w:sz w:val="32"/>
      <w:szCs w:val="20"/>
    </w:rPr>
  </w:style>
  <w:style w:type="paragraph" w:styleId="8">
    <w:name w:val="Body Text Indent"/>
    <w:basedOn w:val="1"/>
    <w:link w:val="37"/>
    <w:semiHidden/>
    <w:unhideWhenUsed/>
    <w:qFormat/>
    <w:uiPriority w:val="0"/>
    <w:pPr>
      <w:spacing w:after="120"/>
      <w:ind w:left="420" w:leftChars="200"/>
    </w:pPr>
  </w:style>
  <w:style w:type="paragraph" w:styleId="9">
    <w:name w:val="Plain Text"/>
    <w:basedOn w:val="1"/>
    <w:link w:val="43"/>
    <w:qFormat/>
    <w:uiPriority w:val="0"/>
    <w:rPr>
      <w:rFonts w:ascii="宋体" w:hAnsi="Courier New" w:cs="Courier New"/>
      <w:szCs w:val="21"/>
    </w:rPr>
  </w:style>
  <w:style w:type="paragraph" w:styleId="10">
    <w:name w:val="Date"/>
    <w:basedOn w:val="1"/>
    <w:next w:val="1"/>
    <w:link w:val="46"/>
    <w:qFormat/>
    <w:uiPriority w:val="0"/>
    <w:pPr>
      <w:ind w:left="100" w:leftChars="2500"/>
    </w:pPr>
  </w:style>
  <w:style w:type="paragraph" w:styleId="11">
    <w:name w:val="Body Text Indent 2"/>
    <w:basedOn w:val="1"/>
    <w:link w:val="41"/>
    <w:qFormat/>
    <w:uiPriority w:val="99"/>
    <w:pPr>
      <w:spacing w:after="120" w:line="480" w:lineRule="auto"/>
      <w:ind w:left="420" w:leftChars="200"/>
    </w:pPr>
    <w:rPr>
      <w:rFonts w:asciiTheme="minorHAnsi" w:hAnsiTheme="minorHAnsi" w:eastAsiaTheme="minorEastAsia" w:cstheme="minorBidi"/>
      <w:szCs w:val="22"/>
    </w:rPr>
  </w:style>
  <w:style w:type="paragraph" w:styleId="12">
    <w:name w:val="Balloon Text"/>
    <w:basedOn w:val="1"/>
    <w:link w:val="32"/>
    <w:qFormat/>
    <w:uiPriority w:val="0"/>
    <w:rPr>
      <w:sz w:val="18"/>
      <w:szCs w:val="18"/>
    </w:rPr>
  </w:style>
  <w:style w:type="paragraph" w:styleId="13">
    <w:name w:val="footer"/>
    <w:basedOn w:val="1"/>
    <w:link w:val="33"/>
    <w:qFormat/>
    <w:uiPriority w:val="99"/>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Title"/>
    <w:basedOn w:val="1"/>
    <w:next w:val="1"/>
    <w:link w:val="39"/>
    <w:qFormat/>
    <w:uiPriority w:val="99"/>
    <w:pPr>
      <w:spacing w:before="240" w:after="60"/>
      <w:jc w:val="center"/>
      <w:outlineLvl w:val="0"/>
    </w:pPr>
    <w:rPr>
      <w:rFonts w:asciiTheme="majorHAnsi" w:hAnsiTheme="majorHAnsi" w:cstheme="majorBidi"/>
      <w:b/>
      <w:bCs/>
      <w:sz w:val="32"/>
      <w:szCs w:val="32"/>
    </w:rPr>
  </w:style>
  <w:style w:type="paragraph" w:styleId="17">
    <w:name w:val="Body Text First Indent 2"/>
    <w:basedOn w:val="8"/>
    <w:link w:val="38"/>
    <w:unhideWhenUsed/>
    <w:qFormat/>
    <w:uiPriority w:val="99"/>
    <w:pPr>
      <w:ind w:firstLine="420" w:firstLineChars="200"/>
    </w:pPr>
    <w:rPr>
      <w:rFonts w:asciiTheme="minorHAnsi" w:hAnsiTheme="minorHAnsi" w:eastAsiaTheme="minorEastAsia" w:cstheme="minorBidi"/>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b/>
      <w:bCs/>
    </w:rPr>
  </w:style>
  <w:style w:type="character" w:styleId="22">
    <w:name w:val="page number"/>
    <w:basedOn w:val="20"/>
    <w:qFormat/>
    <w:uiPriority w:val="0"/>
  </w:style>
  <w:style w:type="character" w:styleId="23">
    <w:name w:val="HTML Typewriter"/>
    <w:basedOn w:val="20"/>
    <w:qFormat/>
    <w:uiPriority w:val="0"/>
    <w:rPr>
      <w:rFonts w:ascii="宋体" w:hAnsi="宋体" w:eastAsia="宋体" w:cs="宋体"/>
      <w:sz w:val="18"/>
      <w:szCs w:val="18"/>
    </w:rPr>
  </w:style>
  <w:style w:type="character" w:styleId="24">
    <w:name w:val="Hyperlink"/>
    <w:qFormat/>
    <w:uiPriority w:val="0"/>
    <w:rPr>
      <w:color w:val="0563C1"/>
      <w:u w:val="single"/>
    </w:rPr>
  </w:style>
  <w:style w:type="paragraph" w:customStyle="1" w:styleId="25">
    <w:name w:val="style1"/>
    <w:basedOn w:val="1"/>
    <w:qFormat/>
    <w:uiPriority w:val="0"/>
    <w:pPr>
      <w:widowControl/>
      <w:spacing w:before="100" w:beforeAutospacing="1" w:after="100" w:afterAutospacing="1"/>
      <w:jc w:val="left"/>
    </w:pPr>
    <w:rPr>
      <w:rFonts w:ascii="宋体" w:hAnsi="宋体" w:cs="宋体"/>
      <w:b/>
      <w:bCs/>
      <w:kern w:val="0"/>
      <w:sz w:val="27"/>
      <w:szCs w:val="27"/>
    </w:rPr>
  </w:style>
  <w:style w:type="paragraph" w:customStyle="1" w:styleId="26">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
    <w:name w:val="p16"/>
    <w:basedOn w:val="1"/>
    <w:qFormat/>
    <w:uiPriority w:val="0"/>
    <w:pPr>
      <w:widowControl/>
      <w:spacing w:before="100" w:after="100"/>
      <w:jc w:val="left"/>
    </w:pPr>
    <w:rPr>
      <w:rFonts w:ascii="宋体" w:hAnsi="宋体" w:cs="宋体"/>
      <w:kern w:val="0"/>
      <w:sz w:val="24"/>
    </w:rPr>
  </w:style>
  <w:style w:type="paragraph" w:styleId="28">
    <w:name w:val="No Spacing"/>
    <w:qFormat/>
    <w:uiPriority w:val="0"/>
    <w:pPr>
      <w:adjustRightInd w:val="0"/>
      <w:snapToGrid w:val="0"/>
    </w:pPr>
    <w:rPr>
      <w:rFonts w:ascii="Tahoma" w:hAnsi="Tahoma" w:eastAsia="微软雅黑" w:cs="Times New Roman"/>
      <w:sz w:val="22"/>
      <w:szCs w:val="22"/>
      <w:lang w:val="en-US" w:eastAsia="zh-CN" w:bidi="ar-SA"/>
    </w:rPr>
  </w:style>
  <w:style w:type="table" w:customStyle="1" w:styleId="29">
    <w:name w:val="网格型1"/>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0">
    <w:name w:val="标题 1 Char"/>
    <w:basedOn w:val="20"/>
    <w:link w:val="2"/>
    <w:qFormat/>
    <w:uiPriority w:val="0"/>
    <w:rPr>
      <w:b/>
      <w:bCs/>
      <w:kern w:val="44"/>
      <w:sz w:val="44"/>
      <w:szCs w:val="44"/>
    </w:rPr>
  </w:style>
  <w:style w:type="character" w:customStyle="1" w:styleId="31">
    <w:name w:val="标题 3 Char"/>
    <w:basedOn w:val="20"/>
    <w:link w:val="4"/>
    <w:semiHidden/>
    <w:qFormat/>
    <w:uiPriority w:val="0"/>
    <w:rPr>
      <w:b/>
      <w:bCs/>
      <w:kern w:val="2"/>
      <w:sz w:val="32"/>
      <w:szCs w:val="32"/>
    </w:rPr>
  </w:style>
  <w:style w:type="character" w:customStyle="1" w:styleId="32">
    <w:name w:val="批注框文本 Char"/>
    <w:basedOn w:val="20"/>
    <w:link w:val="12"/>
    <w:qFormat/>
    <w:uiPriority w:val="0"/>
    <w:rPr>
      <w:kern w:val="2"/>
      <w:sz w:val="18"/>
      <w:szCs w:val="18"/>
    </w:rPr>
  </w:style>
  <w:style w:type="character" w:customStyle="1" w:styleId="33">
    <w:name w:val="页脚 Char"/>
    <w:basedOn w:val="20"/>
    <w:link w:val="13"/>
    <w:qFormat/>
    <w:uiPriority w:val="99"/>
    <w:rPr>
      <w:kern w:val="2"/>
      <w:sz w:val="18"/>
      <w:szCs w:val="18"/>
    </w:rPr>
  </w:style>
  <w:style w:type="paragraph" w:styleId="34">
    <w:name w:val="List Paragraph"/>
    <w:basedOn w:val="1"/>
    <w:qFormat/>
    <w:uiPriority w:val="99"/>
    <w:pPr>
      <w:ind w:firstLine="420" w:firstLineChars="200"/>
    </w:pPr>
  </w:style>
  <w:style w:type="character" w:customStyle="1" w:styleId="35">
    <w:name w:val="正文文本 Char"/>
    <w:basedOn w:val="20"/>
    <w:link w:val="7"/>
    <w:qFormat/>
    <w:uiPriority w:val="0"/>
    <w:rPr>
      <w:rFonts w:ascii="仿宋_GB2312" w:eastAsia="仿宋_GB2312"/>
      <w:color w:val="000000"/>
      <w:sz w:val="32"/>
    </w:rPr>
  </w:style>
  <w:style w:type="character" w:customStyle="1" w:styleId="36">
    <w:name w:val="NormalCharacter"/>
    <w:qFormat/>
    <w:uiPriority w:val="0"/>
  </w:style>
  <w:style w:type="character" w:customStyle="1" w:styleId="37">
    <w:name w:val="正文文本缩进 Char"/>
    <w:basedOn w:val="20"/>
    <w:link w:val="8"/>
    <w:semiHidden/>
    <w:qFormat/>
    <w:uiPriority w:val="0"/>
    <w:rPr>
      <w:kern w:val="2"/>
      <w:sz w:val="21"/>
      <w:szCs w:val="24"/>
    </w:rPr>
  </w:style>
  <w:style w:type="character" w:customStyle="1" w:styleId="38">
    <w:name w:val="正文首行缩进 2 Char"/>
    <w:basedOn w:val="37"/>
    <w:link w:val="17"/>
    <w:qFormat/>
    <w:uiPriority w:val="99"/>
    <w:rPr>
      <w:rFonts w:asciiTheme="minorHAnsi" w:hAnsiTheme="minorHAnsi" w:eastAsiaTheme="minorEastAsia" w:cstheme="minorBidi"/>
    </w:rPr>
  </w:style>
  <w:style w:type="character" w:customStyle="1" w:styleId="39">
    <w:name w:val="标题 Char"/>
    <w:basedOn w:val="20"/>
    <w:link w:val="16"/>
    <w:qFormat/>
    <w:uiPriority w:val="99"/>
    <w:rPr>
      <w:rFonts w:asciiTheme="majorHAnsi" w:hAnsiTheme="majorHAnsi" w:cstheme="majorBidi"/>
      <w:b/>
      <w:bCs/>
      <w:kern w:val="2"/>
      <w:sz w:val="32"/>
      <w:szCs w:val="32"/>
    </w:rPr>
  </w:style>
  <w:style w:type="paragraph" w:customStyle="1" w:styleId="40">
    <w:name w:val="p0"/>
    <w:basedOn w:val="1"/>
    <w:qFormat/>
    <w:uiPriority w:val="0"/>
    <w:pPr>
      <w:widowControl/>
    </w:pPr>
    <w:rPr>
      <w:kern w:val="0"/>
      <w:szCs w:val="21"/>
    </w:rPr>
  </w:style>
  <w:style w:type="character" w:customStyle="1" w:styleId="41">
    <w:name w:val="正文文本缩进 2 Char"/>
    <w:basedOn w:val="20"/>
    <w:link w:val="11"/>
    <w:qFormat/>
    <w:uiPriority w:val="99"/>
    <w:rPr>
      <w:rFonts w:asciiTheme="minorHAnsi" w:hAnsiTheme="minorHAnsi" w:eastAsiaTheme="minorEastAsia" w:cstheme="minorBidi"/>
      <w:kern w:val="2"/>
      <w:sz w:val="21"/>
      <w:szCs w:val="22"/>
    </w:rPr>
  </w:style>
  <w:style w:type="paragraph" w:customStyle="1" w:styleId="42">
    <w:name w:val="Char Char Char Char Char Char Char Char Char Char Char Char Char Char Char Char Char Char Char Char Char Char Char Char Char Char Char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3">
    <w:name w:val="纯文本 Char"/>
    <w:basedOn w:val="20"/>
    <w:link w:val="9"/>
    <w:qFormat/>
    <w:uiPriority w:val="0"/>
    <w:rPr>
      <w:rFonts w:ascii="宋体" w:hAnsi="Courier New" w:cs="Courier New"/>
      <w:kern w:val="2"/>
      <w:sz w:val="21"/>
      <w:szCs w:val="21"/>
    </w:rPr>
  </w:style>
  <w:style w:type="character" w:customStyle="1" w:styleId="44">
    <w:name w:val="Char Char"/>
    <w:basedOn w:val="20"/>
    <w:qFormat/>
    <w:uiPriority w:val="0"/>
    <w:rPr>
      <w:rFonts w:ascii="宋体" w:hAnsi="Courier New" w:eastAsia="宋体" w:cs="Courier New"/>
      <w:kern w:val="2"/>
      <w:sz w:val="21"/>
      <w:szCs w:val="21"/>
      <w:lang w:val="en-US" w:eastAsia="zh-CN" w:bidi="ar-SA"/>
    </w:rPr>
  </w:style>
  <w:style w:type="paragraph" w:customStyle="1" w:styleId="45">
    <w:name w:val="列出段落1"/>
    <w:basedOn w:val="1"/>
    <w:qFormat/>
    <w:uiPriority w:val="0"/>
    <w:pPr>
      <w:ind w:firstLine="420" w:firstLineChars="200"/>
    </w:pPr>
    <w:rPr>
      <w:rFonts w:ascii="Calibri" w:hAnsi="Calibri"/>
      <w:szCs w:val="22"/>
    </w:rPr>
  </w:style>
  <w:style w:type="character" w:customStyle="1" w:styleId="46">
    <w:name w:val="日期 Char"/>
    <w:basedOn w:val="20"/>
    <w:link w:val="10"/>
    <w:qFormat/>
    <w:uiPriority w:val="0"/>
    <w:rPr>
      <w:kern w:val="2"/>
      <w:sz w:val="21"/>
      <w:szCs w:val="24"/>
    </w:rPr>
  </w:style>
  <w:style w:type="character" w:customStyle="1" w:styleId="47">
    <w:name w:val="font01"/>
    <w:basedOn w:val="20"/>
    <w:qFormat/>
    <w:uiPriority w:val="0"/>
    <w:rPr>
      <w:rFonts w:ascii="Calibri" w:hAnsi="Calibri" w:cs="Calibri"/>
      <w:color w:val="000000"/>
      <w:sz w:val="18"/>
      <w:szCs w:val="18"/>
      <w:u w:val="none"/>
    </w:rPr>
  </w:style>
  <w:style w:type="character" w:customStyle="1" w:styleId="48">
    <w:name w:val="font21"/>
    <w:basedOn w:val="20"/>
    <w:qFormat/>
    <w:uiPriority w:val="0"/>
    <w:rPr>
      <w:rFonts w:hint="eastAsia" w:ascii="宋体" w:hAnsi="宋体" w:eastAsia="宋体" w:cs="宋体"/>
      <w:color w:val="000000"/>
      <w:sz w:val="18"/>
      <w:szCs w:val="18"/>
      <w:u w:val="none"/>
    </w:rPr>
  </w:style>
  <w:style w:type="character" w:customStyle="1" w:styleId="49">
    <w:name w:val="font41"/>
    <w:basedOn w:val="20"/>
    <w:qFormat/>
    <w:uiPriority w:val="0"/>
    <w:rPr>
      <w:rFonts w:ascii="Calibri" w:hAnsi="Calibri" w:cs="Calibri"/>
      <w:color w:val="000000"/>
      <w:sz w:val="18"/>
      <w:szCs w:val="18"/>
      <w:u w:val="none"/>
    </w:rPr>
  </w:style>
  <w:style w:type="character" w:customStyle="1" w:styleId="50">
    <w:name w:val="font31"/>
    <w:basedOn w:val="20"/>
    <w:qFormat/>
    <w:uiPriority w:val="0"/>
    <w:rPr>
      <w:rFonts w:ascii="Calibri" w:hAnsi="Calibri" w:cs="Calibri"/>
      <w:color w:val="000000"/>
      <w:sz w:val="18"/>
      <w:szCs w:val="18"/>
      <w:u w:val="none"/>
    </w:rPr>
  </w:style>
  <w:style w:type="character" w:customStyle="1" w:styleId="51">
    <w:name w:val="font51"/>
    <w:basedOn w:val="20"/>
    <w:qFormat/>
    <w:uiPriority w:val="0"/>
    <w:rPr>
      <w:rFonts w:ascii="Calibri" w:hAnsi="Calibri" w:cs="Calibri"/>
      <w:color w:val="000000"/>
      <w:sz w:val="18"/>
      <w:szCs w:val="18"/>
      <w:u w:val="none"/>
    </w:rPr>
  </w:style>
  <w:style w:type="character" w:customStyle="1" w:styleId="52">
    <w:name w:val="正文文本_"/>
    <w:basedOn w:val="20"/>
    <w:link w:val="53"/>
    <w:qFormat/>
    <w:uiPriority w:val="0"/>
    <w:rPr>
      <w:rFonts w:ascii="宋体" w:hAnsi="宋体" w:eastAsia="宋体" w:cs="宋体"/>
      <w:sz w:val="28"/>
      <w:szCs w:val="28"/>
      <w:lang w:val="zh-CN" w:bidi="zh-CN"/>
    </w:rPr>
  </w:style>
  <w:style w:type="paragraph" w:customStyle="1" w:styleId="53">
    <w:name w:val="正文文本1"/>
    <w:basedOn w:val="1"/>
    <w:link w:val="52"/>
    <w:qFormat/>
    <w:uiPriority w:val="0"/>
    <w:pPr>
      <w:spacing w:line="422" w:lineRule="auto"/>
      <w:ind w:firstLine="400"/>
      <w:jc w:val="left"/>
    </w:pPr>
    <w:rPr>
      <w:rFonts w:ascii="宋体" w:hAnsi="宋体" w:eastAsia="宋体" w:cs="宋体"/>
      <w:kern w:val="0"/>
      <w:sz w:val="28"/>
      <w:szCs w:val="28"/>
      <w:lang w:val="zh-CN" w:bidi="zh-CN"/>
    </w:rPr>
  </w:style>
  <w:style w:type="paragraph" w:customStyle="1" w:styleId="54">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421C34-B6CA-443F-8118-A42F4B239B21}">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Pages>
  <Words>3005</Words>
  <Characters>3134</Characters>
  <Lines>12</Lines>
  <Paragraphs>3</Paragraphs>
  <TotalTime>3</TotalTime>
  <ScaleCrop>false</ScaleCrop>
  <LinksUpToDate>false</LinksUpToDate>
  <CharactersWithSpaces>3366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2021-03-08T09:07:00Z</dcterms:created>
  <dc:creator>wys</dc:creator>
  <cp:lastModifiedBy>ninee</cp:lastModifiedBy>
  <cp:lastPrinted>2024-01-02T04:37:00Z</cp:lastPrinted>
  <dcterms:modified xsi:type="dcterms:W3CDTF">2026-02-03T09:25:07Z</dcterms:modified>
  <dc:title>南文体新〔2012〕  号                 签发人：吴佳和</dc:title>
  <cp:revision>308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eyJoZGlkIjoiMzkwZmE5ZTg5MDY2NmNhNzAzZWE3ZDNjNDRkMjU5ZWMiLCJ1c2VySWQiOiI4NzM1NDEwNjMifQ==</vt:lpwstr>
  </property>
  <property fmtid="{D5CDD505-2E9C-101B-9397-08002B2CF9AE}" pid="4" name="ICV">
    <vt:lpwstr>D7E3665B2B064F6EB1007AFEE6450620_12</vt:lpwstr>
  </property>
</Properties>
</file>