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A333D">
      <w:pPr>
        <w:keepNext w:val="0"/>
        <w:keepLines w:val="0"/>
        <w:pageBreakBefore w:val="0"/>
        <w:widowControl w:val="0"/>
        <w:tabs>
          <w:tab w:val="left" w:pos="787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22"/>
        <w:jc w:val="both"/>
        <w:textAlignment w:val="baseline"/>
        <w:rPr>
          <w:rFonts w:hint="default" w:ascii="Times New Roman" w:hAnsi="Times New Roman" w:eastAsia="仿宋_GB2312" w:cs="Times New Roman"/>
          <w:bCs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</w:rPr>
        <w:t>*南简报N024号</w:t>
      </w:r>
    </w:p>
    <w:p w14:paraId="43D02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baseline"/>
        <w:rPr>
          <w:rFonts w:hint="default" w:ascii="Times New Roman" w:hAnsi="Times New Roman" w:cs="Times New Roman"/>
          <w:color w:val="000000"/>
          <w:kern w:val="0"/>
          <w:szCs w:val="32"/>
        </w:rPr>
      </w:pPr>
    </w:p>
    <w:p w14:paraId="5D5C5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22"/>
        <w:jc w:val="center"/>
        <w:textAlignment w:val="baseline"/>
        <w:rPr>
          <w:rFonts w:hint="default" w:ascii="Times New Roman" w:hAnsi="Times New Roman" w:cs="Times New Roman"/>
          <w:color w:val="000000"/>
          <w:kern w:val="0"/>
          <w:szCs w:val="32"/>
        </w:rPr>
      </w:pPr>
      <w:r>
        <w:rPr>
          <w:rFonts w:hint="default" w:ascii="Times New Roman" w:hAnsi="Times New Roman" w:cs="Times New Roman"/>
          <w:color w:val="000000"/>
          <w:kern w:val="0"/>
          <w:szCs w:val="32"/>
        </w:rPr>
        <w:pict>
          <v:shape id="_x0000_s1026" o:spid="_x0000_s1026" o:spt="136" type="#_x0000_t136" style="position:absolute;left:0pt;margin-left:95.95pt;margin-top:140.65pt;height:72.7pt;width:424.6pt;mso-position-horizontal-relative:page;mso-position-vertical-relative:page;z-index:251660288;mso-width-relative:page;mso-height-relative:page;" fillcolor="#FF0000" filled="t" stroked="t" coordsize="21600,21600">
            <v:path/>
            <v:fill on="t" focussize="0,0"/>
            <v:stroke color="#FFFFFF" joinstyle="bevel"/>
            <v:imagedata o:title=""/>
            <o:lock v:ext="edit" grouping="f" rotation="f" text="f" aspectratio="f"/>
            <v:textpath on="t" fitshape="t" fitpath="t" trim="t" xscale="f" string="南安统计信息" style="font-family:方正大标宋简体;font-size:36pt;v-text-align:center;"/>
          </v:shape>
        </w:pict>
      </w:r>
    </w:p>
    <w:p w14:paraId="2F337F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baseline"/>
        <w:rPr>
          <w:rFonts w:hint="default" w:ascii="Times New Roman" w:hAnsi="Times New Roman" w:cs="Times New Roman"/>
          <w:color w:val="000000"/>
          <w:kern w:val="0"/>
          <w:szCs w:val="32"/>
        </w:rPr>
      </w:pPr>
    </w:p>
    <w:p w14:paraId="4301F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22"/>
        <w:jc w:val="center"/>
        <w:textAlignment w:val="baseline"/>
        <w:rPr>
          <w:rFonts w:hint="default" w:ascii="Times New Roman" w:hAnsi="Times New Roman" w:cs="Times New Roman"/>
          <w:color w:val="000000"/>
          <w:kern w:val="0"/>
          <w:szCs w:val="32"/>
        </w:rPr>
      </w:pPr>
    </w:p>
    <w:p w14:paraId="761DD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22"/>
        <w:jc w:val="center"/>
        <w:textAlignment w:val="baseline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第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/>
        </w:rPr>
        <w:t>15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期</w:t>
      </w:r>
    </w:p>
    <w:p w14:paraId="39479E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22"/>
        <w:jc w:val="center"/>
        <w:textAlignment w:val="baseline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南安市统计局  编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       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202</w:t>
      </w:r>
      <w:r>
        <w:rPr>
          <w:rFonts w:hint="eastAsia" w:ascii="Times New Roman" w:hAnsi="Times New Roman" w:cs="Times New Roman"/>
          <w:color w:val="auto"/>
          <w:kern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年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月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/>
        </w:rPr>
        <w:t>29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日</w:t>
      </w:r>
    </w:p>
    <w:p w14:paraId="213BCC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微软雅黑" w:cs="Times New Roman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-194310</wp:posOffset>
                </wp:positionH>
                <wp:positionV relativeFrom="paragraph">
                  <wp:posOffset>103505</wp:posOffset>
                </wp:positionV>
                <wp:extent cx="6125845" cy="76200"/>
                <wp:effectExtent l="7620" t="7620" r="19685" b="11430"/>
                <wp:wrapNone/>
                <wp:docPr id="13" name="流程图: 过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6125845" cy="76200"/>
                        </a:xfrm>
                        <a:prstGeom prst="flowChartProcess">
                          <a:avLst/>
                        </a:prstGeom>
                        <a:solidFill>
                          <a:srgbClr val="FF0000"/>
                        </a:solidFill>
                        <a:ln w="1587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flip:y;margin-left:-15.3pt;margin-top:8.15pt;height:6pt;width:482.35pt;z-index:251661312;mso-width-relative:page;mso-height-relative:page;" fillcolor="#FF0000" filled="t" stroked="t" coordsize="21600,21600" o:gfxdata="UEsDBAoAAAAAAIdO4kAAAAAAAAAAAAAAAAAEAAAAZHJzL1BLAwQUAAAACACHTuJAbv+HvtkAAAAJ&#10;AQAADwAAAGRycy9kb3ducmV2LnhtbE2Py07DMBBF90j8gzVIbFDrPErUhjhdEAV2SCmV2LrxkETE&#10;4yh2m/L3DCtYju7RvWeK/dWO4oKzHxwpiNcRCKTWmYE6Bcf3erUF4YMmo0dHqOAbPezL25tC58Yt&#10;1ODlEDrBJeRzraAPYcql9G2PVvu1m5A4+3Sz1YHPuZNm1guX21EmUZRJqwfihV5P+Nxj+3U4WwX0&#10;eLRvS7arq6b5qOqHym5eXxKl7u/i6AlEwGv4g+FXn9WhZKeTO5PxYlSwSqOMUQ6yFAQDu3QTgzgp&#10;SLYpyLKQ/z8ofwBQSwMEFAAAAAgAh07iQIDErrQeAgAATwQAAA4AAABkcnMvZTJvRG9jLnhtbK1U&#10;vY4TMRDukXgHyz3ZJJBctMrmiguhQXDSAf3Ea+9a8p9sJ5uUVBQ8Ai/AC9DC0/DzGIy9S3Q5KFKw&#10;hTX2jL/55pvxLq8PWpE990FaU9HJaEwJN8zW0jQVfftm82RBSYhgalDW8IoeeaDXq8ePlp0r+dS2&#10;VtXcEwQxoexcRdsYXVkUgbVcQxhZxw06hfUaIm59U9QeOkTXqpiOx/Ois7523jIeAp6ueycdEP0l&#10;gFYIyfjasp3mJvaoniuIWFJopQt0ldkKwVl8LUTgkaiKYqUxr5gE7W1ai9USysaDayUbKMAlFB7U&#10;pEEaTHqCWkMEsvPyLygtmbfBijhiVhd9IVkRrGIyfqDNXQuO51pQ6uBOoof/B8te7W89kTVOwlNK&#10;DGjs+I8v739+/vj909eS/Pr2AU2CPhSqc6HE+Dt364ddQDNVfRBeE6Gke4c4WQesjByyzMeTzPwQ&#10;CcPD+WQ6WzybUcLQdzXHoUjoRQ+T4JwP8QW3miSjokLZ7qYFH2/7qckJYP8yxP7an/B0NVgl641U&#10;Km98s71RnuwBu7/ZjPEbMp2FKUM65D1bXCVOgDMtcJbQ1A51CabJCc+uhHPkDX7/Qk7M1hDankFG&#10;SGFQahm5z1bLoX5uahKPDqU3+ORoYqN5TYni+EKTlSMjSHVJJAqpTErC8/wPMqXm9e1K1tbWR+z7&#10;znnZtCjxJLNPHpyz3IvhTaRBvr9H+/5/YPU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bv+HvtkA&#10;AAAJAQAADwAAAAAAAAABACAAAAAiAAAAZHJzL2Rvd25yZXYueG1sUEsBAhQAFAAAAAgAh07iQIDE&#10;rrQeAgAATwQAAA4AAAAAAAAAAQAgAAAAKAEAAGRycy9lMm9Eb2MueG1sUEsFBgAAAAAGAAYAWQEA&#10;ALgFAAAAAA==&#10;">
                <v:fill on="t" focussize="0,0"/>
                <v:stroke weight="1.25pt" color="#FFFFFF" joinstyle="miter"/>
                <v:imagedata o:title=""/>
                <o:lock v:ext="edit" aspectratio="f"/>
              </v:shape>
            </w:pict>
          </mc:Fallback>
        </mc:AlternateContent>
      </w:r>
    </w:p>
    <w:p w14:paraId="77B1DA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560" w:lineRule="exact"/>
        <w:ind w:left="0" w:leftChars="0" w:right="0" w:rightChars="0"/>
        <w:jc w:val="center"/>
        <w:textAlignment w:val="auto"/>
        <w:outlineLvl w:val="9"/>
        <w:rPr>
          <w:rFonts w:hint="default" w:ascii="Times New Roman" w:hAnsi="Times New Roman" w:eastAsia="方正小标宋简体"/>
          <w:sz w:val="32"/>
          <w:szCs w:val="28"/>
          <w:lang w:val="en-US" w:eastAsia="zh-CN"/>
        </w:rPr>
      </w:pPr>
      <w:r>
        <w:rPr>
          <w:rFonts w:hint="eastAsia" w:eastAsia="方正小标宋简体" w:cs="方正小标宋简体"/>
          <w:sz w:val="44"/>
          <w:szCs w:val="44"/>
          <w:lang w:val="en-US" w:eastAsia="zh-CN"/>
        </w:rPr>
        <w:t>前三季度</w:t>
      </w:r>
      <w:r>
        <w:rPr>
          <w:rFonts w:hint="eastAsia" w:ascii="Times New Roman" w:hAnsi="Times New Roman" w:eastAsia="方正小标宋简体" w:cs="方正小标宋简体"/>
          <w:sz w:val="44"/>
          <w:szCs w:val="44"/>
          <w:lang w:val="en-US" w:eastAsia="zh-CN"/>
        </w:rPr>
        <w:t>南安</w:t>
      </w:r>
      <w:r>
        <w:rPr>
          <w:rFonts w:hint="eastAsia" w:ascii="Times New Roman" w:hAnsi="Times New Roman" w:eastAsia="方正小标宋简体" w:cs="方正小标宋简体"/>
          <w:sz w:val="44"/>
          <w:szCs w:val="44"/>
        </w:rPr>
        <w:t>经济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稳中进质，动能积蓄</w:t>
      </w:r>
    </w:p>
    <w:p w14:paraId="41B3CB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今年以来</w:t>
      </w:r>
      <w:r>
        <w:rPr>
          <w:rFonts w:hint="default"/>
          <w:lang w:val="en-US" w:eastAsia="zh-CN"/>
        </w:rPr>
        <w:t>，全市上下坚持稳中求进工作总基调，持续深化拓展“三争”行动，</w:t>
      </w:r>
      <w:r>
        <w:rPr>
          <w:rFonts w:hint="eastAsia"/>
          <w:lang w:val="en-US" w:eastAsia="zh-CN"/>
        </w:rPr>
        <w:t>围绕“打造制造先进市、建设宜居幸福城”目标，大力实施科技强市、一心两翼、商贸国际化、文化振兴、投资于人“五大战略”，经济运行稳中提质，工业大盘持续夯实，第三产业提速发展。</w:t>
      </w:r>
    </w:p>
    <w:p w14:paraId="0E26665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textAlignment w:val="auto"/>
      </w:pPr>
      <w:r>
        <w:rPr>
          <w:rFonts w:hint="eastAsia" w:cs="Times New Roman"/>
          <w:sz w:val="32"/>
          <w:szCs w:val="32"/>
          <w:lang w:val="en-US" w:eastAsia="zh-CN"/>
        </w:rPr>
        <w:t>前三季度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全市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实现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地区生产总值</w:t>
      </w:r>
      <w:r>
        <w:rPr>
          <w:rFonts w:hint="eastAsia" w:cs="Times New Roman"/>
          <w:sz w:val="32"/>
          <w:szCs w:val="32"/>
          <w:lang w:val="en-US" w:eastAsia="zh-CN"/>
        </w:rPr>
        <w:t>1476.00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亿元，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同比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增长</w:t>
      </w:r>
      <w:r>
        <w:rPr>
          <w:rFonts w:hint="eastAsia" w:cs="Times New Roman"/>
          <w:sz w:val="32"/>
          <w:szCs w:val="32"/>
          <w:lang w:val="en-US" w:eastAsia="zh-CN"/>
        </w:rPr>
        <w:t>4.8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其中，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第一产业增加值</w:t>
      </w:r>
      <w:r>
        <w:rPr>
          <w:rFonts w:hint="eastAsia" w:cs="Times New Roman"/>
          <w:sz w:val="32"/>
          <w:szCs w:val="32"/>
          <w:lang w:val="en-US" w:eastAsia="zh-CN"/>
        </w:rPr>
        <w:t>21.80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亿元，增长</w:t>
      </w:r>
      <w:r>
        <w:rPr>
          <w:rFonts w:hint="eastAsia" w:cs="Times New Roman"/>
          <w:sz w:val="32"/>
          <w:szCs w:val="32"/>
          <w:lang w:val="en-US" w:eastAsia="zh-CN"/>
        </w:rPr>
        <w:t>2.1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%；第二产业增加值</w:t>
      </w:r>
      <w:r>
        <w:rPr>
          <w:rFonts w:hint="eastAsia" w:cs="Times New Roman"/>
          <w:sz w:val="32"/>
          <w:szCs w:val="32"/>
          <w:lang w:val="en-US" w:eastAsia="zh-CN"/>
        </w:rPr>
        <w:t>824.05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亿元，增长</w:t>
      </w:r>
      <w:r>
        <w:rPr>
          <w:rFonts w:hint="eastAsia" w:cs="Times New Roman"/>
          <w:sz w:val="32"/>
          <w:szCs w:val="32"/>
          <w:lang w:val="en-US" w:eastAsia="zh-CN"/>
        </w:rPr>
        <w:t>4.6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%；第三产业增加值</w:t>
      </w:r>
      <w:r>
        <w:rPr>
          <w:rFonts w:hint="eastAsia" w:cs="Times New Roman"/>
          <w:sz w:val="32"/>
          <w:szCs w:val="32"/>
          <w:lang w:val="en-US" w:eastAsia="zh-CN"/>
        </w:rPr>
        <w:t>630.16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亿元，增长</w:t>
      </w:r>
      <w:r>
        <w:rPr>
          <w:rFonts w:hint="eastAsia" w:cs="Times New Roman"/>
          <w:sz w:val="32"/>
          <w:szCs w:val="32"/>
          <w:lang w:val="en-US" w:eastAsia="zh-CN"/>
        </w:rPr>
        <w:t>5.2</w:t>
      </w:r>
      <w:r>
        <w:rPr>
          <w:rFonts w:hint="default" w:ascii="Times New Roman" w:hAnsi="Times New Roman" w:eastAsia="仿宋_GB2312" w:cs="Times New Roman"/>
          <w:sz w:val="32"/>
          <w:szCs w:val="32"/>
        </w:rPr>
        <w:t>%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。三次产业结构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比例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为</w:t>
      </w:r>
      <w:r>
        <w:rPr>
          <w:rFonts w:hint="eastAsia" w:cs="Times New Roman"/>
          <w:sz w:val="32"/>
          <w:szCs w:val="32"/>
          <w:lang w:val="en-US" w:eastAsia="zh-CN"/>
        </w:rPr>
        <w:t>1.5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eastAsia" w:cs="Times New Roman"/>
          <w:sz w:val="32"/>
          <w:szCs w:val="32"/>
          <w:lang w:val="en-US" w:eastAsia="zh-CN"/>
        </w:rPr>
        <w:t>55.8：42.7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34299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一、农业生产平稳增长，种养结构调优向新</w:t>
      </w:r>
    </w:p>
    <w:p w14:paraId="600C8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Times New Roman" w:hAnsi="Times New Roman" w:eastAsia="楷体_GB2312" w:cs="Times New Roman"/>
          <w:b/>
          <w:bCs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前三季度，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全市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农林牧渔业实现总产值39.05亿元，同比增长2.5%。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一是蔬果保供量足质优。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扎实推进“菜篮子”稳产保供，蔬菜种植面积2.70万亩、增长5.3%，产量3万吨、增长5.3%；瓜果种植面积492亩、增长4.2%，产量548吨、增长4.4%。</w:t>
      </w:r>
      <w:r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二是特色作物稳步提升。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茶叶产量1168吨、增长6.6%，水果产量2.17万吨、增长5.7%。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三</w:t>
      </w:r>
      <w:r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是渔业供给总体稳定。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沿海及陆基水产养殖平稳推进，渔业产值增长5.3%；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其中，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水产品总产量1.08万吨、增长0.1%。</w:t>
      </w:r>
    </w:p>
    <w:p w14:paraId="0EA3CD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default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二、工业经济支撑稳固，企业动能持续增强</w:t>
      </w:r>
    </w:p>
    <w:p w14:paraId="4D1D5A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lang w:eastAsia="zh-CN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前三季度，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全市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规模以上工业增加值同比增长6.0%</w:t>
      </w:r>
      <w:r>
        <w:rPr>
          <w:rFonts w:hint="eastAsia" w:cs="Times New Roman"/>
          <w:b w:val="0"/>
          <w:bCs w:val="0"/>
          <w:lang w:val="en-US" w:eastAsia="zh-CN"/>
        </w:rPr>
        <w:t>。32个在统的行业大类中，25个行业同比正增长，增长面为78.1%。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一</w:t>
      </w:r>
      <w:r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是亿元企业贡献突出。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累计产值超亿元的规上工业企业共256家，实现增长8.5%，拉动全市规上工业6.0个百分点。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二</w:t>
      </w:r>
      <w:r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是产销衔接平稳顺畅。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规上工业产销率97.5%，比上半年提高0.2个百分点；规上工业出口交货值增长5.1%</w:t>
      </w:r>
      <w:r>
        <w:rPr>
          <w:rFonts w:hint="eastAsia" w:cs="Times New Roman"/>
          <w:b w:val="0"/>
          <w:bCs w:val="0"/>
          <w:lang w:val="en-US" w:eastAsia="zh-CN"/>
        </w:rPr>
        <w:t>。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三</w:t>
      </w:r>
      <w:r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是新增企业拉动增长。</w:t>
      </w: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2025年新增的137家规上工业企业实现增长42.8%，拉动全市规上工业增长0.9个百分点。</w:t>
      </w:r>
    </w:p>
    <w:p w14:paraId="5BF719D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三、第三产业增势加快，现代服务加速集聚</w:t>
      </w:r>
    </w:p>
    <w:p w14:paraId="252256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right="0" w:rightChars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前三季度，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全市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第三产业增加值630.16亿元，同比增长5.2%。</w:t>
      </w:r>
      <w:r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一是商贸文旅融合发展。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累计接待游客642.80万人次、增长4.2%，实现旅游收入68.25亿元、增长4.8%，推动批发和零售业增长4.7%、住宿和餐饮业增长4.3%，合计拉动第三产业增长1.6个百分点。</w:t>
      </w:r>
      <w:r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二是营利性服务支撑有力。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规上其他营利性服务业（错月）实现营业收入增长25.8%，推动营利性服务业增长13.1%，拉动第三产业增长2.7个百分点。</w:t>
      </w:r>
      <w:r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三是生产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生活</w:t>
      </w:r>
      <w:r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服务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协同向好</w:t>
      </w:r>
      <w:r>
        <w:rPr>
          <w:rFonts w:hint="default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检验检测、工程管理等服务深度对接制造需求，带动科学研究和技术服务业增长55.7%；设备租赁需求旺盛，租赁和商务服务业增长14.1%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车修保洁、城市运维及园区后勤保障等需求平稳，带动居民服务、修理和其他服务业增长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52.3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%。</w:t>
      </w:r>
    </w:p>
    <w:p w14:paraId="39E8E01E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投资增速承压运行，新质投资强劲注能</w:t>
      </w:r>
    </w:p>
    <w:p w14:paraId="3E55E5E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前三季度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全市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固定资产投资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同比下降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14.9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%</w:t>
      </w:r>
      <w:r>
        <w:rPr>
          <w:rFonts w:hint="default"/>
          <w:lang w:val="en-US" w:eastAsia="zh-CN"/>
        </w:rPr>
        <w:t>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一是新质投资强劲注能。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 w:bidi="ar-SA"/>
        </w:rPr>
        <w:t>高技术产业投资增长</w:t>
      </w:r>
      <w:r>
        <w:rPr>
          <w:rFonts w:hint="default"/>
          <w:lang w:val="en-US" w:eastAsia="zh-CN"/>
        </w:rPr>
        <w:t>173.1</w:t>
      </w:r>
      <w:r>
        <w:rPr>
          <w:rFonts w:hint="eastAsia" w:ascii="Times New Roman" w:hAnsi="Times New Roman" w:cs="Times New Roman"/>
          <w:color w:val="auto"/>
          <w:sz w:val="32"/>
          <w:szCs w:val="32"/>
          <w:lang w:val="en-US" w:eastAsia="zh-CN" w:bidi="ar-SA"/>
        </w:rPr>
        <w:t>%，拉动全市固定资产投资增长6.6个百分点。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二</w:t>
      </w:r>
      <w:r>
        <w:rPr>
          <w:rFonts w:hint="default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是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农业</w:t>
      </w:r>
      <w:r>
        <w:rPr>
          <w:rFonts w:hint="default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投资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增势较好</w:t>
      </w:r>
      <w:r>
        <w:rPr>
          <w:rFonts w:hint="default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。</w:t>
      </w:r>
      <w:r>
        <w:rPr>
          <w:rFonts w:hint="default"/>
          <w:lang w:val="en-US" w:eastAsia="zh-CN"/>
        </w:rPr>
        <w:t>第一产业投资</w:t>
      </w:r>
      <w:r>
        <w:rPr>
          <w:rFonts w:hint="eastAsia"/>
          <w:lang w:val="en-US" w:eastAsia="zh-CN"/>
        </w:rPr>
        <w:t>增长</w:t>
      </w:r>
      <w:r>
        <w:rPr>
          <w:rFonts w:hint="default"/>
          <w:lang w:val="en-US" w:eastAsia="zh-CN"/>
        </w:rPr>
        <w:t>260.6%，拉动增长3.5个百分点</w:t>
      </w:r>
      <w:r>
        <w:rPr>
          <w:rFonts w:hint="eastAsia"/>
          <w:lang w:val="en-US" w:eastAsia="zh-CN"/>
        </w:rPr>
        <w:t>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三</w:t>
      </w:r>
      <w:r>
        <w:rPr>
          <w:rFonts w:hint="default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是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民生领域点状补强</w:t>
      </w:r>
      <w:r>
        <w:rPr>
          <w:rFonts w:hint="default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。</w:t>
      </w:r>
      <w:r>
        <w:rPr>
          <w:rFonts w:hint="default"/>
          <w:lang w:val="en-US" w:eastAsia="zh-CN"/>
        </w:rPr>
        <w:t>卫生健康、文旅体育、交通基础设施业分别</w:t>
      </w:r>
      <w:r>
        <w:rPr>
          <w:rFonts w:hint="eastAsia"/>
          <w:lang w:val="en-US" w:eastAsia="zh-CN"/>
        </w:rPr>
        <w:t>增长</w:t>
      </w:r>
      <w:r>
        <w:rPr>
          <w:rFonts w:hint="default"/>
          <w:lang w:val="en-US" w:eastAsia="zh-CN"/>
        </w:rPr>
        <w:t>32.4%、34.8%、12.0%，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民生补短板领域形成点状投资增量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。</w:t>
      </w:r>
    </w:p>
    <w:p w14:paraId="6374096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五、消费市场温和增长，升级与民生消费同步提速</w:t>
      </w:r>
    </w:p>
    <w:p w14:paraId="48DA05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前三季度，</w:t>
      </w: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全市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社会消费品零售总额679.66亿元，同比增长1.7%。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一是家电消费持续升温。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限上家用电器和音像器材类零售额增长17.8%，拉动限上零售总额增长0.6个百分</w:t>
      </w:r>
      <w:bookmarkStart w:id="0" w:name="_GoBack"/>
      <w:bookmarkEnd w:id="0"/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点；其中，能效等级为1级和2级的商品增长19.7%，智能家用电器和音像器材类增长33.2%。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二是家装市场销售向好。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限上家具类零售额增长37.3%，比上半年加快1.4个百分点；限上五金、电料类零售额增长6.1%。</w:t>
      </w:r>
      <w:r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  <w:t>三是民生消费保障有力。</w:t>
      </w:r>
      <w:r>
        <w:rPr>
          <w:rFonts w:hint="eastAsia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限上饮料类、针纺织品类、粮油食品类零售额分别增长37.7%、23.2%、6.2%，合计拉动增长1.2个百分点。</w:t>
      </w:r>
    </w:p>
    <w:p w14:paraId="2A4386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六、财金运行总体平稳，民生保障不断加强</w:t>
      </w:r>
    </w:p>
    <w:p w14:paraId="1E5D67A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left="0" w:leftChars="0" w:firstLine="643" w:firstLineChars="200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一是财税收入逐步改善。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前三季度，全市一般公共预算总收入79.84亿元，</w:t>
      </w:r>
      <w:r>
        <w:rPr>
          <w:rFonts w:hint="eastAsia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增长3.5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%</w:t>
      </w:r>
      <w:r>
        <w:rPr>
          <w:rFonts w:hint="eastAsia" w:cs="Times New Roman"/>
          <w:b w:val="0"/>
          <w:bCs w:val="0"/>
          <w:color w:val="auto"/>
          <w:kern w:val="0"/>
          <w:sz w:val="32"/>
          <w:szCs w:val="32"/>
          <w:lang w:val="en-US" w:eastAsia="zh-CN" w:bidi="ar-SA"/>
        </w:rPr>
        <w:t>，比上半年加快4.2个百分点。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二是金融资金稳健运转。</w:t>
      </w:r>
      <w:r>
        <w:rPr>
          <w:rFonts w:hint="eastAsia" w:cs="Times New Roman"/>
          <w:b w:val="0"/>
          <w:bCs w:val="0"/>
          <w:kern w:val="0"/>
          <w:sz w:val="32"/>
          <w:szCs w:val="32"/>
          <w:lang w:val="en-US" w:eastAsia="zh-CN" w:bidi="ar-SA"/>
        </w:rPr>
        <w:t>9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月末，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金融机构本外币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各项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存款余额1858.41亿元，同比增长</w:t>
      </w:r>
      <w:r>
        <w:rPr>
          <w:rFonts w:hint="eastAsia" w:cs="Times New Roman"/>
          <w:b w:val="0"/>
          <w:bCs w:val="0"/>
          <w:kern w:val="0"/>
          <w:sz w:val="32"/>
          <w:szCs w:val="32"/>
          <w:lang w:val="en-US" w:eastAsia="zh-CN" w:bidi="ar-SA"/>
        </w:rPr>
        <w:t>0.6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%</w:t>
      </w:r>
      <w:r>
        <w:rPr>
          <w:rFonts w:hint="eastAsia" w:cs="Times New Roman"/>
          <w:b w:val="0"/>
          <w:bCs w:val="0"/>
          <w:kern w:val="0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本外币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各项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贷款余额1653.70亿元，增长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8.4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%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，高于存款余额增幅</w:t>
      </w:r>
      <w:r>
        <w:rPr>
          <w:rFonts w:hint="eastAsia" w:cs="Times New Roman"/>
          <w:color w:val="auto"/>
          <w:sz w:val="32"/>
          <w:szCs w:val="32"/>
          <w:lang w:val="en-US" w:eastAsia="zh-CN" w:bidi="ar-SA"/>
        </w:rPr>
        <w:t>7.8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个百分点</w:t>
      </w:r>
      <w:r>
        <w:rPr>
          <w:rFonts w:hint="eastAsia" w:cs="Times New Roman"/>
          <w:color w:val="auto"/>
          <w:sz w:val="32"/>
          <w:szCs w:val="32"/>
          <w:lang w:val="en-US" w:eastAsia="zh-CN" w:bidi="ar-SA"/>
        </w:rPr>
        <w:t>；其中，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中长期制造业贷款增长3</w:t>
      </w:r>
      <w:r>
        <w:rPr>
          <w:rFonts w:hint="eastAsia" w:cs="Times New Roman"/>
          <w:b w:val="0"/>
          <w:bCs w:val="0"/>
          <w:kern w:val="0"/>
          <w:sz w:val="32"/>
          <w:szCs w:val="32"/>
          <w:lang w:val="en-US" w:eastAsia="zh-CN" w:bidi="ar-SA"/>
        </w:rPr>
        <w:t>7.0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%</w:t>
      </w:r>
      <w:r>
        <w:rPr>
          <w:rFonts w:hint="eastAsia" w:cs="Times New Roman"/>
          <w:b w:val="0"/>
          <w:bCs w:val="0"/>
          <w:kern w:val="0"/>
          <w:sz w:val="32"/>
          <w:szCs w:val="32"/>
          <w:lang w:val="en-US" w:eastAsia="zh-CN" w:bidi="ar-SA"/>
        </w:rPr>
        <w:t>，信贷资源持续向重点领域倾斜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-US" w:eastAsia="zh-CN" w:bidi="ar-SA"/>
        </w:rPr>
        <w:t>。</w:t>
      </w:r>
      <w:r>
        <w:rPr>
          <w:rFonts w:hint="eastAsia" w:ascii="楷体" w:hAnsi="楷体" w:eastAsia="楷体" w:cs="楷体"/>
          <w:b/>
          <w:bCs/>
          <w:color w:val="auto"/>
          <w:sz w:val="32"/>
          <w:szCs w:val="32"/>
          <w:lang w:val="en-US" w:eastAsia="zh-CN" w:bidi="ar-SA"/>
        </w:rPr>
        <w:t>三是城乡收入差距缩小。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居民人均可支配收入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 w:bidi="ar-SA"/>
        </w:rPr>
        <w:t>43309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元，增长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 w:bidi="ar-SA"/>
        </w:rPr>
        <w:t>4.2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%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 w:bidi="ar-SA"/>
        </w:rPr>
        <w:t>；其中，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城镇居民人均可支配收入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 w:bidi="ar-SA"/>
        </w:rPr>
        <w:t>53480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元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增长3.3%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农村居民人均可支配收入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 w:bidi="ar-SA"/>
        </w:rPr>
        <w:t>29272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元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 w:bidi="ar-SA"/>
        </w:rPr>
        <w:t>、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增长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 w:bidi="ar-SA"/>
        </w:rPr>
        <w:t>5.9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%</w:t>
      </w:r>
      <w:r>
        <w:rPr>
          <w:rFonts w:hint="eastAsia" w:cs="Times New Roman"/>
          <w:color w:val="auto"/>
          <w:kern w:val="0"/>
          <w:sz w:val="32"/>
          <w:szCs w:val="32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农村居民收入增速高于城镇2.6个百分点，乡村振兴政策红利持续释放，城乡居民收入差距进一步缩小。</w:t>
      </w:r>
    </w:p>
    <w:p w14:paraId="5932F94D">
      <w:pPr>
        <w:rPr>
          <w:rFonts w:hint="eastAsia"/>
          <w:lang w:val="en-US" w:eastAsia="zh-CN"/>
        </w:rPr>
      </w:pPr>
    </w:p>
    <w:p w14:paraId="1284765A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157" w:afterLines="50" w:afterAutospacing="0" w:line="240" w:lineRule="auto"/>
        <w:ind w:left="0" w:leftChars="0" w:right="0" w:rightChars="0" w:firstLine="640" w:firstLineChars="200"/>
        <w:jc w:val="right"/>
        <w:textAlignment w:val="auto"/>
        <w:outlineLvl w:val="9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（南安市统计局　</w:t>
      </w:r>
      <w:r>
        <w:rPr>
          <w:rFonts w:hint="default" w:ascii="Times New Roman" w:hAnsi="Times New Roman" w:cs="Times New Roman"/>
          <w:kern w:val="0"/>
          <w:sz w:val="32"/>
          <w:szCs w:val="32"/>
          <w:highlight w:val="none"/>
          <w:lang w:val="en-US" w:eastAsia="zh-CN"/>
        </w:rPr>
        <w:t>陈锦标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val="en-US" w:eastAsia="zh-CN"/>
        </w:rPr>
        <w:t>）</w:t>
      </w:r>
    </w:p>
    <w:p w14:paraId="251A43B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rPr>
          <w:rFonts w:hint="default" w:ascii="Times New Roman" w:hAnsi="Times New Roman" w:cs="Times New Roman"/>
          <w:lang w:val="en-US" w:eastAsia="zh-CN"/>
        </w:rPr>
      </w:pPr>
    </w:p>
    <w:p w14:paraId="44C06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Times New Roman" w:hAnsi="Times New Roman" w:eastAsia="仿宋_GB2312" w:cs="Times New Roman"/>
          <w:lang w:eastAsia="zh-CN"/>
        </w:rPr>
      </w:pPr>
      <w:r>
        <w:rPr>
          <w:rFonts w:hint="default" w:ascii="Times New Roman" w:hAnsi="Times New Roman" w:eastAsia="仿宋_GB2312" w:cs="Times New Roman"/>
          <w:lang w:eastAsia="zh-CN"/>
        </w:rPr>
        <w:drawing>
          <wp:inline distT="0" distB="0" distL="114300" distR="114300">
            <wp:extent cx="901700" cy="892175"/>
            <wp:effectExtent l="0" t="0" r="12700" b="3175"/>
            <wp:docPr id="4" name="图片 1" descr="qrcode_for_gh_1eebab0522fd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qrcode_for_gh_1eebab0522fd_25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1700" cy="8921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3969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/>
        <w:jc w:val="center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>扫码关注南安市统计局</w:t>
      </w:r>
    </w:p>
    <w:p w14:paraId="3538E7D5"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sectPr>
      <w:footerReference r:id="rId5" w:type="default"/>
      <w:pgSz w:w="11906" w:h="16838"/>
      <w:pgMar w:top="2098" w:right="1474" w:bottom="1984" w:left="1587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2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703020204020201"/>
    <w:charset w:val="86"/>
    <w:family w:val="auto"/>
    <w:pitch w:val="default"/>
    <w:sig w:usb0="80000287" w:usb1="0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FF1E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F95A10">
                          <w:pPr>
                            <w:pStyle w:val="5"/>
                            <w:rPr>
                              <w:rFonts w:hint="eastAsia" w:ascii="宋体" w:hAnsi="宋体" w:eastAsia="宋体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HoB1tMAAAAG&#10;AQAADwAAAGRycy9kb3ducmV2LnhtbE2PQU/DMAyF70j8h8hI3FiyglApTScxUY5IrDtwzBrTdmuc&#10;Ksm68u8xJzj5Wc96/l65WdwoZgxx8KRhvVIgkFpvB+o07Jv6LgcRkyFrRk+o4RsjbKrrq9IU1l/o&#10;A+dd6gSHUCyMhj6lqZAytj06E1d+QmLvywdnEq+hkzaYC4e7UWZKPUpnBuIPvZlw22N72p2dhm3d&#10;NGHGGMZPfKvvj+8vD/i6aH17s1bPIBIu6e8YfvEZHSpmOvgz2ShGDVwkach4sJnlOYsDiyelQFal&#10;/I9f/QBQSwMEFAAAAAgAh07iQGuF+fsxAgAAYQQAAA4AAABkcnMvZTJvRG9jLnhtbK1UzY7TMBC+&#10;I/EOlu80aRGrKmq6KlsVIVXsSgVxdh2nieQ/2W6T8gDwBpy4cOe5+hx8zk8XLRz2wMUZe8bfzPfN&#10;OIvbVklyEs7XRud0OkkpEZqbotaHnH76uHk1p8QHpgsmjRY5PQtPb5cvXywam4mZqYwshCMA0T5r&#10;bE6rEGyWJJ5XQjE/MVZoOEvjFAvYukNSONYAXclklqY3SWNcYZ3hwnucrnsnHRDdcwBNWdZcrA0/&#10;KqFDj+qEZAGUfFVbT5ddtWUpeLgvSy8CkTkF09CtSAJ7H9dkuWDZwTFb1XwogT2nhCecFKs1kl6h&#10;1iwwcnT1X1Cq5s54U4YJNyrpiXSKgMU0faLNrmJWdFwgtbdX0f3/g+UfTg+O1AUmgRLNFBp++f7t&#10;8uPX5edXMo3yNNZniNpZxIX2rWlj6HDucRhZt6VT8Qs+BH6Ie76KK9pAeLw0n83nKVwcvnEDnOTx&#10;unU+vBNGkWjk1KF7najstPWhDx1DYjZtNrWUOGeZ1KTJ6c3rN2l34eoBuNTIEUn0xUYrtPt2YLA3&#10;xRnEnOknw1u+qZF8y3x4YA6jgILxWMI9llIaJDGDRUll3Jd/ncd4dAheShqMVk41XhIl8r1G5wAY&#10;RsONxn409FHdGcwquoFaOhMXXJCjWTqjPuMFrWIOuJjmyJTTMJp3oR9vvEAuVqsu6Ghdfaj6C5g7&#10;y8JW7yyPaaJ63q6OAWJ2GkeBelUG3TB5XZeGVxJH+899F/X4Z1j+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AB6AdbTAAAABgEAAA8AAAAAAAAAAQAgAAAAIgAAAGRycy9kb3ducmV2LnhtbFBLAQIU&#10;ABQAAAAIAIdO4kBrhfn7MQIAAGEEAAAOAAAAAAAAAAEAIAAAACIBAABkcnMvZTJvRG9jLnhtbFBL&#10;BQYAAAAABgAGAFkBAADF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F95A10">
                    <w:pPr>
                      <w:pStyle w:val="5"/>
                      <w:rPr>
                        <w:rFonts w:hint="eastAsia" w:ascii="宋体" w:hAnsi="宋体" w:eastAsia="宋体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kyYjFhNDI4M2VmOTM2OTE2Y2EwOTkzZDhjM2I5ZDMifQ=="/>
  </w:docVars>
  <w:rsids>
    <w:rsidRoot w:val="45BB3CB0"/>
    <w:rsid w:val="004348A5"/>
    <w:rsid w:val="00535E7A"/>
    <w:rsid w:val="00C90AEB"/>
    <w:rsid w:val="01234EA3"/>
    <w:rsid w:val="01373036"/>
    <w:rsid w:val="013B2C45"/>
    <w:rsid w:val="019D759F"/>
    <w:rsid w:val="01D83C3D"/>
    <w:rsid w:val="0200481C"/>
    <w:rsid w:val="02182509"/>
    <w:rsid w:val="022A536E"/>
    <w:rsid w:val="028E70FB"/>
    <w:rsid w:val="0388073F"/>
    <w:rsid w:val="03BE360A"/>
    <w:rsid w:val="03F14048"/>
    <w:rsid w:val="04082AD7"/>
    <w:rsid w:val="04207E21"/>
    <w:rsid w:val="043214C0"/>
    <w:rsid w:val="04833E4A"/>
    <w:rsid w:val="056D5FE9"/>
    <w:rsid w:val="05C67F06"/>
    <w:rsid w:val="05D35F41"/>
    <w:rsid w:val="06057257"/>
    <w:rsid w:val="06433D3D"/>
    <w:rsid w:val="06563E32"/>
    <w:rsid w:val="06611A07"/>
    <w:rsid w:val="06883BEE"/>
    <w:rsid w:val="06AC7AE9"/>
    <w:rsid w:val="072B1E50"/>
    <w:rsid w:val="07537C82"/>
    <w:rsid w:val="0767231E"/>
    <w:rsid w:val="07704C9C"/>
    <w:rsid w:val="07F97BC5"/>
    <w:rsid w:val="08045942"/>
    <w:rsid w:val="086B1B4D"/>
    <w:rsid w:val="08A83456"/>
    <w:rsid w:val="08FF1A5A"/>
    <w:rsid w:val="093A3733"/>
    <w:rsid w:val="093E463B"/>
    <w:rsid w:val="09727371"/>
    <w:rsid w:val="09A13FB0"/>
    <w:rsid w:val="09BE5FAB"/>
    <w:rsid w:val="09E36C6E"/>
    <w:rsid w:val="0A47083A"/>
    <w:rsid w:val="0A6250EA"/>
    <w:rsid w:val="0A820D31"/>
    <w:rsid w:val="0AA71C26"/>
    <w:rsid w:val="0ACF434F"/>
    <w:rsid w:val="0B0570B4"/>
    <w:rsid w:val="0B276282"/>
    <w:rsid w:val="0BD11FAA"/>
    <w:rsid w:val="0BD32A28"/>
    <w:rsid w:val="0BD50388"/>
    <w:rsid w:val="0C517A79"/>
    <w:rsid w:val="0C62191E"/>
    <w:rsid w:val="0C7E427E"/>
    <w:rsid w:val="0C953974"/>
    <w:rsid w:val="0CA31831"/>
    <w:rsid w:val="0CC779D3"/>
    <w:rsid w:val="0D2E5FC3"/>
    <w:rsid w:val="0D6E220B"/>
    <w:rsid w:val="0D735B29"/>
    <w:rsid w:val="0DE4207C"/>
    <w:rsid w:val="0E102B17"/>
    <w:rsid w:val="0E896503"/>
    <w:rsid w:val="0E8D60ED"/>
    <w:rsid w:val="0E927B6D"/>
    <w:rsid w:val="0ED95EF6"/>
    <w:rsid w:val="0F2416D7"/>
    <w:rsid w:val="0F307FAF"/>
    <w:rsid w:val="0F5E2B28"/>
    <w:rsid w:val="0FFF5D20"/>
    <w:rsid w:val="102D2243"/>
    <w:rsid w:val="10BC41DC"/>
    <w:rsid w:val="10C06C14"/>
    <w:rsid w:val="10EE0A2B"/>
    <w:rsid w:val="1103797A"/>
    <w:rsid w:val="111C5213"/>
    <w:rsid w:val="113C2F04"/>
    <w:rsid w:val="11A465E4"/>
    <w:rsid w:val="11DA3332"/>
    <w:rsid w:val="12255C44"/>
    <w:rsid w:val="124D097B"/>
    <w:rsid w:val="125B31A5"/>
    <w:rsid w:val="126003DA"/>
    <w:rsid w:val="12787CC9"/>
    <w:rsid w:val="12A07EF2"/>
    <w:rsid w:val="12A723E9"/>
    <w:rsid w:val="12C0546C"/>
    <w:rsid w:val="12F0239D"/>
    <w:rsid w:val="13065B6A"/>
    <w:rsid w:val="1329465D"/>
    <w:rsid w:val="1356385F"/>
    <w:rsid w:val="137D64C9"/>
    <w:rsid w:val="13955207"/>
    <w:rsid w:val="13A220FB"/>
    <w:rsid w:val="13E53125"/>
    <w:rsid w:val="142A1A0D"/>
    <w:rsid w:val="14951E96"/>
    <w:rsid w:val="14E20B83"/>
    <w:rsid w:val="14FB154B"/>
    <w:rsid w:val="1527537C"/>
    <w:rsid w:val="15583A3C"/>
    <w:rsid w:val="1559791D"/>
    <w:rsid w:val="156D054F"/>
    <w:rsid w:val="15A03F11"/>
    <w:rsid w:val="15AF4C9F"/>
    <w:rsid w:val="1621745F"/>
    <w:rsid w:val="16302145"/>
    <w:rsid w:val="1634336D"/>
    <w:rsid w:val="166671B9"/>
    <w:rsid w:val="16B5442E"/>
    <w:rsid w:val="16DF3B6C"/>
    <w:rsid w:val="17067090"/>
    <w:rsid w:val="172F61F2"/>
    <w:rsid w:val="17B444C5"/>
    <w:rsid w:val="17C677F6"/>
    <w:rsid w:val="17EA7E63"/>
    <w:rsid w:val="17EC258C"/>
    <w:rsid w:val="17FB6783"/>
    <w:rsid w:val="1802273E"/>
    <w:rsid w:val="18057602"/>
    <w:rsid w:val="19156285"/>
    <w:rsid w:val="19187C36"/>
    <w:rsid w:val="191F5BC5"/>
    <w:rsid w:val="19405FFC"/>
    <w:rsid w:val="1961582B"/>
    <w:rsid w:val="19A45CAF"/>
    <w:rsid w:val="19D918B6"/>
    <w:rsid w:val="19F45B80"/>
    <w:rsid w:val="1A304E0A"/>
    <w:rsid w:val="1A5C117F"/>
    <w:rsid w:val="1A660463"/>
    <w:rsid w:val="1A6E4DC8"/>
    <w:rsid w:val="1A757A9D"/>
    <w:rsid w:val="1AAB30D1"/>
    <w:rsid w:val="1AE36930"/>
    <w:rsid w:val="1AF24D6D"/>
    <w:rsid w:val="1B494FC7"/>
    <w:rsid w:val="1B4960D3"/>
    <w:rsid w:val="1B625CA6"/>
    <w:rsid w:val="1B8C58CC"/>
    <w:rsid w:val="1B9662D4"/>
    <w:rsid w:val="1B967BD2"/>
    <w:rsid w:val="1BA5616D"/>
    <w:rsid w:val="1BB43819"/>
    <w:rsid w:val="1BF9F258"/>
    <w:rsid w:val="1C0C4694"/>
    <w:rsid w:val="1C3F374E"/>
    <w:rsid w:val="1C556DAA"/>
    <w:rsid w:val="1C805DB3"/>
    <w:rsid w:val="1CA96B47"/>
    <w:rsid w:val="1D5E4269"/>
    <w:rsid w:val="1D692467"/>
    <w:rsid w:val="1D760FD2"/>
    <w:rsid w:val="1D796BD9"/>
    <w:rsid w:val="1DAB6FC6"/>
    <w:rsid w:val="1DBA2947"/>
    <w:rsid w:val="1E0B185A"/>
    <w:rsid w:val="1E0B34DE"/>
    <w:rsid w:val="1E195AA0"/>
    <w:rsid w:val="1E771B6D"/>
    <w:rsid w:val="1E8E7A1C"/>
    <w:rsid w:val="1EC24C5E"/>
    <w:rsid w:val="1ED72597"/>
    <w:rsid w:val="1EE16FB7"/>
    <w:rsid w:val="1EF55025"/>
    <w:rsid w:val="1EFC03AB"/>
    <w:rsid w:val="1F0D37A3"/>
    <w:rsid w:val="1F0E7916"/>
    <w:rsid w:val="1F135208"/>
    <w:rsid w:val="1F4B53D6"/>
    <w:rsid w:val="1F647304"/>
    <w:rsid w:val="1F6D139B"/>
    <w:rsid w:val="1FAD0696"/>
    <w:rsid w:val="1FD65CE5"/>
    <w:rsid w:val="1FD6A7F1"/>
    <w:rsid w:val="1FE25EEA"/>
    <w:rsid w:val="1FEB240F"/>
    <w:rsid w:val="1FF26352"/>
    <w:rsid w:val="200A3F80"/>
    <w:rsid w:val="20100644"/>
    <w:rsid w:val="20210A89"/>
    <w:rsid w:val="202E4C86"/>
    <w:rsid w:val="20331BA8"/>
    <w:rsid w:val="206E5ABB"/>
    <w:rsid w:val="20902E89"/>
    <w:rsid w:val="20BA321D"/>
    <w:rsid w:val="20E63789"/>
    <w:rsid w:val="21223F8A"/>
    <w:rsid w:val="218757FB"/>
    <w:rsid w:val="218F228F"/>
    <w:rsid w:val="21C74256"/>
    <w:rsid w:val="221A1EFC"/>
    <w:rsid w:val="222357DC"/>
    <w:rsid w:val="225F2E20"/>
    <w:rsid w:val="2269370F"/>
    <w:rsid w:val="228C1E69"/>
    <w:rsid w:val="228D1967"/>
    <w:rsid w:val="22C03D22"/>
    <w:rsid w:val="22C77CFB"/>
    <w:rsid w:val="22EB1A5D"/>
    <w:rsid w:val="23170782"/>
    <w:rsid w:val="233C0BD9"/>
    <w:rsid w:val="233D0C38"/>
    <w:rsid w:val="237663FF"/>
    <w:rsid w:val="23E644FA"/>
    <w:rsid w:val="244B392B"/>
    <w:rsid w:val="247138BD"/>
    <w:rsid w:val="24BB79C6"/>
    <w:rsid w:val="24BF2DA2"/>
    <w:rsid w:val="24C80507"/>
    <w:rsid w:val="257940C5"/>
    <w:rsid w:val="25F211C5"/>
    <w:rsid w:val="260E417C"/>
    <w:rsid w:val="26412B50"/>
    <w:rsid w:val="265B39B6"/>
    <w:rsid w:val="26712B08"/>
    <w:rsid w:val="268A3E2C"/>
    <w:rsid w:val="27372CEA"/>
    <w:rsid w:val="276D3A0B"/>
    <w:rsid w:val="279A6AD6"/>
    <w:rsid w:val="27B95FC7"/>
    <w:rsid w:val="27D50972"/>
    <w:rsid w:val="281A7F73"/>
    <w:rsid w:val="28201358"/>
    <w:rsid w:val="28243E5C"/>
    <w:rsid w:val="286C67CB"/>
    <w:rsid w:val="287F3A7D"/>
    <w:rsid w:val="28810F26"/>
    <w:rsid w:val="289E7C6B"/>
    <w:rsid w:val="28BB6BD4"/>
    <w:rsid w:val="28CA449E"/>
    <w:rsid w:val="28CB1796"/>
    <w:rsid w:val="28E72AD0"/>
    <w:rsid w:val="292713F3"/>
    <w:rsid w:val="2928057F"/>
    <w:rsid w:val="293525BC"/>
    <w:rsid w:val="296D5007"/>
    <w:rsid w:val="298005B5"/>
    <w:rsid w:val="29AB72A2"/>
    <w:rsid w:val="29CE019B"/>
    <w:rsid w:val="29DF3D92"/>
    <w:rsid w:val="2A0419E3"/>
    <w:rsid w:val="2A1C2D11"/>
    <w:rsid w:val="2A2A167A"/>
    <w:rsid w:val="2A2B04E3"/>
    <w:rsid w:val="2A39579A"/>
    <w:rsid w:val="2A594EE2"/>
    <w:rsid w:val="2A841699"/>
    <w:rsid w:val="2A90524A"/>
    <w:rsid w:val="2AB15081"/>
    <w:rsid w:val="2B072003"/>
    <w:rsid w:val="2BF11196"/>
    <w:rsid w:val="2BFB5B18"/>
    <w:rsid w:val="2C16110C"/>
    <w:rsid w:val="2C2D7F09"/>
    <w:rsid w:val="2C943A17"/>
    <w:rsid w:val="2C961EBF"/>
    <w:rsid w:val="2CA05891"/>
    <w:rsid w:val="2D3BC5FB"/>
    <w:rsid w:val="2E002FB8"/>
    <w:rsid w:val="2E096E45"/>
    <w:rsid w:val="2E441C81"/>
    <w:rsid w:val="2E832919"/>
    <w:rsid w:val="2EBE2005"/>
    <w:rsid w:val="2EE40B3B"/>
    <w:rsid w:val="2EFF6339"/>
    <w:rsid w:val="3005243D"/>
    <w:rsid w:val="301C4765"/>
    <w:rsid w:val="306D54C4"/>
    <w:rsid w:val="308C1709"/>
    <w:rsid w:val="30BE1D83"/>
    <w:rsid w:val="30C7493E"/>
    <w:rsid w:val="30F507C2"/>
    <w:rsid w:val="31172428"/>
    <w:rsid w:val="311D6440"/>
    <w:rsid w:val="31420649"/>
    <w:rsid w:val="315333CE"/>
    <w:rsid w:val="31A70398"/>
    <w:rsid w:val="31FA18A6"/>
    <w:rsid w:val="32024DB6"/>
    <w:rsid w:val="321C73C9"/>
    <w:rsid w:val="3235436C"/>
    <w:rsid w:val="3241634A"/>
    <w:rsid w:val="324A125C"/>
    <w:rsid w:val="32527810"/>
    <w:rsid w:val="327F04F9"/>
    <w:rsid w:val="32BA5775"/>
    <w:rsid w:val="332901F1"/>
    <w:rsid w:val="33775400"/>
    <w:rsid w:val="341D21C1"/>
    <w:rsid w:val="3448034C"/>
    <w:rsid w:val="35473F61"/>
    <w:rsid w:val="35621F3B"/>
    <w:rsid w:val="358F0823"/>
    <w:rsid w:val="364604DF"/>
    <w:rsid w:val="368F68BA"/>
    <w:rsid w:val="36CD30CD"/>
    <w:rsid w:val="36D54201"/>
    <w:rsid w:val="36F8269A"/>
    <w:rsid w:val="374102BB"/>
    <w:rsid w:val="37B3474E"/>
    <w:rsid w:val="37D771A7"/>
    <w:rsid w:val="37E372F5"/>
    <w:rsid w:val="37E6535E"/>
    <w:rsid w:val="37FF456D"/>
    <w:rsid w:val="381F5862"/>
    <w:rsid w:val="38240CA0"/>
    <w:rsid w:val="3826179D"/>
    <w:rsid w:val="382D1AEE"/>
    <w:rsid w:val="382E4D98"/>
    <w:rsid w:val="383E3E48"/>
    <w:rsid w:val="384C7CB9"/>
    <w:rsid w:val="3885623F"/>
    <w:rsid w:val="388E2258"/>
    <w:rsid w:val="38D666FE"/>
    <w:rsid w:val="38DB5DA5"/>
    <w:rsid w:val="390E0E75"/>
    <w:rsid w:val="39475C2A"/>
    <w:rsid w:val="396A2F24"/>
    <w:rsid w:val="399104AD"/>
    <w:rsid w:val="399A59A4"/>
    <w:rsid w:val="39A16FBE"/>
    <w:rsid w:val="3A02767D"/>
    <w:rsid w:val="3A4764BA"/>
    <w:rsid w:val="3AB76E3B"/>
    <w:rsid w:val="3ABD2B96"/>
    <w:rsid w:val="3B1C4C5E"/>
    <w:rsid w:val="3B22281B"/>
    <w:rsid w:val="3B5038A7"/>
    <w:rsid w:val="3B5C2395"/>
    <w:rsid w:val="3B661094"/>
    <w:rsid w:val="3BA16329"/>
    <w:rsid w:val="3BAE3633"/>
    <w:rsid w:val="3BB75951"/>
    <w:rsid w:val="3C45457A"/>
    <w:rsid w:val="3C4640F1"/>
    <w:rsid w:val="3C6C6EE2"/>
    <w:rsid w:val="3C866502"/>
    <w:rsid w:val="3CC6494B"/>
    <w:rsid w:val="3CE34B6E"/>
    <w:rsid w:val="3CF950D8"/>
    <w:rsid w:val="3D177A02"/>
    <w:rsid w:val="3D4C7E77"/>
    <w:rsid w:val="3D70547B"/>
    <w:rsid w:val="3D781D24"/>
    <w:rsid w:val="3D783D46"/>
    <w:rsid w:val="3D991E21"/>
    <w:rsid w:val="3DE234C9"/>
    <w:rsid w:val="3DF7000C"/>
    <w:rsid w:val="3E017360"/>
    <w:rsid w:val="3E2A4B26"/>
    <w:rsid w:val="3EBE3EE3"/>
    <w:rsid w:val="3ED97D28"/>
    <w:rsid w:val="3EEBF409"/>
    <w:rsid w:val="3F2A5A1C"/>
    <w:rsid w:val="3FC00E89"/>
    <w:rsid w:val="3FC7C943"/>
    <w:rsid w:val="3FFBCCB2"/>
    <w:rsid w:val="3FFFE6EC"/>
    <w:rsid w:val="40E56788"/>
    <w:rsid w:val="41034906"/>
    <w:rsid w:val="4113ED5A"/>
    <w:rsid w:val="41331B89"/>
    <w:rsid w:val="415D0FB3"/>
    <w:rsid w:val="416F3B35"/>
    <w:rsid w:val="41B577AC"/>
    <w:rsid w:val="42026A01"/>
    <w:rsid w:val="42045625"/>
    <w:rsid w:val="423676B0"/>
    <w:rsid w:val="426530E9"/>
    <w:rsid w:val="42720770"/>
    <w:rsid w:val="428A020E"/>
    <w:rsid w:val="431903BE"/>
    <w:rsid w:val="43597FF0"/>
    <w:rsid w:val="438D3CFB"/>
    <w:rsid w:val="43A220B2"/>
    <w:rsid w:val="43AF64F0"/>
    <w:rsid w:val="444035EC"/>
    <w:rsid w:val="4489632C"/>
    <w:rsid w:val="44915BF6"/>
    <w:rsid w:val="44AD7E88"/>
    <w:rsid w:val="4521501C"/>
    <w:rsid w:val="455E01CE"/>
    <w:rsid w:val="4561381A"/>
    <w:rsid w:val="457738DB"/>
    <w:rsid w:val="458E64AD"/>
    <w:rsid w:val="45A1795E"/>
    <w:rsid w:val="45B778DE"/>
    <w:rsid w:val="45BB3CB0"/>
    <w:rsid w:val="45FF04C5"/>
    <w:rsid w:val="463F48D7"/>
    <w:rsid w:val="46456F97"/>
    <w:rsid w:val="467609A5"/>
    <w:rsid w:val="46840788"/>
    <w:rsid w:val="46D523E2"/>
    <w:rsid w:val="470005E7"/>
    <w:rsid w:val="476E0DE5"/>
    <w:rsid w:val="478D4D2B"/>
    <w:rsid w:val="47B27FD6"/>
    <w:rsid w:val="47B96134"/>
    <w:rsid w:val="47BC3B35"/>
    <w:rsid w:val="483736DF"/>
    <w:rsid w:val="483D2420"/>
    <w:rsid w:val="48462D33"/>
    <w:rsid w:val="48535445"/>
    <w:rsid w:val="48815313"/>
    <w:rsid w:val="488E7414"/>
    <w:rsid w:val="48937800"/>
    <w:rsid w:val="48961A2D"/>
    <w:rsid w:val="490B23C5"/>
    <w:rsid w:val="492C4586"/>
    <w:rsid w:val="497A088A"/>
    <w:rsid w:val="49A65DAB"/>
    <w:rsid w:val="4A124DD6"/>
    <w:rsid w:val="4A270A46"/>
    <w:rsid w:val="4A3B526E"/>
    <w:rsid w:val="4A705BF0"/>
    <w:rsid w:val="4A724DFA"/>
    <w:rsid w:val="4A8F5C19"/>
    <w:rsid w:val="4A916E59"/>
    <w:rsid w:val="4AC57541"/>
    <w:rsid w:val="4ADB23E9"/>
    <w:rsid w:val="4AE0112C"/>
    <w:rsid w:val="4AE40AB2"/>
    <w:rsid w:val="4B0F2FE5"/>
    <w:rsid w:val="4B58121B"/>
    <w:rsid w:val="4B62209A"/>
    <w:rsid w:val="4B966543"/>
    <w:rsid w:val="4BE64A79"/>
    <w:rsid w:val="4BEB1BC0"/>
    <w:rsid w:val="4C0574E2"/>
    <w:rsid w:val="4C066075"/>
    <w:rsid w:val="4C867FB3"/>
    <w:rsid w:val="4CC742F9"/>
    <w:rsid w:val="4CCD68F0"/>
    <w:rsid w:val="4CFA1952"/>
    <w:rsid w:val="4D393C00"/>
    <w:rsid w:val="4D3A119C"/>
    <w:rsid w:val="4D491763"/>
    <w:rsid w:val="4DA51009"/>
    <w:rsid w:val="4DC66910"/>
    <w:rsid w:val="4DEC3DCE"/>
    <w:rsid w:val="4E0A2C7A"/>
    <w:rsid w:val="4E0B4C6B"/>
    <w:rsid w:val="4E361621"/>
    <w:rsid w:val="4E3B202D"/>
    <w:rsid w:val="4E90634E"/>
    <w:rsid w:val="4EBD64BE"/>
    <w:rsid w:val="4ED13B16"/>
    <w:rsid w:val="4ED42469"/>
    <w:rsid w:val="4EE47520"/>
    <w:rsid w:val="4EEC508F"/>
    <w:rsid w:val="4F073684"/>
    <w:rsid w:val="4F376D4D"/>
    <w:rsid w:val="4F422E27"/>
    <w:rsid w:val="4F8231F0"/>
    <w:rsid w:val="4F9F4CBD"/>
    <w:rsid w:val="4FA1526D"/>
    <w:rsid w:val="4FDB6389"/>
    <w:rsid w:val="50276F1F"/>
    <w:rsid w:val="502A05D8"/>
    <w:rsid w:val="50917338"/>
    <w:rsid w:val="511B21E8"/>
    <w:rsid w:val="51AE503F"/>
    <w:rsid w:val="51C87893"/>
    <w:rsid w:val="51E31011"/>
    <w:rsid w:val="522D21D5"/>
    <w:rsid w:val="52784E7F"/>
    <w:rsid w:val="52970931"/>
    <w:rsid w:val="52C553E8"/>
    <w:rsid w:val="52DE294E"/>
    <w:rsid w:val="53074EF6"/>
    <w:rsid w:val="534E046A"/>
    <w:rsid w:val="53B65679"/>
    <w:rsid w:val="53C93C4D"/>
    <w:rsid w:val="53E13C9D"/>
    <w:rsid w:val="53E730D0"/>
    <w:rsid w:val="54153ED3"/>
    <w:rsid w:val="54531B43"/>
    <w:rsid w:val="54876A65"/>
    <w:rsid w:val="54A01FF8"/>
    <w:rsid w:val="54F2576A"/>
    <w:rsid w:val="54FD275F"/>
    <w:rsid w:val="550D5B56"/>
    <w:rsid w:val="55194197"/>
    <w:rsid w:val="55B329B1"/>
    <w:rsid w:val="55B66BF8"/>
    <w:rsid w:val="55ED4CAE"/>
    <w:rsid w:val="55F710A4"/>
    <w:rsid w:val="560E62EE"/>
    <w:rsid w:val="56246354"/>
    <w:rsid w:val="56300645"/>
    <w:rsid w:val="564D550A"/>
    <w:rsid w:val="56740126"/>
    <w:rsid w:val="56AC0A41"/>
    <w:rsid w:val="56FD5039"/>
    <w:rsid w:val="57296495"/>
    <w:rsid w:val="575C194B"/>
    <w:rsid w:val="57685B37"/>
    <w:rsid w:val="57E15361"/>
    <w:rsid w:val="57E744AB"/>
    <w:rsid w:val="5804760B"/>
    <w:rsid w:val="580D1C25"/>
    <w:rsid w:val="58571947"/>
    <w:rsid w:val="58AD223B"/>
    <w:rsid w:val="58EA4EC9"/>
    <w:rsid w:val="58F30FB6"/>
    <w:rsid w:val="5903310E"/>
    <w:rsid w:val="5906256F"/>
    <w:rsid w:val="595A765C"/>
    <w:rsid w:val="596B304E"/>
    <w:rsid w:val="59893878"/>
    <w:rsid w:val="59B241EC"/>
    <w:rsid w:val="59B41CB9"/>
    <w:rsid w:val="5A241AB9"/>
    <w:rsid w:val="5A315BAD"/>
    <w:rsid w:val="5A582E9C"/>
    <w:rsid w:val="5AB01542"/>
    <w:rsid w:val="5AE454B2"/>
    <w:rsid w:val="5B7A6F8C"/>
    <w:rsid w:val="5B874443"/>
    <w:rsid w:val="5C007DB1"/>
    <w:rsid w:val="5C1E087C"/>
    <w:rsid w:val="5C1E200E"/>
    <w:rsid w:val="5C9134FA"/>
    <w:rsid w:val="5C9A7821"/>
    <w:rsid w:val="5CEE0566"/>
    <w:rsid w:val="5D315FD5"/>
    <w:rsid w:val="5D410F31"/>
    <w:rsid w:val="5D625B10"/>
    <w:rsid w:val="5D997B9D"/>
    <w:rsid w:val="5D9F0282"/>
    <w:rsid w:val="5DA63B2D"/>
    <w:rsid w:val="5E162F9C"/>
    <w:rsid w:val="5E361890"/>
    <w:rsid w:val="5E430D81"/>
    <w:rsid w:val="5E764D6B"/>
    <w:rsid w:val="5E9E2D98"/>
    <w:rsid w:val="5ED62F22"/>
    <w:rsid w:val="5EEF871A"/>
    <w:rsid w:val="5F0C2819"/>
    <w:rsid w:val="5F131BD1"/>
    <w:rsid w:val="5F514C1E"/>
    <w:rsid w:val="5FBA69D8"/>
    <w:rsid w:val="5FF603C4"/>
    <w:rsid w:val="5FFFB080"/>
    <w:rsid w:val="604D5845"/>
    <w:rsid w:val="607759B1"/>
    <w:rsid w:val="6146129C"/>
    <w:rsid w:val="61522201"/>
    <w:rsid w:val="615E2032"/>
    <w:rsid w:val="617D6D86"/>
    <w:rsid w:val="622C61D8"/>
    <w:rsid w:val="623929D6"/>
    <w:rsid w:val="627262A3"/>
    <w:rsid w:val="6288652B"/>
    <w:rsid w:val="62FE18CC"/>
    <w:rsid w:val="631B72A6"/>
    <w:rsid w:val="633C3C7A"/>
    <w:rsid w:val="635D7C35"/>
    <w:rsid w:val="63A252D2"/>
    <w:rsid w:val="63E637E8"/>
    <w:rsid w:val="63FF3ECC"/>
    <w:rsid w:val="64315272"/>
    <w:rsid w:val="643177E6"/>
    <w:rsid w:val="64966E1D"/>
    <w:rsid w:val="64C42708"/>
    <w:rsid w:val="64DFCA80"/>
    <w:rsid w:val="64F01F80"/>
    <w:rsid w:val="6530390E"/>
    <w:rsid w:val="65384140"/>
    <w:rsid w:val="6582709A"/>
    <w:rsid w:val="658A78AB"/>
    <w:rsid w:val="65E6594A"/>
    <w:rsid w:val="65ED3570"/>
    <w:rsid w:val="661D7B72"/>
    <w:rsid w:val="669E13CD"/>
    <w:rsid w:val="66C131C4"/>
    <w:rsid w:val="66EA1E5D"/>
    <w:rsid w:val="66F312C8"/>
    <w:rsid w:val="66F53DCE"/>
    <w:rsid w:val="67165664"/>
    <w:rsid w:val="672A7E32"/>
    <w:rsid w:val="674D5C6D"/>
    <w:rsid w:val="676E4E5D"/>
    <w:rsid w:val="67751125"/>
    <w:rsid w:val="67B60332"/>
    <w:rsid w:val="67C44C52"/>
    <w:rsid w:val="67E96884"/>
    <w:rsid w:val="6800077F"/>
    <w:rsid w:val="681B6197"/>
    <w:rsid w:val="68424C4B"/>
    <w:rsid w:val="684B7882"/>
    <w:rsid w:val="68603A9E"/>
    <w:rsid w:val="68965F8F"/>
    <w:rsid w:val="68CA2103"/>
    <w:rsid w:val="69415911"/>
    <w:rsid w:val="69515A5F"/>
    <w:rsid w:val="69965F1F"/>
    <w:rsid w:val="69AC344D"/>
    <w:rsid w:val="69DB32EB"/>
    <w:rsid w:val="6A007BCA"/>
    <w:rsid w:val="6A0E3C29"/>
    <w:rsid w:val="6A2839EB"/>
    <w:rsid w:val="6A59592A"/>
    <w:rsid w:val="6A65616F"/>
    <w:rsid w:val="6A7C7DDD"/>
    <w:rsid w:val="6AAF5EFA"/>
    <w:rsid w:val="6B074014"/>
    <w:rsid w:val="6B5E549E"/>
    <w:rsid w:val="6B861F50"/>
    <w:rsid w:val="6B9F7142"/>
    <w:rsid w:val="6BAF2B18"/>
    <w:rsid w:val="6BD607FD"/>
    <w:rsid w:val="6C24749A"/>
    <w:rsid w:val="6C4213AA"/>
    <w:rsid w:val="6C42272D"/>
    <w:rsid w:val="6C480C6F"/>
    <w:rsid w:val="6C8372FB"/>
    <w:rsid w:val="6C980B11"/>
    <w:rsid w:val="6CD35FF5"/>
    <w:rsid w:val="6CDF4E25"/>
    <w:rsid w:val="6D002C09"/>
    <w:rsid w:val="6D205F22"/>
    <w:rsid w:val="6D435EC0"/>
    <w:rsid w:val="6D590AC3"/>
    <w:rsid w:val="6D6C3F63"/>
    <w:rsid w:val="6D904521"/>
    <w:rsid w:val="6D9A2574"/>
    <w:rsid w:val="6DAD1A2A"/>
    <w:rsid w:val="6DB01A14"/>
    <w:rsid w:val="6DD32A4A"/>
    <w:rsid w:val="6DD90311"/>
    <w:rsid w:val="6DDF64BA"/>
    <w:rsid w:val="6DE65BF6"/>
    <w:rsid w:val="6DFD2582"/>
    <w:rsid w:val="6E804461"/>
    <w:rsid w:val="6E9876D5"/>
    <w:rsid w:val="6EDA5182"/>
    <w:rsid w:val="6F2F65B3"/>
    <w:rsid w:val="6F3509D3"/>
    <w:rsid w:val="6F4637B6"/>
    <w:rsid w:val="6F66127E"/>
    <w:rsid w:val="6F8D0925"/>
    <w:rsid w:val="7015374E"/>
    <w:rsid w:val="703F285B"/>
    <w:rsid w:val="70C2082F"/>
    <w:rsid w:val="70DF647F"/>
    <w:rsid w:val="70F44A44"/>
    <w:rsid w:val="7104581E"/>
    <w:rsid w:val="713651EA"/>
    <w:rsid w:val="715F4802"/>
    <w:rsid w:val="718166C0"/>
    <w:rsid w:val="71BC741A"/>
    <w:rsid w:val="71D57C35"/>
    <w:rsid w:val="71F343E1"/>
    <w:rsid w:val="720C792E"/>
    <w:rsid w:val="72191ED0"/>
    <w:rsid w:val="72323CC5"/>
    <w:rsid w:val="7238577F"/>
    <w:rsid w:val="724F7ACA"/>
    <w:rsid w:val="725F1BBF"/>
    <w:rsid w:val="7285473C"/>
    <w:rsid w:val="72901371"/>
    <w:rsid w:val="730F3CB4"/>
    <w:rsid w:val="731005CC"/>
    <w:rsid w:val="731129FA"/>
    <w:rsid w:val="732D2A04"/>
    <w:rsid w:val="73353D6A"/>
    <w:rsid w:val="736B7F25"/>
    <w:rsid w:val="73B728F3"/>
    <w:rsid w:val="73F05312"/>
    <w:rsid w:val="743042A8"/>
    <w:rsid w:val="74645D41"/>
    <w:rsid w:val="747D2723"/>
    <w:rsid w:val="748E316B"/>
    <w:rsid w:val="74D1767B"/>
    <w:rsid w:val="750000AA"/>
    <w:rsid w:val="75292AF1"/>
    <w:rsid w:val="758B3B8C"/>
    <w:rsid w:val="758D193E"/>
    <w:rsid w:val="75E5139A"/>
    <w:rsid w:val="76653100"/>
    <w:rsid w:val="766B7B0A"/>
    <w:rsid w:val="76997F10"/>
    <w:rsid w:val="76A81604"/>
    <w:rsid w:val="76F005DE"/>
    <w:rsid w:val="77532EE9"/>
    <w:rsid w:val="776542DD"/>
    <w:rsid w:val="779F2F0E"/>
    <w:rsid w:val="77C43611"/>
    <w:rsid w:val="77D3099A"/>
    <w:rsid w:val="77EC54BE"/>
    <w:rsid w:val="780258A2"/>
    <w:rsid w:val="78120382"/>
    <w:rsid w:val="78782C6B"/>
    <w:rsid w:val="788A2E16"/>
    <w:rsid w:val="790F1DDE"/>
    <w:rsid w:val="792A19A1"/>
    <w:rsid w:val="794B7596"/>
    <w:rsid w:val="795D6636"/>
    <w:rsid w:val="79764DDF"/>
    <w:rsid w:val="79AA1930"/>
    <w:rsid w:val="79C24332"/>
    <w:rsid w:val="79E6375F"/>
    <w:rsid w:val="79F91C98"/>
    <w:rsid w:val="7A0A4EBE"/>
    <w:rsid w:val="7A253D7B"/>
    <w:rsid w:val="7A6D21BC"/>
    <w:rsid w:val="7A705036"/>
    <w:rsid w:val="7A7F72EC"/>
    <w:rsid w:val="7A833C84"/>
    <w:rsid w:val="7A8F35AE"/>
    <w:rsid w:val="7ACD74E6"/>
    <w:rsid w:val="7ACE5370"/>
    <w:rsid w:val="7ADA3DCA"/>
    <w:rsid w:val="7B2B4328"/>
    <w:rsid w:val="7B553F2C"/>
    <w:rsid w:val="7B5DA7AF"/>
    <w:rsid w:val="7B7F0AC3"/>
    <w:rsid w:val="7BAB4E36"/>
    <w:rsid w:val="7BB05F35"/>
    <w:rsid w:val="7BF00E8B"/>
    <w:rsid w:val="7C1442C3"/>
    <w:rsid w:val="7C412368"/>
    <w:rsid w:val="7C547F45"/>
    <w:rsid w:val="7C7B75FB"/>
    <w:rsid w:val="7CB54620"/>
    <w:rsid w:val="7CBD408C"/>
    <w:rsid w:val="7CC52AFD"/>
    <w:rsid w:val="7CE00CB2"/>
    <w:rsid w:val="7D1A138B"/>
    <w:rsid w:val="7D31393E"/>
    <w:rsid w:val="7D38001A"/>
    <w:rsid w:val="7D4B430E"/>
    <w:rsid w:val="7D7A0E04"/>
    <w:rsid w:val="7DBFF655"/>
    <w:rsid w:val="7DF7EF77"/>
    <w:rsid w:val="7DFF42A1"/>
    <w:rsid w:val="7DFFAD34"/>
    <w:rsid w:val="7E0D76CF"/>
    <w:rsid w:val="7E282565"/>
    <w:rsid w:val="7E6E2528"/>
    <w:rsid w:val="7E9C2284"/>
    <w:rsid w:val="7EBB750E"/>
    <w:rsid w:val="7ED56104"/>
    <w:rsid w:val="7EE74DC9"/>
    <w:rsid w:val="7EEC1DCB"/>
    <w:rsid w:val="7F0C2958"/>
    <w:rsid w:val="7F637BB3"/>
    <w:rsid w:val="7F7B7110"/>
    <w:rsid w:val="7F9FB580"/>
    <w:rsid w:val="7FBBC8B8"/>
    <w:rsid w:val="7FD3B527"/>
    <w:rsid w:val="7FE65A7A"/>
    <w:rsid w:val="7FEEA006"/>
    <w:rsid w:val="7FFFE6D8"/>
    <w:rsid w:val="85FB2822"/>
    <w:rsid w:val="9657539E"/>
    <w:rsid w:val="97BE18CE"/>
    <w:rsid w:val="9FFB6792"/>
    <w:rsid w:val="A39F5F79"/>
    <w:rsid w:val="AEEC42A7"/>
    <w:rsid w:val="B6BBEF06"/>
    <w:rsid w:val="B7EC8B41"/>
    <w:rsid w:val="BBB9273E"/>
    <w:rsid w:val="BDBF0455"/>
    <w:rsid w:val="BFF82A83"/>
    <w:rsid w:val="C7BC7B19"/>
    <w:rsid w:val="CCDD786B"/>
    <w:rsid w:val="D56F4C7F"/>
    <w:rsid w:val="DCA4BC34"/>
    <w:rsid w:val="DD67AF04"/>
    <w:rsid w:val="DDC74D4C"/>
    <w:rsid w:val="DDDFC591"/>
    <w:rsid w:val="DEF16340"/>
    <w:rsid w:val="E4F9CEEB"/>
    <w:rsid w:val="E7730326"/>
    <w:rsid w:val="EB316C47"/>
    <w:rsid w:val="F0FD7ACE"/>
    <w:rsid w:val="F1FAFC2F"/>
    <w:rsid w:val="F6DED751"/>
    <w:rsid w:val="F7CF750E"/>
    <w:rsid w:val="F7FD1746"/>
    <w:rsid w:val="F7FF5D5C"/>
    <w:rsid w:val="FB730E43"/>
    <w:rsid w:val="FF6640C0"/>
    <w:rsid w:val="FFAF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60" w:lineRule="exact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unhideWhenUsed/>
    <w:qFormat/>
    <w:uiPriority w:val="99"/>
    <w:pPr>
      <w:widowControl/>
      <w:ind w:left="0" w:leftChars="0" w:firstLine="643" w:firstLineChars="200"/>
    </w:pPr>
    <w:rPr>
      <w:sz w:val="32"/>
    </w:rPr>
  </w:style>
  <w:style w:type="paragraph" w:styleId="3">
    <w:name w:val="Body Text Indent"/>
    <w:basedOn w:val="1"/>
    <w:autoRedefine/>
    <w:unhideWhenUsed/>
    <w:qFormat/>
    <w:uiPriority w:val="99"/>
    <w:pPr>
      <w:spacing w:after="120"/>
      <w:ind w:left="420" w:leftChars="200"/>
    </w:pPr>
  </w:style>
  <w:style w:type="paragraph" w:styleId="4">
    <w:name w:val="Body Text"/>
    <w:basedOn w:val="1"/>
    <w:autoRedefine/>
    <w:unhideWhenUsed/>
    <w:qFormat/>
    <w:uiPriority w:val="99"/>
    <w:pPr>
      <w:spacing w:after="120"/>
    </w:pPr>
    <w:rPr>
      <w:rFonts w:ascii="Times New Roman" w:hAnsi="Times New Roman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1616</Words>
  <Characters>1922</Characters>
  <Lines>0</Lines>
  <Paragraphs>0</Paragraphs>
  <TotalTime>0</TotalTime>
  <ScaleCrop>false</ScaleCrop>
  <LinksUpToDate>false</LinksUpToDate>
  <CharactersWithSpaces>1922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2025-01-08T17:03:00Z</dcterms:created>
  <dc:creator>cc</dc:creator>
  <cp:lastModifiedBy>南安市统计局</cp:lastModifiedBy>
  <cp:lastPrinted>2025-04-28T06:54:00Z</cp:lastPrinted>
  <dcterms:modified xsi:type="dcterms:W3CDTF">2026-11-05T09:40:33Z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F8012A78C23E426BB223B861350C0292_13</vt:lpwstr>
  </property>
  <property fmtid="{D5CDD505-2E9C-101B-9397-08002B2CF9AE}" pid="4" name="KSOTemplateDocerSaveRecord">
    <vt:lpwstr>eyJoZGlkIjoiMjhkYzAyOGQxODQ1NmIxOGNmY2Q1MWI1YmE0ZDAyYzEiLCJ1c2VySWQiOiIzMzcyMjE3NTkifQ==</vt:lpwstr>
  </property>
</Properties>
</file>