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62A26">
      <w:pPr>
        <w:widowControl/>
        <w:tabs>
          <w:tab w:val="left" w:pos="7875"/>
        </w:tabs>
        <w:spacing w:line="560" w:lineRule="exact"/>
        <w:ind w:firstLine="22"/>
        <w:textAlignment w:val="baseline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*南简报N024号</w:t>
      </w:r>
    </w:p>
    <w:p w14:paraId="1D2164B2">
      <w:pPr>
        <w:widowControl/>
        <w:spacing w:line="560" w:lineRule="exact"/>
        <w:jc w:val="center"/>
        <w:textAlignment w:val="baseline"/>
        <w:rPr>
          <w:rFonts w:hint="eastAsia" w:ascii="仿宋_GB2312" w:hAnsi="宋体"/>
          <w:color w:val="000000"/>
          <w:kern w:val="0"/>
          <w:szCs w:val="32"/>
        </w:rPr>
      </w:pPr>
    </w:p>
    <w:p w14:paraId="571EB310">
      <w:pPr>
        <w:widowControl/>
        <w:spacing w:line="560" w:lineRule="exact"/>
        <w:ind w:firstLine="22"/>
        <w:jc w:val="center"/>
        <w:textAlignment w:val="baseline"/>
        <w:rPr>
          <w:rFonts w:hint="eastAsia" w:ascii="仿宋_GB2312" w:hAnsi="宋体"/>
          <w:color w:val="000000"/>
          <w:kern w:val="0"/>
          <w:szCs w:val="32"/>
        </w:rPr>
      </w:pPr>
      <w:r>
        <w:rPr>
          <w:rFonts w:hint="eastAsia" w:ascii="仿宋_GB2312" w:hAnsi="宋体"/>
          <w:color w:val="000000"/>
          <w:kern w:val="0"/>
          <w:szCs w:val="32"/>
        </w:rPr>
        <w:pict>
          <v:shape id="_x0000_s1026" o:spid="_x0000_s1026" o:spt="136" type="#_x0000_t136" style="position:absolute;left:0pt;margin-left:95.95pt;margin-top:140.65pt;height:72.7pt;width:424.6pt;mso-position-horizontal-relative:page;mso-position-vertical-relative:page;z-index:251659264;mso-width-relative:page;mso-height-relative:page;" fillcolor="#FF0000" filled="t" stroked="t" coordsize="21600,21600">
            <v:path/>
            <v:fill on="t" focussize="0,0"/>
            <v:stroke color="#FFFFFF" joinstyle="bevel"/>
            <v:imagedata o:title=""/>
            <o:lock v:ext="edit" grouping="f" rotation="f" text="f" aspectratio="f"/>
            <v:textpath on="t" fitshape="t" fitpath="t" trim="t" xscale="f" string="南安统计信息" style="font-family:方正大标宋简体;font-size:36pt;v-text-align:center;"/>
          </v:shape>
        </w:pict>
      </w:r>
    </w:p>
    <w:p w14:paraId="0CCEF1BA">
      <w:pPr>
        <w:widowControl/>
        <w:spacing w:line="560" w:lineRule="exact"/>
        <w:textAlignment w:val="baseline"/>
        <w:rPr>
          <w:rFonts w:hint="eastAsia" w:ascii="仿宋_GB2312" w:hAnsi="宋体"/>
          <w:color w:val="000000"/>
          <w:kern w:val="0"/>
          <w:szCs w:val="32"/>
        </w:rPr>
      </w:pPr>
    </w:p>
    <w:p w14:paraId="694480BB">
      <w:pPr>
        <w:widowControl/>
        <w:spacing w:line="560" w:lineRule="exact"/>
        <w:jc w:val="both"/>
        <w:textAlignment w:val="baseline"/>
        <w:rPr>
          <w:rFonts w:hint="eastAsia" w:ascii="仿宋_GB2312" w:hAnsi="宋体"/>
          <w:color w:val="000000"/>
          <w:kern w:val="0"/>
          <w:szCs w:val="32"/>
        </w:rPr>
      </w:pPr>
    </w:p>
    <w:p w14:paraId="6E743176">
      <w:pPr>
        <w:widowControl/>
        <w:spacing w:line="560" w:lineRule="exact"/>
        <w:ind w:firstLine="22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期</w:t>
      </w:r>
    </w:p>
    <w:p w14:paraId="16563457">
      <w:pPr>
        <w:widowControl/>
        <w:spacing w:line="560" w:lineRule="exact"/>
        <w:ind w:firstLine="22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南安市统计局  编        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354AD18"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103505</wp:posOffset>
                </wp:positionV>
                <wp:extent cx="6125845" cy="76200"/>
                <wp:effectExtent l="7620" t="7620" r="13335" b="17780"/>
                <wp:wrapNone/>
                <wp:docPr id="8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5845" cy="76200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09" type="#_x0000_t109" style="position:absolute;left:0pt;flip:y;margin-left:-15.3pt;margin-top:8.15pt;height:6pt;width:482.35pt;z-index:251660288;mso-width-relative:page;mso-height-relative:page;" fillcolor="#FF0000" filled="t" stroked="t" coordsize="21600,21600" o:gfxdata="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u/4e+2QAAAAkB&#10;AAAPAAAAAAAAAAEAIAAAACIAAABkcnMvZG93bnJldi54bWxQSwECFAAUAAAACACHTuJAkIj9kBoC&#10;AABIBAAADgAAAAAAAAABACAAAAAoAQAAZHJzL2Uyb0RvYy54bWxQSwUGAAAAAAYABgBZAQAAtAUA&#10;AAAA&#10;">
                <v:fill on="t" focussize="0,0"/>
                <v:stroke weight="1.25pt" color="#FFFFFF" joinstyle="miter"/>
                <v:imagedata o:title=""/>
                <o:lock v:ext="edit" aspectratio="f"/>
              </v:shape>
            </w:pict>
          </mc:Fallback>
        </mc:AlternateContent>
      </w:r>
    </w:p>
    <w:p w14:paraId="08012412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2025年南安经济稳中有进 进中提质</w:t>
      </w:r>
    </w:p>
    <w:p w14:paraId="04E12A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2025年，全市上下深入贯彻落实上级决策部署，坚持稳中求进工作总基调，积极应对愈趋严峻复杂的经济形势，统筹实施一揽子存量和增量政策举措，持续深化拓展“三个提效年”活动，着力稳增长、扩需求、优结构，经济运行总体平稳，发展质效稳步提升。</w:t>
      </w:r>
    </w:p>
    <w:p w14:paraId="6EFD98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根据统一核算反馈，全市实现地区生产总值1931.90亿元，比上年增长5.3%。分三次产业看，第一产业增加值36.11亿元，增长2.5%；第二产业增加值1086.81亿元，增长5.4%；第三产业增加值808.98亿元，增长5.2%。</w:t>
      </w:r>
    </w:p>
    <w:p w14:paraId="670124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农业生产稳中有进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供给保障能力扎实</w:t>
      </w:r>
    </w:p>
    <w:p w14:paraId="3B11C1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全市农林牧渔业总产值62.35亿元，比上年增长2.9%。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粮食产量稳中有增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粮食播种面积39.02万亩，比上年增加0.25万亩；实现粮食总产量15.84万吨，增长2.7%。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水果生产质优量增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园林水果产量3.58万吨，增长7.3%；其中，柑桔类增长9.2%，热带亚热带水果增长6.5%。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畜牧业稳产保供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全年生猪出栏56.46万头，增长1.9%；年末生猪存栏28.75万头，增长1.1%。禽蛋产量2.13万吨，增长3.3%；牛奶产量0.16万吨，增长3.8%。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渔业生产势头良好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渔业产值6.07亿元，增长18.7%，比上年同期加快10.0个百分点。水产品产量7.02万吨，增长5.5%；其中，海洋养殖水产品6.52万吨、增长5.4%，淡水养殖产品0.37万吨、增长7.3%。</w:t>
      </w:r>
    </w:p>
    <w:p w14:paraId="4EAD4F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二、工业生产总体稳固，向新优势加快塑造</w:t>
      </w:r>
    </w:p>
    <w:p w14:paraId="5890A1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全市规模以上工业增加值比上年增长5.7%。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机械装备业增长强劲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机械装备业增长12.5%，其中，金属制品业、专用设备制造业、通用设备制造业分别增长21.9%、15.9%、14.5%。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亿元企业韧性彰显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累计产值超亿元工业企业521家，比上年同期增加19家；亿元工业企业实现增长6.5%，拉动增长5.4个百分点；其中，超5亿元企业实现增长6.1%、拉动增长3.0个百分点，超10亿元企业实现增长8.0%、拉动增长2.2个百分点。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新质生产力稳步培育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规上战略性新兴产业企业实现增长3.2%，拉动增长0.9个百分点；规上专精特新企业实现增长3.9%，拉动增长0.7个百分点。绿色转型成效明显，废弃资源综合利用业增长27.8%。研发深植智造升级，2024年R&amp;D经费投入增长17.6%。</w:t>
      </w:r>
    </w:p>
    <w:p w14:paraId="6F76AD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三、服务业提级增长，生产生活多点开花</w:t>
      </w:r>
    </w:p>
    <w:p w14:paraId="3D3EFE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1-11月（错月，下同）规模以上其他营利性服务业实现营业收入增长28.4%，比上年同期加快5.7个百分点。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生产服务引领增长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信息传输、软件和信息技术服务业增长43.1%；租赁和商务服务业增长38.2%，拉动规上其他营利性服务业增长21.7个百分点，成为该行业增长拉动作用最强的板块。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生活服务多维拓展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居民服务修理和其他服务业增长25.0%，新增办公室、园区、医疗机构等专项保洁，拓展洗染服务、生活物资代送等细分领域，业务场景更丰富多元。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文旅助力服务扩容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居民休闲消费需求回暖与文旅消费场景持续创新，文化、体育和娱乐业增长37.9%，比上年同期加快19.8个百分点。全年累计接待国内游客991.74万人次、增长11.2%，实现旅游总收入137.66亿元、增长9.7%，带动限上住宿业、餐饮业实现营业额6.61亿元、9.74亿元，分别增长12.5%、22.9%。</w:t>
      </w:r>
    </w:p>
    <w:p w14:paraId="0C3709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四、投资建设扎实推进，民间投资活力彰显</w:t>
      </w:r>
    </w:p>
    <w:p w14:paraId="746E67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全市固定资产投资增长2.5%。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工业投资筑牢底盘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工业投资增长20.8%，比上年同期加快10.7个百分点，占全市投资比重49.5%，拉动固定资产投资增长8.7个百分点；其中，制造业投资增长19.9%，电力、热力、燃气及水的生产和供应业投资增长32.0%。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设备更新激活潜能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设备工器具投资增长24.1%，高于全市投资增速21.6个百分点，拉动增长2.8个百分点。工业技术改造投资增长23.4%，拉动增长6.2个百分点，助推产业升级。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民间投资步伐加快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民间投资增长13.3%，占比由上年的64.0%提高到70.9%，拉动增长8.5个百分点；其中，工业民间投资增长20.8%，比上年同期加快12.7个百分点，市场信心稳步恢复。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在库项目有效赋能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全市在库项目1063个，增长22.2%。其中，本年新开工项目投资实现增长13.1%；500-5000万元项目（不含房地产）投资增长23.1%，拉动增长6.1个百分点。</w:t>
      </w:r>
    </w:p>
    <w:p w14:paraId="670309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五、零售市场动能澎湃，消费品质逐步提升</w:t>
      </w:r>
    </w:p>
    <w:p w14:paraId="1785DB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全市社会消费品零售总额912.27亿元，比上年增长5.5%；其中，限上零售额179.92亿元，增长11.6%，全年保持两位数增长。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城乡市场协同发力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城镇限上零售额156.37亿元，增长10.9%；乡村限上零售额23.55亿元，增长16.1%，增速较城镇高5.2个百分点；乡村消费品零售额占比13.1%，较上年提高0.5个百分点。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近八成商品正增长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19类主要商品中15类保持正增长，增长面78.9%。基本生活类需求稳健，限上日用品类、粮油食品类、服装鞋帽针纺织品类分别增长43.2%、24.2%、10.7%。建材家具类市场旺盛，建筑及装潢材料类、家具类合计拉动限上零售额增长2.6个百分点。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线上消费持续火热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“双十一”“双十二”购物热潮及即时零售新模式带动下，通过公共网络实现的商品零售额增长25.7%，比上年同期加快1.4个百分点；拉动增长8.7个百分点，比上年同期提高0.9个百分点。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升级消费势头强劲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消费品以旧换新推动商品消费扩容升级，通讯器材类、家用电器和音像器材类分别增长80.3%、62.1%，比上年同期加快49.9、49.8个百分点。悦己消费与颜值经济等浪潮推动下，高品质消费理念深入人心，金银珠宝类增长21.1%，化妆品类增长9.1%。</w:t>
      </w:r>
    </w:p>
    <w:p w14:paraId="230ECF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六、电力供应稳定充足，工业用电明显回暖</w:t>
      </w:r>
    </w:p>
    <w:p w14:paraId="001B15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全社会用电量109.81亿千瓦时，比上年增长5.0%，比上年同期加快2.5个百分点。其中，工业用电量70.08亿千瓦时，增长4.1%，比上年同期加快3.0个百分点，生产活动更趋活跃。</w:t>
      </w:r>
    </w:p>
    <w:p w14:paraId="68F774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七、金融活水加速流动，存贷联动实现双升</w:t>
      </w:r>
    </w:p>
    <w:p w14:paraId="01C150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12月末，金融机构本外币各项存款余额1861.49亿元，比上年增长8.3%，比上年同期加快2.8个百分点；其中住户存款增长9.5%，非金融企业存款增长8.3%。各项贷款余额1558.02亿元，增长7.3%，比上年同期加快0.3个百分点。信贷结构持续优化，金融资源更多流向重点领域和薄弱环节，小微企业、制造业、涉农领域分别增长184.2%、13.3%、8.8%，服务实体经济的精准性和有效性更加突出。</w:t>
      </w:r>
    </w:p>
    <w:p w14:paraId="7ED147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八、城乡收入差距缩小，消费意愿小幅提高</w:t>
      </w:r>
    </w:p>
    <w:p w14:paraId="7105444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全市居民人均可支配收入53426元，增长5.7%。按常住地分，农村居民收入36037元、增长6.1%，城镇居民收入66095元、增长5.2%，城乡居民收入比由上年同期的1.85进一步缩小至1.83。全市人均生活消费支出35259元，增长6.0%；其中，城镇、农村居民人均生活消费支出分别增长5.6%、6.4%。居民平均消费倾向为66.0%，比上年提升0.2个百分点，消费信心与意愿增强。</w:t>
      </w:r>
    </w:p>
    <w:p w14:paraId="440F24CD">
      <w:pPr>
        <w:pStyle w:val="6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343D30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（南安市统计局 李鑫 陈锦标 张伟钧）</w:t>
      </w:r>
    </w:p>
    <w:p w14:paraId="38C51ACA">
      <w:pPr>
        <w:pStyle w:val="6"/>
        <w:rPr>
          <w:rFonts w:hint="eastAsia"/>
        </w:rPr>
      </w:pPr>
    </w:p>
    <w:p w14:paraId="1F274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901700" cy="892175"/>
            <wp:effectExtent l="0" t="0" r="0" b="9525"/>
            <wp:docPr id="11" name="图片 1" descr="qrcode_for_gh_1eebab0522fd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qrcode_for_gh_1eebab0522fd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A10B26E">
      <w:pPr>
        <w:spacing w:line="600" w:lineRule="exact"/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扫码关注南安市统计局</w:t>
      </w:r>
    </w:p>
    <w:p w14:paraId="38E632CF">
      <w:pPr>
        <w:pStyle w:val="6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6593D6C8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0C8FDCFE">
      <w:pPr>
        <w:pStyle w:val="6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17C692B2">
      <w:pPr>
        <w:wordWrap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（此件主动公开）</w:t>
      </w:r>
    </w:p>
    <w:p w14:paraId="79E148C7"/>
    <w:p w14:paraId="720DCF85">
      <w:pPr>
        <w:rPr>
          <w:rFonts w:hint="default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C4106"/>
    <w:rsid w:val="1EF30EE9"/>
    <w:rsid w:val="4089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2026-04-29T08:04:00Z</dcterms:created>
  <dc:creator>陌里奇</dc:creator>
  <cp:lastModifiedBy>南安市统计局</cp:lastModifiedBy>
  <cp:lastPrinted>2026-04-30T01:52:20Z</cp:lastPrinted>
  <dcterms:modified xsi:type="dcterms:W3CDTF">2026-04-30T01:54:11Z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eyJoZGlkIjoiNTI2NzBlOGYxMzFlNGVhZDM3MjA5YThlZmJiNjFkOGYifQ==</vt:lpwstr>
  </property>
  <property fmtid="{D5CDD505-2E9C-101B-9397-08002B2CF9AE}" pid="4" name="ICV">
    <vt:lpwstr>9C838C91E3A3433080E1066DAE74DAD4_12</vt:lpwstr>
  </property>
</Properties>
</file>