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"/>
        <w:jc w:val="both"/>
        <w:textAlignment w:val="baseline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*南简报N024号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pict>
          <v:shape id="_x0000_s1026" o:spid="_x0000_s1026" o:spt="136" type="#_x0000_t136" style="position:absolute;left:0pt;margin-left:95.95pt;margin-top:140.65pt;height:72.7pt;width:424.6pt;mso-position-horizontal-relative:page;mso-position-vertical-relative:page;z-index:251660288;mso-width-relative:page;mso-height-relative:page;" fillcolor="#FF0000" filled="t" stroked="t" coordsize="21600,21600">
            <v:path/>
            <v:fill on="t" focussize="0,0"/>
            <v:stroke color="#FFFFFF" joinstyle="bevel"/>
            <v:imagedata o:title=""/>
            <o:lock v:ext="edit" grouping="f" rotation="f" text="f" aspectratio="f"/>
            <v:textpath on="t" fitshape="t" fitpath="t" trim="t" xscale="f" string="南安统计信息" style="font-family:方正大标宋简体;font-size:36pt;v-text-align:center;"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南安市统计局  编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103505</wp:posOffset>
                </wp:positionV>
                <wp:extent cx="6125845" cy="76200"/>
                <wp:effectExtent l="7620" t="7620" r="13335" b="1778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5845" cy="762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flip:y;margin-left:-15.3pt;margin-top:8.15pt;height:6pt;width:482.35pt;z-index:251661312;mso-width-relative:page;mso-height-relative:page;" fillcolor="#FF0000" filled="t" stroked="t" coordsize="21600,21600" o:gfxdata="UEsDBAoAAAAAAIdO4kAAAAAAAAAAAAAAAAAEAAAAZHJzL1BLAwQUAAAACACHTuJAbv+HvtkAAAAJ&#10;AQAADwAAAGRycy9kb3ducmV2LnhtbE2Py07DMBBF90j8gzVIbFDrPErUhjhdEAV2SCmV2LrxkETE&#10;4yh2m/L3DCtYju7RvWeK/dWO4oKzHxwpiNcRCKTWmYE6Bcf3erUF4YMmo0dHqOAbPezL25tC58Yt&#10;1ODlEDrBJeRzraAPYcql9G2PVvu1m5A4+3Sz1YHPuZNm1guX21EmUZRJqwfihV5P+Nxj+3U4WwX0&#10;eLRvS7arq6b5qOqHym5eXxKl7u/i6AlEwGv4g+FXn9WhZKeTO5PxYlSwSqOMUQ6yFAQDu3QTgzgp&#10;SLYpyLKQ/z8ofwBQSwMEFAAAAAgAh07iQIDErrQeAgAATwQAAA4AAABkcnMvZTJvRG9jLnhtbK1U&#10;vY4TMRDukXgHyz3ZJJBctMrmiguhQXDSAf3Ea+9a8p9sJ5uUVBQ8Ai/AC9DC0/DzGIy9S3Q5KFKw&#10;hTX2jL/55pvxLq8PWpE990FaU9HJaEwJN8zW0jQVfftm82RBSYhgalDW8IoeeaDXq8ePlp0r+dS2&#10;VtXcEwQxoexcRdsYXVkUgbVcQxhZxw06hfUaIm59U9QeOkTXqpiOx/Ois7523jIeAp6ueycdEP0l&#10;gFYIyfjasp3mJvaoniuIWFJopQt0ldkKwVl8LUTgkaiKYqUxr5gE7W1ai9USysaDayUbKMAlFB7U&#10;pEEaTHqCWkMEsvPyLygtmbfBijhiVhd9IVkRrGIyfqDNXQuO51pQ6uBOoof/B8te7W89kTVOwlNK&#10;DGjs+I8v739+/vj909eS/Pr2AU2CPhSqc6HE+Dt364ddQDNVfRBeE6Gke4c4WQesjByyzMeTzPwQ&#10;CcPD+WQ6WzybUcLQdzXHoUjoRQ+T4JwP8QW3miSjokLZ7qYFH2/7qckJYP8yxP7an/B0NVgl641U&#10;Km98s71RnuwBu7/ZjPEbMp2FKUM65D1bXCVOgDMtcJbQ1A51CabJCc+uhHPkDX7/Qk7M1hDankFG&#10;SGFQahm5z1bLoX5uahKPDqU3+ORoYqN5TYni+EKTlSMjSHVJJAqpTErC8/wPMqXm9e1K1tbWR+z7&#10;znnZtCjxJLNPHpyz3IvhTaRBvr9H+/5/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v+HvtkA&#10;AAAJAQAADwAAAAAAAAABACAAAAAiAAAAZHJzL2Rvd25yZXYueG1sUEsBAhQAFAAAAAgAh07iQIDE&#10;rrQeAgAATwQAAA4AAAAAAAAAAQAgAAAAKAEAAGRycy9lMm9Eb2MueG1sUEsFBgAAAAAGAAYAWQEA&#10;ALgFAAAAAA==&#10;">
                <v:fill on="t" focussize="0,0"/>
                <v:stroke weight="1.25pt" color="#FFFFFF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 w:beforeLines="50" w:after="156" w:afterLines="50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44"/>
          <w:szCs w:val="44"/>
        </w:rPr>
        <w:t>前三季度南安经济运行稳中有进</w:t>
      </w:r>
    </w:p>
    <w:p>
      <w:pPr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今年以来，全市</w:t>
      </w:r>
      <w:r>
        <w:rPr>
          <w:rFonts w:hint="eastAsia" w:ascii="Times New Roman" w:hAnsi="Times New Roman"/>
          <w:szCs w:val="32"/>
        </w:rPr>
        <w:t>上下</w:t>
      </w:r>
      <w:r>
        <w:rPr>
          <w:rFonts w:ascii="Times New Roman" w:hAnsi="Times New Roman"/>
          <w:szCs w:val="32"/>
        </w:rPr>
        <w:t>深化拓展“三个提效年”活动，</w:t>
      </w:r>
      <w:r>
        <w:rPr>
          <w:rFonts w:ascii="Times New Roman" w:hAnsi="Times New Roman"/>
        </w:rPr>
        <w:t>统筹稳增长、调结构、促转型、强信心</w:t>
      </w:r>
      <w:r>
        <w:rPr>
          <w:rFonts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</w:rPr>
        <w:t>市场供需平稳向好，三次产业共同发力，</w:t>
      </w:r>
      <w:r>
        <w:rPr>
          <w:rFonts w:ascii="Times New Roman" w:hAnsi="Times New Roman"/>
          <w:szCs w:val="32"/>
        </w:rPr>
        <w:t>主要经济指标运行稳中有进，发展质效持续提升。</w:t>
      </w:r>
    </w:p>
    <w:p>
      <w:pPr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前三季度，全市实现地区生产总值1375.11亿元，同比增长5.7%。分产业看，第一产业增加值21.90亿元，增长2.0%；第二产业增加值767.96亿元，增长6.0%；第三产业增加值585.24亿元，增长5.3%。</w:t>
      </w:r>
    </w:p>
    <w:p>
      <w:pPr>
        <w:pStyle w:val="10"/>
        <w:spacing w:after="0"/>
        <w:ind w:left="0" w:leftChars="0"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一、农业生产平稳有序，畜牧业形势向好</w:t>
      </w:r>
    </w:p>
    <w:p>
      <w:pPr>
        <w:pStyle w:val="10"/>
        <w:spacing w:after="0"/>
        <w:ind w:left="0" w:leftChars="0" w:firstLine="640"/>
        <w:rPr>
          <w:rFonts w:cs="Times New Roman"/>
        </w:rPr>
      </w:pPr>
      <w:r>
        <w:rPr>
          <w:rFonts w:cs="Times New Roman"/>
        </w:rPr>
        <w:t>前三季度，全市实现农林牧渔业总产值40.44亿元，同比增长2.4%。</w:t>
      </w:r>
      <w:r>
        <w:rPr>
          <w:rFonts w:cs="Times New Roman"/>
          <w:b/>
          <w:bCs/>
        </w:rPr>
        <w:t>一是经济作物生产平稳。</w:t>
      </w:r>
      <w:r>
        <w:rPr>
          <w:rFonts w:cs="Times New Roman"/>
        </w:rPr>
        <w:t>种植业增长3.3%。其中，蔬菜产量2.85万吨、增长6.2%，食用菌产量2.39万吨、增长6.0%，瓜果产量0.05万吨、增长4.6%。</w:t>
      </w:r>
      <w:r>
        <w:rPr>
          <w:rFonts w:cs="Times New Roman"/>
          <w:b/>
          <w:bCs/>
        </w:rPr>
        <w:t>二是畜牧产能回升向好。</w:t>
      </w:r>
      <w:r>
        <w:rPr>
          <w:rFonts w:cs="Times New Roman"/>
        </w:rPr>
        <w:t>畜牧业增长1.3%。生猪存栏29.29万头、增长1.7%，出栏42.80万头、增长5.5%；猪牛羊禽肉产量5.93万吨、增</w:t>
      </w:r>
      <w:r>
        <w:rPr>
          <w:rFonts w:hint="eastAsia" w:cs="Times New Roman"/>
        </w:rPr>
        <w:t>长</w:t>
      </w:r>
      <w:r>
        <w:rPr>
          <w:rFonts w:cs="Times New Roman"/>
        </w:rPr>
        <w:t>2.1%；禽蛋产量1.64万吨、增长3.8%；牛奶产量0.16万吨、增长3.9%。</w:t>
      </w:r>
      <w:r>
        <w:rPr>
          <w:rFonts w:cs="Times New Roman"/>
          <w:b/>
          <w:bCs/>
        </w:rPr>
        <w:t>三是海洋渔业加快发展。</w:t>
      </w:r>
      <w:r>
        <w:rPr>
          <w:rFonts w:cs="Times New Roman"/>
        </w:rPr>
        <w:t>渔业增长12.0%。水产品产量3.63万吨、增长5.2%，其中海水产品产量3.32万吨、增长5.1%。</w:t>
      </w:r>
    </w:p>
    <w:p>
      <w:pPr>
        <w:pStyle w:val="10"/>
        <w:spacing w:after="0"/>
        <w:ind w:left="0" w:leftChars="0" w:firstLine="640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</w:rPr>
        <w:t>二</w:t>
      </w:r>
      <w:r>
        <w:rPr>
          <w:rFonts w:hint="eastAsia" w:ascii="黑体" w:hAnsi="黑体" w:eastAsia="黑体" w:cs="黑体"/>
        </w:rPr>
        <w:t>、</w:t>
      </w:r>
      <w:r>
        <w:rPr>
          <w:rFonts w:ascii="黑体" w:hAnsi="黑体" w:eastAsia="黑体" w:cs="黑体"/>
        </w:rPr>
        <w:t>工业基础夯实</w:t>
      </w:r>
      <w:r>
        <w:rPr>
          <w:rFonts w:hint="eastAsia" w:ascii="黑体" w:hAnsi="黑体" w:eastAsia="黑体" w:cs="黑体"/>
        </w:rPr>
        <w:t>加固</w:t>
      </w:r>
      <w:r>
        <w:rPr>
          <w:rFonts w:ascii="黑体" w:hAnsi="黑体" w:eastAsia="黑体" w:cs="黑体"/>
        </w:rPr>
        <w:t>，发展质效不断提升</w:t>
      </w:r>
    </w:p>
    <w:p>
      <w:pPr>
        <w:pStyle w:val="10"/>
        <w:tabs>
          <w:tab w:val="left" w:pos="6400"/>
        </w:tabs>
        <w:spacing w:after="0"/>
        <w:ind w:left="0" w:leftChars="0" w:firstLine="640"/>
        <w:rPr>
          <w:rFonts w:eastAsia="楷体_GB2312" w:cs="Times New Roman"/>
          <w:b/>
          <w:bCs/>
          <w:szCs w:val="28"/>
        </w:rPr>
      </w:pPr>
      <w:r>
        <w:rPr>
          <w:rFonts w:cs="Times New Roman"/>
        </w:rPr>
        <w:t>前三季度，全市规模以上工业增加值增长7.6%。</w:t>
      </w:r>
      <w:r>
        <w:rPr>
          <w:rFonts w:cs="Times New Roman"/>
          <w:b/>
          <w:bCs/>
        </w:rPr>
        <w:t>一是行业增长面有所扩大。</w:t>
      </w:r>
      <w:r>
        <w:rPr>
          <w:rFonts w:cs="Times New Roman"/>
        </w:rPr>
        <w:t>列统的32个工业行业大类中有24个保持增长、增长面为75.0%，增幅为两位数的有18个、比上年同期增加2个。</w:t>
      </w:r>
      <w:r>
        <w:rPr>
          <w:rFonts w:cs="Times New Roman"/>
          <w:b/>
          <w:bCs/>
        </w:rPr>
        <w:t>二是亿元企业支撑有力。</w:t>
      </w:r>
      <w:r>
        <w:rPr>
          <w:rFonts w:cs="Times New Roman"/>
        </w:rPr>
        <w:t>累计产值超亿元工业企业440家，比上年同期增加31家；亿元工业企业实现增长13.7%</w:t>
      </w:r>
      <w:r>
        <w:rPr>
          <w:rFonts w:hint="eastAsia" w:cs="Times New Roman"/>
        </w:rPr>
        <w:t>，</w:t>
      </w:r>
      <w:r>
        <w:rPr>
          <w:rFonts w:cs="Times New Roman"/>
        </w:rPr>
        <w:t>拉动增长10.8个百分点。</w:t>
      </w:r>
      <w:r>
        <w:rPr>
          <w:rFonts w:hint="eastAsia" w:cs="Times New Roman"/>
          <w:b/>
          <w:bCs/>
        </w:rPr>
        <w:t>三</w:t>
      </w:r>
      <w:r>
        <w:rPr>
          <w:rFonts w:cs="Times New Roman"/>
          <w:b/>
          <w:bCs/>
        </w:rPr>
        <w:t>是新增企业贡献提高。</w:t>
      </w:r>
      <w:r>
        <w:rPr>
          <w:rFonts w:cs="Times New Roman"/>
        </w:rPr>
        <w:t>2024年新增的134家企业实现增长20.4%，拉动增长0.3个百分点。</w:t>
      </w:r>
    </w:p>
    <w:p>
      <w:pPr>
        <w:pStyle w:val="10"/>
        <w:spacing w:after="0"/>
        <w:ind w:left="640" w:firstLine="0" w:firstLineChars="0"/>
        <w:rPr>
          <w:rFonts w:eastAsia="楷体_GB2312" w:cs="Times New Roman"/>
          <w:b/>
          <w:bCs/>
        </w:rPr>
      </w:pPr>
      <w:r>
        <w:rPr>
          <w:rFonts w:eastAsia="楷体_GB2312" w:cs="Times New Roman"/>
          <w:b/>
          <w:bCs/>
        </w:rPr>
        <w:t>三</w:t>
      </w:r>
      <w:r>
        <w:rPr>
          <w:rFonts w:hint="eastAsia" w:eastAsia="楷体_GB2312" w:cs="Times New Roman"/>
          <w:b/>
          <w:bCs/>
        </w:rPr>
        <w:t>、</w:t>
      </w:r>
      <w:r>
        <w:rPr>
          <w:rFonts w:eastAsia="楷体_GB2312" w:cs="Times New Roman"/>
          <w:b/>
          <w:bCs/>
        </w:rPr>
        <w:t>服务业增长</w:t>
      </w:r>
      <w:r>
        <w:rPr>
          <w:rFonts w:hint="eastAsia" w:eastAsia="楷体_GB2312" w:cs="Times New Roman"/>
          <w:b/>
          <w:bCs/>
        </w:rPr>
        <w:t>加</w:t>
      </w:r>
      <w:r>
        <w:rPr>
          <w:rFonts w:eastAsia="楷体_GB2312" w:cs="Times New Roman"/>
          <w:b/>
          <w:bCs/>
        </w:rPr>
        <w:t>快，现代服务业蓬勃发展</w:t>
      </w:r>
    </w:p>
    <w:p>
      <w:pPr>
        <w:pStyle w:val="9"/>
        <w:shd w:val="clear" w:color="auto" w:fill="FFFFFF"/>
        <w:spacing w:beforeAutospacing="0" w:afterAutospacing="0"/>
        <w:ind w:firstLine="640" w:firstLineChars="200"/>
        <w:rPr>
          <w:rFonts w:eastAsia="楷体_GB2312"/>
          <w:b/>
          <w:bCs/>
        </w:rPr>
      </w:pPr>
      <w:r>
        <w:rPr>
          <w:kern w:val="2"/>
        </w:rPr>
        <w:t>前三季度，全市第三产业增加值585.24亿元，同比增长5.3%，比上半年加快0.4个百分点。</w:t>
      </w:r>
      <w:r>
        <w:rPr>
          <w:b/>
          <w:bCs/>
          <w:kern w:val="2"/>
        </w:rPr>
        <w:t>一是其他营利性服务业</w:t>
      </w:r>
      <w:r>
        <w:rPr>
          <w:rFonts w:hint="eastAsia"/>
          <w:b/>
          <w:bCs/>
          <w:kern w:val="2"/>
        </w:rPr>
        <w:t>快速</w:t>
      </w:r>
      <w:r>
        <w:rPr>
          <w:b/>
          <w:bCs/>
          <w:kern w:val="2"/>
        </w:rPr>
        <w:t>增长。</w:t>
      </w:r>
      <w:r>
        <w:rPr>
          <w:kern w:val="2"/>
        </w:rPr>
        <w:t>1-8月，全市规模以上其他营利性服务业实现营业收入9.78亿元，增长28.9%，比1-5月加快0.</w:t>
      </w:r>
      <w:r>
        <w:rPr>
          <w:rFonts w:hint="eastAsia"/>
          <w:kern w:val="2"/>
        </w:rPr>
        <w:t>8</w:t>
      </w:r>
      <w:r>
        <w:rPr>
          <w:kern w:val="2"/>
        </w:rPr>
        <w:t>个百分点。</w:t>
      </w:r>
      <w:r>
        <w:rPr>
          <w:b/>
          <w:bCs/>
          <w:kern w:val="2"/>
        </w:rPr>
        <w:t>二是重点行业引领增长。</w:t>
      </w:r>
      <w:r>
        <w:rPr>
          <w:kern w:val="2"/>
        </w:rPr>
        <w:t>租赁和商务服务业贡献最大，增长28.3%；信息传输软件和信息技术服务业增长79.5%</w:t>
      </w:r>
      <w:r>
        <w:rPr>
          <w:rFonts w:hint="eastAsia"/>
          <w:kern w:val="2"/>
        </w:rPr>
        <w:t>；</w:t>
      </w:r>
      <w:r>
        <w:rPr>
          <w:kern w:val="2"/>
        </w:rPr>
        <w:t>居民服务修理和其他服务业增长48.7%。</w:t>
      </w:r>
      <w:r>
        <w:rPr>
          <w:b/>
          <w:bCs/>
          <w:kern w:val="2"/>
        </w:rPr>
        <w:t>三是文旅市场热潮涌动。</w:t>
      </w:r>
      <w:r>
        <w:rPr>
          <w:kern w:val="2"/>
        </w:rPr>
        <w:t>前三季度，全市共接待国内旅游人数717.43万人次、增长11.6%，实现旅游总收入93.56亿元、增长10.5%；带动限上住宿业、餐饮业实现营业额5.03亿元、7.14亿元，分别增长18.0%、29.6%。</w:t>
      </w:r>
    </w:p>
    <w:p>
      <w:pPr>
        <w:pStyle w:val="9"/>
        <w:shd w:val="clear" w:color="auto" w:fill="FFFFFF"/>
        <w:tabs>
          <w:tab w:val="left" w:pos="6080"/>
        </w:tabs>
        <w:spacing w:beforeAutospacing="0" w:afterAutospacing="0"/>
        <w:ind w:firstLine="643" w:firstLineChars="200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四</w:t>
      </w:r>
      <w:r>
        <w:rPr>
          <w:rFonts w:hint="eastAsia" w:eastAsia="楷体_GB2312"/>
          <w:b/>
          <w:bCs/>
        </w:rPr>
        <w:t>、</w:t>
      </w:r>
      <w:r>
        <w:rPr>
          <w:rFonts w:eastAsia="楷体_GB2312"/>
          <w:b/>
          <w:bCs/>
        </w:rPr>
        <w:t>市场销售保持活跃，品质消费加速释放</w:t>
      </w:r>
    </w:p>
    <w:p>
      <w:pPr>
        <w:pStyle w:val="10"/>
        <w:spacing w:after="0"/>
        <w:ind w:left="0" w:leftChars="0" w:firstLine="640"/>
        <w:rPr>
          <w:rFonts w:eastAsia="楷体_GB2312" w:cs="Times New Roman"/>
          <w:b/>
          <w:bCs/>
        </w:rPr>
      </w:pPr>
      <w:r>
        <w:rPr>
          <w:rFonts w:cs="Times New Roman"/>
        </w:rPr>
        <w:t>前三季度，全市社会消费品零售总额668.15亿元，同比增长5.7%；其中，限上零售额130.52亿元，增长12.0%。</w:t>
      </w:r>
      <w:r>
        <w:rPr>
          <w:rFonts w:cs="Times New Roman"/>
          <w:b/>
          <w:bCs/>
        </w:rPr>
        <w:t>一是焕新消费高位增长。</w:t>
      </w:r>
      <w:r>
        <w:rPr>
          <w:rFonts w:cs="Times New Roman"/>
        </w:rPr>
        <w:t>限上家具类、通讯器材类商品零售额分别增长294.4%、88.7%，分别比上半年加快18.1、11.2个百分点。</w:t>
      </w:r>
      <w:r>
        <w:rPr>
          <w:rFonts w:cs="Times New Roman"/>
          <w:b/>
          <w:bCs/>
        </w:rPr>
        <w:t>二是网络消费规模扩大。</w:t>
      </w:r>
      <w:r>
        <w:rPr>
          <w:rFonts w:cs="Times New Roman"/>
        </w:rPr>
        <w:t>限上通过公共网络实现的商品零售额48.77亿元，增长25.1%，占比37.4%、比上年同期提高3.9个百分点，拉动增长8.4个百分点。</w:t>
      </w:r>
      <w:r>
        <w:rPr>
          <w:rFonts w:cs="Times New Roman"/>
          <w:b/>
          <w:bCs/>
        </w:rPr>
        <w:t>三是升级类和建材类消费表现良好。</w:t>
      </w:r>
      <w:r>
        <w:rPr>
          <w:rFonts w:cs="Times New Roman"/>
        </w:rPr>
        <w:t>限上金银珠宝类、文化办公用品类、化妆品类商品零售额分别增长22.9%、36.3%、6.8%；五金电料类、建筑及装潢类分别增长27.8%、27.3%。</w:t>
      </w:r>
    </w:p>
    <w:p>
      <w:pPr>
        <w:ind w:firstLine="643" w:firstLineChars="200"/>
        <w:rPr>
          <w:rFonts w:ascii="Times New Roman" w:hAnsi="Times New Roman" w:eastAsia="楷体_GB2312"/>
          <w:b/>
          <w:bCs/>
          <w:szCs w:val="32"/>
        </w:rPr>
      </w:pPr>
      <w:r>
        <w:rPr>
          <w:rFonts w:ascii="Times New Roman" w:hAnsi="Times New Roman" w:eastAsia="楷体_GB2312"/>
          <w:b/>
          <w:bCs/>
          <w:szCs w:val="32"/>
        </w:rPr>
        <w:t>五</w:t>
      </w:r>
      <w:r>
        <w:rPr>
          <w:rFonts w:hint="eastAsia" w:ascii="Times New Roman" w:hAnsi="Times New Roman" w:eastAsia="楷体_GB2312"/>
          <w:b/>
          <w:bCs/>
          <w:szCs w:val="32"/>
        </w:rPr>
        <w:t>、</w:t>
      </w:r>
      <w:r>
        <w:rPr>
          <w:rFonts w:ascii="Times New Roman" w:hAnsi="Times New Roman" w:eastAsia="楷体_GB2312"/>
          <w:b/>
          <w:bCs/>
          <w:szCs w:val="32"/>
        </w:rPr>
        <w:t>项目建设稳步推进，民间投资彰显韧性</w:t>
      </w:r>
    </w:p>
    <w:p>
      <w:pPr>
        <w:pStyle w:val="10"/>
        <w:spacing w:after="0"/>
        <w:ind w:left="0" w:leftChars="0" w:firstLine="640"/>
        <w:rPr>
          <w:rFonts w:cs="Times New Roman"/>
        </w:rPr>
      </w:pPr>
      <w:r>
        <w:rPr>
          <w:rFonts w:cs="Times New Roman"/>
        </w:rPr>
        <w:t>前三季度，全市固定资产投资增长7.8%；其中，项目投资增长12.4%，基础设施投资增长10.6%。</w:t>
      </w:r>
      <w:r>
        <w:rPr>
          <w:rFonts w:cs="Times New Roman"/>
          <w:b/>
          <w:bCs/>
        </w:rPr>
        <w:t>一是工业投资发挥主引擎作用。</w:t>
      </w:r>
      <w:r>
        <w:rPr>
          <w:rFonts w:cs="Times New Roman"/>
        </w:rPr>
        <w:t>工业投资增长32.1%，占全市投资比重49.5%，拉动投资增长12.9个百分点；其中，制造业投资增长26.9%，分行业看，金属制造业、专用设备制造业、汽车制造业分别增长64.0%、39.7%、36.8%。</w:t>
      </w:r>
      <w:r>
        <w:rPr>
          <w:rFonts w:cs="Times New Roman"/>
          <w:b/>
          <w:bCs/>
        </w:rPr>
        <w:t>二是“两新”效应持续</w:t>
      </w:r>
      <w:r>
        <w:rPr>
          <w:rFonts w:hint="eastAsia" w:cs="Times New Roman"/>
          <w:b/>
          <w:bCs/>
        </w:rPr>
        <w:t>显现</w:t>
      </w:r>
      <w:r>
        <w:rPr>
          <w:rFonts w:cs="Times New Roman"/>
          <w:b/>
          <w:bCs/>
        </w:rPr>
        <w:t>。</w:t>
      </w:r>
      <w:r>
        <w:rPr>
          <w:rFonts w:cs="Times New Roman"/>
        </w:rPr>
        <w:t>设备工器具购置投资增长44.7%，高于全市投资增速36.9个百分点，占比14.0%、比上半年提高0.1个百分点，拉动增长4.7个百分点。</w:t>
      </w:r>
      <w:r>
        <w:rPr>
          <w:rFonts w:cs="Times New Roman"/>
          <w:b/>
          <w:bCs/>
        </w:rPr>
        <w:t>三是民间投资信心不减。</w:t>
      </w:r>
      <w:r>
        <w:rPr>
          <w:rFonts w:cs="Times New Roman"/>
        </w:rPr>
        <w:t>民间投资增长17.2%，占比由上年同期的63.1%提高到68.8%，拉动增长10.9个百分点。</w:t>
      </w:r>
    </w:p>
    <w:p>
      <w:pPr>
        <w:ind w:firstLine="643" w:firstLineChars="200"/>
        <w:rPr>
          <w:rFonts w:ascii="Times New Roman" w:hAnsi="Times New Roman" w:eastAsia="楷体_GB2312"/>
          <w:b/>
          <w:bCs/>
          <w:szCs w:val="32"/>
        </w:rPr>
      </w:pPr>
      <w:r>
        <w:rPr>
          <w:rFonts w:ascii="Times New Roman" w:hAnsi="Times New Roman" w:eastAsia="楷体_GB2312"/>
          <w:b/>
          <w:bCs/>
          <w:szCs w:val="32"/>
        </w:rPr>
        <w:t>六</w:t>
      </w:r>
      <w:r>
        <w:rPr>
          <w:rFonts w:hint="eastAsia" w:ascii="Times New Roman" w:hAnsi="Times New Roman" w:eastAsia="楷体_GB2312"/>
          <w:b/>
          <w:bCs/>
          <w:szCs w:val="32"/>
        </w:rPr>
        <w:t>、</w:t>
      </w:r>
      <w:r>
        <w:rPr>
          <w:rFonts w:ascii="Times New Roman" w:hAnsi="Times New Roman" w:eastAsia="楷体_GB2312"/>
          <w:b/>
          <w:bCs/>
          <w:szCs w:val="32"/>
        </w:rPr>
        <w:t>关联指标协同发展，收支结构持续优化</w:t>
      </w:r>
    </w:p>
    <w:p>
      <w:pPr>
        <w:pStyle w:val="9"/>
        <w:shd w:val="clear" w:color="auto" w:fill="FFFFFF"/>
        <w:spacing w:beforeAutospacing="0" w:afterAutospacing="0"/>
        <w:ind w:firstLine="643" w:firstLineChars="200"/>
        <w:rPr>
          <w:rFonts w:eastAsia="黑体"/>
        </w:rPr>
      </w:pPr>
      <w:r>
        <w:rPr>
          <w:b/>
          <w:bCs/>
        </w:rPr>
        <w:t>一是电力消费平稳增长。</w:t>
      </w:r>
      <w:r>
        <w:t>前三季度，全社会用电量81.99亿千瓦时，同比增长4.6%。其中，工业用电量51.42亿千瓦时，增长4.1%，比上半年加快0.4个百分点。</w:t>
      </w:r>
      <w:r>
        <w:rPr>
          <w:b/>
          <w:bCs/>
        </w:rPr>
        <w:t>二是金融存贷持续扩大。</w:t>
      </w:r>
      <w:r>
        <w:t>9月末，金融机构本外币各项存款余额1847.34亿元、增长8.1%</w:t>
      </w:r>
      <w:r>
        <w:rPr>
          <w:rFonts w:hint="eastAsia"/>
        </w:rPr>
        <w:t>，</w:t>
      </w:r>
      <w:r>
        <w:t>其中住户存款增长10.0%。各项贷款余额1525.64亿元、增长4.8%</w:t>
      </w:r>
      <w:r>
        <w:rPr>
          <w:rFonts w:hint="eastAsia"/>
        </w:rPr>
        <w:t>，</w:t>
      </w:r>
      <w:r>
        <w:t>其中企（事）业单位贷款增长10.5%。</w:t>
      </w:r>
      <w:r>
        <w:rPr>
          <w:b/>
          <w:bCs/>
        </w:rPr>
        <w:t>三是富民增收稳步推进。</w:t>
      </w:r>
      <w:r>
        <w:t>全市居民人均可支配收入41579元，增长5.3%；其中，农村居民收入27634元、增长5.9%，城镇居民收入51784元、增长4.8%。</w:t>
      </w:r>
      <w:r>
        <w:rPr>
          <w:b/>
          <w:bCs/>
        </w:rPr>
        <w:t>四是消费倾向小幅提升。</w:t>
      </w:r>
      <w:r>
        <w:t>全市人均生活消费支出26701元，增长5.6%；城镇、农村居民人均生活消费支出分别增长5.0%、6.4%，居民平均消费倾向为64.2%，比上年同期提升0.1个百分点。</w:t>
      </w:r>
    </w:p>
    <w:p>
      <w:pPr>
        <w:spacing w:line="240" w:lineRule="auto"/>
        <w:jc w:val="right"/>
        <w:rPr>
          <w:rFonts w:ascii="Times New Roman" w:hAnsi="Times New Roma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（南安市统计局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 xml:space="preserve"> 陈锦标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901700" cy="892175"/>
            <wp:effectExtent l="0" t="0" r="0" b="9525"/>
            <wp:docPr id="4" name="图片 1" descr="qrcode_for_gh_1eebab0522f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qrcode_for_gh_1eebab0522fd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扫码关注南安市统计局</w:t>
      </w:r>
    </w:p>
    <w:p/>
    <w:sectPr>
      <w:footerReference r:id="rId5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zBlOGYxMzFlNGVhZDM3MjA5YThlZmJiNjFkOGYifQ=="/>
  </w:docVars>
  <w:rsids>
    <w:rsidRoot w:val="652A2E82"/>
    <w:rsid w:val="001F20F0"/>
    <w:rsid w:val="00831787"/>
    <w:rsid w:val="00F41098"/>
    <w:rsid w:val="05310B2D"/>
    <w:rsid w:val="075E683A"/>
    <w:rsid w:val="079F5058"/>
    <w:rsid w:val="11F44943"/>
    <w:rsid w:val="13941345"/>
    <w:rsid w:val="14711E99"/>
    <w:rsid w:val="20ED3F39"/>
    <w:rsid w:val="22396826"/>
    <w:rsid w:val="23846031"/>
    <w:rsid w:val="25783C5D"/>
    <w:rsid w:val="29096E04"/>
    <w:rsid w:val="3410720A"/>
    <w:rsid w:val="354A633B"/>
    <w:rsid w:val="37F976E5"/>
    <w:rsid w:val="397A78C3"/>
    <w:rsid w:val="3B1A49F8"/>
    <w:rsid w:val="3C313816"/>
    <w:rsid w:val="3D067168"/>
    <w:rsid w:val="438042ED"/>
    <w:rsid w:val="44206CAB"/>
    <w:rsid w:val="467609A5"/>
    <w:rsid w:val="48E75B52"/>
    <w:rsid w:val="495302A4"/>
    <w:rsid w:val="4C401A2C"/>
    <w:rsid w:val="4CAD3A03"/>
    <w:rsid w:val="4DCE46FF"/>
    <w:rsid w:val="542E4FEE"/>
    <w:rsid w:val="5C007DB1"/>
    <w:rsid w:val="6138505D"/>
    <w:rsid w:val="619C6C75"/>
    <w:rsid w:val="652A2E82"/>
    <w:rsid w:val="6A430159"/>
    <w:rsid w:val="6A720664"/>
    <w:rsid w:val="6C7C2942"/>
    <w:rsid w:val="78F92983"/>
    <w:rsid w:val="7FB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theme="minorBidi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rFonts w:eastAsia="楷体"/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uiPriority w:val="0"/>
    <w:pPr>
      <w:widowControl/>
      <w:spacing w:beforeAutospacing="1" w:afterAutospacing="1"/>
    </w:pPr>
    <w:rPr>
      <w:rFonts w:ascii="Times New Roman" w:hAnsi="Times New Roman"/>
      <w:kern w:val="0"/>
      <w:szCs w:val="32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cstheme="minorBidi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314</Words>
  <Characters>1794</Characters>
  <Lines>14</Lines>
  <Paragraphs>4</Paragraphs>
  <TotalTime>0</TotalTime>
  <ScaleCrop>false</ScaleCrop>
  <LinksUpToDate>false</LinksUpToDate>
  <CharactersWithSpaces>2104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2025-10-29T00:49:00Z</dcterms:created>
  <dc:creator>涛哥菲妹</dc:creator>
  <cp:lastModifiedBy>南安市统计局</cp:lastModifiedBy>
  <dcterms:modified xsi:type="dcterms:W3CDTF">2025-11-04T02:38:12Z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18001F3D1102427DA9B6E44E3755BA85_11</vt:lpwstr>
  </property>
  <property fmtid="{D5CDD505-2E9C-101B-9397-08002B2CF9AE}" pid="4" name="KSOTemplateDocerSaveRecord">
    <vt:lpwstr>eyJoZGlkIjoiNTkyYjFhNDI4M2VmOTM2OTE2Y2EwOTkzZDhjM2I5ZDMiLCJ1c2VySWQiOiIzMzcyMjE3NTkifQ==</vt:lpwstr>
  </property>
</Properties>
</file>