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7875"/>
        </w:tabs>
        <w:kinsoku/>
        <w:wordWrap/>
        <w:overflowPunct/>
        <w:topLinePunct w:val="0"/>
        <w:autoSpaceDE/>
        <w:autoSpaceDN/>
        <w:bidi w:val="0"/>
        <w:adjustRightInd/>
        <w:snapToGrid/>
        <w:spacing w:line="560" w:lineRule="exact"/>
        <w:ind w:right="0" w:rightChars="0" w:firstLine="22"/>
        <w:jc w:val="both"/>
        <w:textAlignment w:val="baseline"/>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
          <w:bCs/>
          <w:color w:val="000000"/>
          <w:kern w:val="0"/>
          <w:sz w:val="32"/>
          <w:szCs w:val="32"/>
        </w:rPr>
        <w:t>*南简报N024号</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baseline"/>
        <w:rPr>
          <w:rFonts w:hint="default" w:ascii="Times New Roman" w:hAnsi="Times New Roman" w:cs="Times New Roman"/>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2"/>
        <w:jc w:val="center"/>
        <w:textAlignment w:val="baseline"/>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pict>
          <v:shape id="_x0000_s1028" o:spid="_x0000_s1028" o:spt="136" type="#_x0000_t136" style="position:absolute;left:0pt;margin-left:95.95pt;margin-top:140.65pt;height:72.7pt;width:424.6pt;mso-position-horizontal-relative:page;mso-position-vertical-relative:page;z-index:251661312;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baseline"/>
        <w:rPr>
          <w:rFonts w:hint="default" w:ascii="Times New Roman" w:hAnsi="Times New Roman" w:cs="Times New Roman"/>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2"/>
        <w:jc w:val="center"/>
        <w:textAlignment w:val="baseline"/>
        <w:rPr>
          <w:rFonts w:hint="default" w:ascii="Times New Roman" w:hAnsi="Times New Roman" w:cs="Times New Roman"/>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2"/>
        <w:jc w:val="center"/>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rPr>
        <w:t>期</w:t>
      </w:r>
    </w:p>
    <w:p>
      <w:pPr>
        <w:keepNext w:val="0"/>
        <w:keepLines w:val="0"/>
        <w:pageBreakBefore w:val="0"/>
        <w:widowControl/>
        <w:kinsoku/>
        <w:wordWrap/>
        <w:overflowPunct/>
        <w:topLinePunct w:val="0"/>
        <w:autoSpaceDE/>
        <w:autoSpaceDN/>
        <w:bidi w:val="0"/>
        <w:adjustRightInd/>
        <w:snapToGrid/>
        <w:spacing w:line="560" w:lineRule="exact"/>
        <w:ind w:right="0" w:rightChars="0" w:firstLine="22"/>
        <w:jc w:val="center"/>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000000"/>
          <w:kern w:val="0"/>
          <w:sz w:val="32"/>
          <w:szCs w:val="32"/>
        </w:rPr>
        <w:t xml:space="preserve">南安市统计局  编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202</w:t>
      </w:r>
      <w:r>
        <w:rPr>
          <w:rFonts w:hint="default"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r>
        <w:rPr>
          <w:rFonts w:hint="eastAsia" w:ascii="Times New Roman" w:hAnsi="Times New Roman"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月</w:t>
      </w:r>
      <w:r>
        <w:rPr>
          <w:rFonts w:hint="eastAsia" w:ascii="Times New Roman" w:hAnsi="Times New Roman" w:cs="Times New Roman"/>
          <w:color w:val="auto"/>
          <w:kern w:val="0"/>
          <w:sz w:val="32"/>
          <w:szCs w:val="32"/>
          <w:lang w:val="en-US" w:eastAsia="zh-CN"/>
        </w:rPr>
        <w:t>13</w:t>
      </w:r>
      <w:r>
        <w:rPr>
          <w:rFonts w:hint="default" w:ascii="Times New Roman" w:hAnsi="Times New Roman" w:eastAsia="仿宋_GB2312" w:cs="Times New Roman"/>
          <w:color w:val="auto"/>
          <w:kern w:val="0"/>
          <w:sz w:val="32"/>
          <w:szCs w:val="32"/>
        </w:rPr>
        <w:t>日</w:t>
      </w:r>
    </w:p>
    <w:p>
      <w:pPr>
        <w:keepNext w:val="0"/>
        <w:keepLines w:val="0"/>
        <w:pageBreakBefore w:val="0"/>
        <w:kinsoku/>
        <w:wordWrap/>
        <w:overflowPunct/>
        <w:topLinePunct w:val="0"/>
        <w:autoSpaceDE/>
        <w:autoSpaceDN/>
        <w:bidi w:val="0"/>
        <w:adjustRightInd/>
        <w:snapToGrid/>
        <w:spacing w:line="560" w:lineRule="exact"/>
        <w:ind w:right="0" w:rightChars="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微软雅黑"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103505</wp:posOffset>
                </wp:positionV>
                <wp:extent cx="6125845" cy="76200"/>
                <wp:effectExtent l="7620" t="7620" r="13335" b="17780"/>
                <wp:wrapNone/>
                <wp:docPr id="13" name="流程图: 过程 1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_x0000_s1026" o:spid="_x0000_s1026" o:spt="109" type="#_x0000_t109" style="position:absolute;left:0pt;flip:y;margin-left:-15.3pt;margin-top:8.15pt;height:6pt;width:482.35pt;z-index:251662336;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v+HvtkA&#10;AAAJAQAADwAAAAAAAAABACAAAAAiAAAAZHJzL2Rvd25yZXYueG1sUEsBAhQAFAAAAAgAh07iQIDE&#10;rrQeAgAATwQAAA4AAAAAAAAAAQAgAAAAKAEAAGRycy9lMm9Eb2MueG1sUEsFBgAAAAAGAAYAWQEA&#10;ALgFA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华文仿宋" w:cs="华文仿宋"/>
          <w:b w:val="0"/>
          <w:bCs w:val="0"/>
          <w:sz w:val="32"/>
          <w:szCs w:val="32"/>
          <w:lang w:val="en-US" w:eastAsia="zh-CN"/>
        </w:rPr>
      </w:pPr>
      <w:r>
        <w:rPr>
          <w:rFonts w:hint="eastAsia" w:ascii="方正小标宋简体" w:hAnsi="方正小标宋简体" w:eastAsia="方正小标宋简体" w:cs="方正小标宋简体"/>
          <w:b w:val="0"/>
          <w:bCs/>
          <w:i w:val="0"/>
          <w:caps w:val="0"/>
          <w:color w:val="333333"/>
          <w:spacing w:val="0"/>
          <w:kern w:val="44"/>
          <w:sz w:val="44"/>
          <w:szCs w:val="44"/>
          <w:shd w:val="clear" w:color="auto" w:fill="FFFFFF"/>
          <w:lang w:val="en-US" w:eastAsia="zh-CN" w:bidi="ar"/>
        </w:rPr>
        <w:t>2025年上半年南安市消费品市场运行分析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今年以来，南安市积极响应国家扩大内需促消费的政策导向，围绕“</w:t>
      </w:r>
      <w:r>
        <w:rPr>
          <w:rFonts w:hint="default" w:ascii="Times New Roman" w:hAnsi="Times New Roman" w:eastAsia="仿宋_GB2312" w:cs="Times New Roman"/>
          <w:b w:val="0"/>
          <w:bCs w:val="0"/>
          <w:sz w:val="32"/>
          <w:szCs w:val="32"/>
        </w:rPr>
        <w:t>福见南安·享成</w:t>
      </w:r>
      <w:r>
        <w:rPr>
          <w:rFonts w:hint="default" w:ascii="Times New Roman" w:hAnsi="Times New Roman" w:eastAsia="仿宋_GB2312" w:cs="Times New Roman"/>
          <w:b w:val="0"/>
          <w:bCs w:val="0"/>
          <w:sz w:val="32"/>
          <w:szCs w:val="32"/>
          <w:lang w:val="en-US" w:eastAsia="zh-CN"/>
        </w:rPr>
        <w:t>功”主题，构建“政策+活动+场景”立体化促消费格局，聚焦</w:t>
      </w:r>
      <w:r>
        <w:rPr>
          <w:rStyle w:val="10"/>
          <w:rFonts w:hint="default" w:ascii="Times New Roman" w:hAnsi="Times New Roman" w:eastAsia="仿宋_GB2312" w:cs="Times New Roman"/>
          <w:b w:val="0"/>
          <w:bCs/>
          <w:color w:val="auto"/>
          <w:sz w:val="32"/>
          <w:szCs w:val="32"/>
          <w:lang w:val="en-US" w:eastAsia="zh-CN"/>
        </w:rPr>
        <w:t>消费提质扩容，在汽车、家电、家装等重点领域精准发力，</w:t>
      </w:r>
      <w:r>
        <w:rPr>
          <w:rStyle w:val="10"/>
          <w:rFonts w:hint="default" w:ascii="Times New Roman" w:hAnsi="Times New Roman" w:eastAsia="仿宋_GB2312" w:cs="Times New Roman"/>
          <w:b w:val="0"/>
          <w:bCs/>
          <w:color w:val="auto"/>
          <w:sz w:val="32"/>
          <w:szCs w:val="32"/>
        </w:rPr>
        <w:t>举办第</w:t>
      </w:r>
      <w:r>
        <w:rPr>
          <w:rStyle w:val="10"/>
          <w:rFonts w:hint="default" w:ascii="Times New Roman" w:hAnsi="Times New Roman" w:eastAsia="仿宋_GB2312" w:cs="Times New Roman"/>
          <w:b w:val="0"/>
          <w:bCs/>
          <w:color w:val="auto"/>
          <w:sz w:val="32"/>
          <w:szCs w:val="32"/>
          <w:lang w:eastAsia="zh-CN"/>
        </w:rPr>
        <w:t>四</w:t>
      </w:r>
      <w:r>
        <w:rPr>
          <w:rStyle w:val="10"/>
          <w:rFonts w:hint="default" w:ascii="Times New Roman" w:hAnsi="Times New Roman" w:eastAsia="仿宋_GB2312" w:cs="Times New Roman"/>
          <w:b w:val="0"/>
          <w:bCs/>
          <w:color w:val="auto"/>
          <w:sz w:val="32"/>
          <w:szCs w:val="32"/>
        </w:rPr>
        <w:t>届南安市“五月花”直播乐购节暨家居焕新消费季系列活动</w:t>
      </w:r>
      <w:r>
        <w:rPr>
          <w:rStyle w:val="10"/>
          <w:rFonts w:hint="default" w:ascii="Times New Roman" w:hAnsi="Times New Roman" w:eastAsia="仿宋_GB2312" w:cs="Times New Roman"/>
          <w:b w:val="0"/>
          <w:bCs/>
          <w:color w:val="auto"/>
          <w:sz w:val="32"/>
          <w:szCs w:val="32"/>
          <w:lang w:eastAsia="zh-CN"/>
        </w:rPr>
        <w:t>，</w:t>
      </w:r>
      <w:r>
        <w:rPr>
          <w:rStyle w:val="10"/>
          <w:rFonts w:hint="default" w:ascii="Times New Roman" w:hAnsi="Times New Roman" w:eastAsia="仿宋_GB2312" w:cs="Times New Roman"/>
          <w:b w:val="0"/>
          <w:bCs/>
          <w:color w:val="auto"/>
          <w:sz w:val="32"/>
          <w:szCs w:val="32"/>
          <w:lang w:val="en-US" w:eastAsia="zh-CN"/>
        </w:rPr>
        <w:t>充分</w:t>
      </w:r>
      <w:r>
        <w:rPr>
          <w:rStyle w:val="10"/>
          <w:rFonts w:hint="default" w:ascii="Times New Roman" w:hAnsi="Times New Roman" w:eastAsia="仿宋_GB2312" w:cs="Times New Roman"/>
          <w:b w:val="0"/>
          <w:bCs/>
          <w:color w:val="auto"/>
          <w:sz w:val="32"/>
          <w:szCs w:val="32"/>
        </w:rPr>
        <w:t>营造消费氛围、</w:t>
      </w:r>
      <w:r>
        <w:rPr>
          <w:rStyle w:val="10"/>
          <w:rFonts w:hint="default" w:ascii="Times New Roman" w:hAnsi="Times New Roman" w:eastAsia="仿宋_GB2312" w:cs="Times New Roman"/>
          <w:b w:val="0"/>
          <w:bCs/>
          <w:color w:val="auto"/>
          <w:sz w:val="32"/>
          <w:szCs w:val="32"/>
          <w:lang w:val="en-US" w:eastAsia="zh-CN"/>
        </w:rPr>
        <w:t>释放消费潜力、点燃群众消费热情，绘就消费市</w:t>
      </w:r>
      <w:r>
        <w:rPr>
          <w:rFonts w:hint="default" w:ascii="Times New Roman" w:hAnsi="Times New Roman" w:eastAsia="仿宋_GB2312" w:cs="Times New Roman"/>
          <w:b w:val="0"/>
          <w:bCs w:val="0"/>
          <w:sz w:val="32"/>
          <w:szCs w:val="32"/>
          <w:lang w:val="en-US" w:eastAsia="zh-CN"/>
        </w:rPr>
        <w:t>场“总量提质、结构优化”的发展画卷。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bidi="ar-SA"/>
        </w:rPr>
        <w:t>一、消费品市场运行情况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bidi="ar-SA"/>
        </w:rPr>
      </w:pPr>
      <w:r>
        <w:rPr>
          <w:rFonts w:hint="default" w:ascii="Times New Roman" w:hAnsi="Times New Roman" w:eastAsia="楷体" w:cs="Times New Roman"/>
          <w:b/>
          <w:bCs/>
          <w:sz w:val="32"/>
          <w:szCs w:val="32"/>
          <w:lang w:val="en-US" w:eastAsia="zh-CN" w:bidi="ar-SA"/>
        </w:rPr>
        <w:t>（一）总体态势缓攀升：规模扩容与城乡协同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1.社零总额微上扬，限上速度稳步增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上半年，全市实现社会消费品零售总额440.66亿元，同比增长5.9%，较一季度加快0.2个百分点。从季度增速看，一季度社零总额增长5.7%，二季度小幅提升至6.0%，呈现“逐季微升”态势。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结构看，限额以上消费品零售额83.84亿元，增长12.1%，较一季度加快0.2个百分点；限额以下消费品零售额356.81亿元，增长4.5%，与一季度持平。其中6月限额以上零售额增长13.0%，增速分别较4月、5月加快0.3、2.0个百分点，呈现“逐月微增”态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2.城乡市场双向进，餐商零售均提速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上半年，城镇市场实现限额以上零售额72.58亿元，增长11.2%；乡村市场实现限额以上零售额11.26亿元，增长18.0%，快于城镇6.8个百分点，城乡消费协同发展，乡村消</w:t>
      </w:r>
      <w:bookmarkStart w:id="0" w:name="_GoBack"/>
      <w:bookmarkEnd w:id="0"/>
      <w:r>
        <w:rPr>
          <w:rFonts w:hint="default" w:ascii="Times New Roman" w:hAnsi="Times New Roman" w:eastAsia="仿宋_GB2312" w:cs="Times New Roman"/>
          <w:b w:val="0"/>
          <w:bCs w:val="0"/>
          <w:sz w:val="32"/>
          <w:szCs w:val="32"/>
          <w:lang w:val="en-US" w:eastAsia="zh-CN"/>
        </w:rPr>
        <w:t>费需求加快释放。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从消费形态看，限上餐饮收入实现5.46亿元，增长38.5%；限上商品零售实现78.38亿元，增长10.6%，拉动限额以上零售额增长10.1个百分点，在系列促消费政策持续发力、五一“假日经济”、“6·18大促”的有力带动下，餐饮和商品零售双双提速，商品零售仍占据主导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bidi="ar-SA"/>
        </w:rPr>
      </w:pPr>
      <w:r>
        <w:rPr>
          <w:rFonts w:hint="default" w:ascii="Times New Roman" w:hAnsi="Times New Roman" w:eastAsia="楷体" w:cs="Times New Roman"/>
          <w:b/>
          <w:bCs/>
          <w:sz w:val="32"/>
          <w:szCs w:val="32"/>
          <w:lang w:val="en-US" w:eastAsia="zh-CN" w:bidi="ar-SA"/>
        </w:rPr>
        <w:t>（二）限上品类多出彩：基础稳固与升级亮眼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b/>
          <w:bCs/>
          <w:sz w:val="32"/>
          <w:szCs w:val="32"/>
          <w:lang w:val="en-US" w:eastAsia="zh-CN"/>
        </w:rPr>
      </w:pPr>
      <w:r>
        <w:rPr>
          <w:rFonts w:hint="default" w:ascii="Times New Roman" w:hAnsi="Times New Roman" w:eastAsia="仿宋_GB2312" w:cs="Times New Roman"/>
          <w:b/>
          <w:bCs/>
          <w:sz w:val="32"/>
          <w:szCs w:val="32"/>
          <w:lang w:val="en-US" w:eastAsia="zh-CN"/>
        </w:rPr>
        <w:t>1.基础商品稳根基，吃穿住行齐增长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限上基础消费品保持稳健增长，为市场筑牢 “基本盘”。其中，限额以上粮油食品类、饮料类、烟酒类等“吃”类零售额分别增长23.3%、19.5%、16.9%；服装类、鞋帽类、针纺织品类等“穿”类零售额分别增长4.2%、23.2%、15.0%；五金电料类、建筑及装潢材料类等“住”类零售额分别增长30.9%、28.8%；石油及制品“行”类零售额增长19.1%。“吃穿住行”四大类齐增长，合计拉动限上零售额增长9.7个百分点，体现居民基本消费需求的刚性</w:t>
      </w:r>
      <w:r>
        <w:rPr>
          <w:rFonts w:hint="eastAsia" w:ascii="仿宋_GB2312" w:hAnsi="仿宋_GB2312" w:eastAsia="仿宋_GB2312" w:cs="仿宋_GB2312"/>
          <w:b w:val="0"/>
          <w:bCs w:val="0"/>
          <w:sz w:val="32"/>
          <w:szCs w:val="32"/>
          <w:lang w:val="en-US" w:eastAsia="zh-CN"/>
        </w:rPr>
        <w:t>支撑。</w:t>
      </w:r>
    </w:p>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表1  限额以上商品零售情况（部分）</w:t>
      </w:r>
    </w:p>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单位：%</w:t>
      </w:r>
    </w:p>
    <w:tbl>
      <w:tblPr>
        <w:tblStyle w:val="8"/>
        <w:tblW w:w="935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867"/>
        <w:gridCol w:w="1386"/>
        <w:gridCol w:w="19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占限上零售额比重</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增速</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拉动增长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lang w:val="en-US" w:eastAsia="zh-CN"/>
              </w:rPr>
              <w:t>“吃”类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11.8</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21.9</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其中：粮油食品类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8.5</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23.3</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饮料类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2.0</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19.5</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烟酒类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1.3</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16.9</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lang w:val="en-US" w:eastAsia="zh-CN"/>
              </w:rPr>
              <w:t>“穿”类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15.2</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16.9</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其中：服装类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4.2</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4.2</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鞋帽类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10.4</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23.2</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针纺织类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0.6</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15.0</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“住”类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13.7</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29.5</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其中：五金、电料类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5.0</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30.9</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建筑及装潢材料类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8.6</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28.8</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“行”类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7.5</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19.1</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righ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其中：石油及制品类</w:t>
            </w:r>
          </w:p>
        </w:tc>
        <w:tc>
          <w:tcPr>
            <w:tcW w:w="286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7.5</w:t>
            </w:r>
          </w:p>
        </w:tc>
        <w:tc>
          <w:tcPr>
            <w:tcW w:w="13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19.1</w:t>
            </w:r>
          </w:p>
        </w:tc>
        <w:tc>
          <w:tcPr>
            <w:tcW w:w="198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1.3</w:t>
            </w:r>
          </w:p>
        </w:tc>
      </w:tr>
    </w:tbl>
    <w:p>
      <w:pPr>
        <w:keepNext w:val="0"/>
        <w:keepLines w:val="0"/>
        <w:pageBreakBefore w:val="0"/>
        <w:widowControl w:val="0"/>
        <w:kinsoku/>
        <w:wordWrap/>
        <w:overflowPunct/>
        <w:topLinePunct w:val="0"/>
        <w:autoSpaceDE/>
        <w:autoSpaceDN/>
        <w:bidi w:val="0"/>
        <w:adjustRightInd/>
        <w:snapToGrid/>
        <w:spacing w:before="313" w:beforeLines="100" w:line="540" w:lineRule="exact"/>
        <w:ind w:firstLine="643" w:firstLineChars="200"/>
        <w:textAlignment w:val="auto"/>
        <w:rPr>
          <w:rFonts w:hint="default" w:ascii="Times New Roman" w:hAnsi="Times New Roman" w:eastAsia="华文仿宋" w:cs="Times New Roman"/>
          <w:b/>
          <w:bCs/>
          <w:sz w:val="32"/>
          <w:szCs w:val="32"/>
          <w:lang w:val="en-US" w:eastAsia="zh-CN"/>
        </w:rPr>
      </w:pPr>
      <w:r>
        <w:rPr>
          <w:rFonts w:hint="eastAsia" w:eastAsia="华文仿宋" w:cs="华文仿宋"/>
          <w:b/>
          <w:bCs/>
          <w:sz w:val="32"/>
          <w:szCs w:val="32"/>
          <w:lang w:val="en-US" w:eastAsia="zh-CN"/>
        </w:rPr>
        <w:t>2.</w:t>
      </w:r>
      <w:r>
        <w:rPr>
          <w:rFonts w:hint="eastAsia" w:ascii="仿宋_GB2312" w:hAnsi="仿宋_GB2312" w:eastAsia="仿宋_GB2312" w:cs="仿宋_GB2312"/>
          <w:b/>
          <w:bCs/>
          <w:sz w:val="32"/>
          <w:szCs w:val="32"/>
          <w:lang w:val="en-US" w:eastAsia="zh-CN"/>
        </w:rPr>
        <w:t>升级商品添动能，品质追求有亮点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升级类商品为消费市场增添动能，折射居民品质消费趋势。限额以上单位文化办公用品类、金银珠宝类、化妆品类同比分别增长42.8%、25.0%、2.5%，合计拉动全市限上零售额增长0.3个百分点，消费升级类商品呈现增长趋势，居民消费结构正向品质化和多元化方向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 w:cs="Times New Roman"/>
          <w:b/>
          <w:bCs/>
          <w:sz w:val="32"/>
          <w:szCs w:val="32"/>
          <w:lang w:val="en-US" w:eastAsia="zh-CN" w:bidi="ar-SA"/>
        </w:rPr>
      </w:pPr>
      <w:r>
        <w:rPr>
          <w:rFonts w:hint="default" w:ascii="Times New Roman" w:hAnsi="Times New Roman" w:eastAsia="楷体" w:cs="Times New Roman"/>
          <w:b/>
          <w:bCs/>
          <w:sz w:val="32"/>
          <w:szCs w:val="32"/>
          <w:lang w:val="en-US" w:eastAsia="zh-CN" w:bidi="ar-SA"/>
        </w:rPr>
        <w:t>（三）新兴消费双驱动：线上拓展与即时零售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lang w:val="en-US" w:eastAsia="zh-CN"/>
        </w:rPr>
      </w:pPr>
      <w:r>
        <w:rPr>
          <w:rFonts w:hint="default" w:ascii="Times New Roman" w:hAnsi="Times New Roman" w:eastAsia="华文仿宋" w:cs="Times New Roman"/>
          <w:b/>
          <w:bCs/>
          <w:sz w:val="32"/>
          <w:szCs w:val="32"/>
          <w:lang w:val="en-US" w:eastAsia="zh-CN"/>
        </w:rPr>
        <w:t>1.</w:t>
      </w:r>
      <w:r>
        <w:rPr>
          <w:rFonts w:hint="eastAsia" w:ascii="仿宋_GB2312" w:hAnsi="仿宋_GB2312" w:eastAsia="仿宋_GB2312" w:cs="仿宋_GB2312"/>
          <w:b/>
          <w:bCs/>
          <w:sz w:val="32"/>
          <w:szCs w:val="32"/>
          <w:lang w:val="en-US" w:eastAsia="zh-CN"/>
        </w:rPr>
        <w:t>线上零售高增速，规模占比双提升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半年，在电商平台“6·18”大促活动及国补线上政策的刺激下，全市限额以上单位通过公共网络实现商品零售同比增长28.3%，增速比限上零售额快16.2个百分点，比同期加快11.0个百分点，拉动限上零售额增长9.3个百分点，拉动作用较一季度提升0.7个百分点，今年以来限额以上单位通过公共网络实现商品零售增速始终保持两位数的高增长。近一年来，限上网零占全市限上零售额比重不断提升，上半年占比达37.5%，较同期和一季度分别提高4.6、3.0个百分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kern w:val="2"/>
          <w:sz w:val="30"/>
          <w:szCs w:val="30"/>
          <w:lang w:val="en-US" w:eastAsia="zh-CN"/>
        </w:rPr>
      </w:pPr>
      <w:r>
        <w:rPr>
          <w:rFonts w:hint="eastAsia" w:ascii="Times New Roman" w:hAnsi="Times New Roman" w:eastAsia="仿宋_GB2312" w:cs="仿宋_GB2312"/>
          <w:b/>
          <w:bCs/>
          <w:kern w:val="2"/>
          <w:sz w:val="28"/>
          <w:szCs w:val="28"/>
          <w:lang w:val="en-US" w:eastAsia="zh-CN"/>
        </w:rPr>
        <w:drawing>
          <wp:anchor distT="0" distB="0" distL="114300" distR="114300" simplePos="0" relativeHeight="251660288" behindDoc="0" locked="0" layoutInCell="1" allowOverlap="1">
            <wp:simplePos x="0" y="0"/>
            <wp:positionH relativeFrom="column">
              <wp:posOffset>-64770</wp:posOffset>
            </wp:positionH>
            <wp:positionV relativeFrom="paragraph">
              <wp:posOffset>43815</wp:posOffset>
            </wp:positionV>
            <wp:extent cx="5795645" cy="3506470"/>
            <wp:effectExtent l="0" t="0" r="8255"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楷体" w:hAnsi="楷体" w:eastAsia="楷体" w:cs="楷体"/>
          <w:b w:val="0"/>
          <w:bCs w:val="0"/>
          <w:kern w:val="2"/>
          <w:sz w:val="30"/>
          <w:szCs w:val="30"/>
          <w:lang w:val="en-US" w:eastAsia="zh-CN"/>
        </w:rPr>
        <w:t>图1  近一年限上单位通过公共网络实现零售增速及占比情况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b/>
          <w:bCs/>
          <w:sz w:val="32"/>
          <w:szCs w:val="32"/>
          <w:lang w:val="en-US" w:eastAsia="zh-CN"/>
        </w:rPr>
      </w:pPr>
      <w:r>
        <w:rPr>
          <w:rFonts w:hint="eastAsia" w:eastAsia="华文仿宋" w:cs="华文仿宋"/>
          <w:b/>
          <w:bCs/>
          <w:sz w:val="32"/>
          <w:szCs w:val="32"/>
          <w:lang w:val="en-US" w:eastAsia="zh-CN"/>
        </w:rPr>
        <w:t>2.</w:t>
      </w:r>
      <w:r>
        <w:rPr>
          <w:rFonts w:hint="eastAsia" w:ascii="仿宋_GB2312" w:hAnsi="仿宋_GB2312" w:eastAsia="仿宋_GB2312" w:cs="仿宋_GB2312"/>
          <w:b/>
          <w:bCs/>
          <w:sz w:val="32"/>
          <w:szCs w:val="32"/>
          <w:lang w:val="en-US" w:eastAsia="zh-CN"/>
        </w:rPr>
        <w:t>即时零售新起步，配送服务热朝天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即时零售作为传统电商的“补充业态”，让消费者实现从“等快递”到“即时达”，美团闪购、饿了么、京东到家、淘宝闪购等平台助力商家从“送餐”到“送万物”。近几个月，即时零售市场迎来爆发式增长，传统零售企业通过与平台合作，拓展线上销售渠道；叠加配送服务有效推动，全市21家商超上半年零售额同比增长44.7%，住餐企业外卖配送服务收入增长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bidi="ar-SA"/>
        </w:rPr>
      </w:pPr>
      <w:r>
        <w:rPr>
          <w:rFonts w:hint="default" w:ascii="Times New Roman" w:hAnsi="Times New Roman" w:eastAsia="楷体" w:cs="Times New Roman"/>
          <w:b/>
          <w:bCs/>
          <w:sz w:val="32"/>
          <w:szCs w:val="32"/>
          <w:lang w:val="en-US" w:eastAsia="zh-CN" w:bidi="ar-SA"/>
        </w:rPr>
        <w:t>（四）发展动力双引擎：政策显效与市场蓄力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b/>
          <w:bCs/>
          <w:sz w:val="32"/>
          <w:szCs w:val="32"/>
          <w:lang w:val="en-US" w:eastAsia="zh-CN"/>
        </w:rPr>
      </w:pPr>
      <w:r>
        <w:rPr>
          <w:rFonts w:hint="default" w:ascii="Times New Roman" w:hAnsi="Times New Roman" w:eastAsia="华文仿宋" w:cs="Times New Roman"/>
          <w:b/>
          <w:bCs/>
          <w:sz w:val="32"/>
          <w:szCs w:val="32"/>
          <w:lang w:val="en-US" w:eastAsia="zh-CN"/>
        </w:rPr>
        <w:t>1.</w:t>
      </w:r>
      <w:r>
        <w:rPr>
          <w:rFonts w:hint="eastAsia" w:ascii="仿宋_GB2312" w:hAnsi="仿宋_GB2312" w:eastAsia="仿宋_GB2312" w:cs="仿宋_GB2312"/>
          <w:b/>
          <w:bCs/>
          <w:sz w:val="32"/>
          <w:szCs w:val="32"/>
          <w:lang w:val="en-US" w:eastAsia="zh-CN"/>
        </w:rPr>
        <w:t>政策撬动发展升，以旧换新见成效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今年以来，在消费品以旧换新政策加力扩围带动下，相关商品销售持续向好，家装厨卫、家电、手机数码产品等需求不断释放，显著增长。目前，全市共34家在库商业企业参与以旧换新活动，上半年实现零售额2.98亿元，同比增长90.6%，拉动限上零售额增长1.9个百分点。按具体类别看，限额以上单位家具类、家用电器和音像器材类、通讯器材类零售额同比分别增长276.3%、127.5%、77.5%，增速较一季度分别加快30.2、23.2、9.6个百分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b/>
          <w:bCs/>
          <w:sz w:val="32"/>
          <w:szCs w:val="32"/>
          <w:lang w:val="en-US" w:eastAsia="zh-CN"/>
        </w:rPr>
      </w:pPr>
      <w:r>
        <w:rPr>
          <w:rFonts w:hint="default" w:ascii="Times New Roman" w:hAnsi="Times New Roman" w:eastAsia="华文仿宋" w:cs="Times New Roman"/>
          <w:b/>
          <w:bCs/>
          <w:sz w:val="32"/>
          <w:szCs w:val="32"/>
          <w:lang w:val="en-US" w:eastAsia="zh-CN"/>
        </w:rPr>
        <w:t>2.</w:t>
      </w:r>
      <w:r>
        <w:rPr>
          <w:rFonts w:hint="eastAsia" w:ascii="仿宋_GB2312" w:hAnsi="仿宋_GB2312" w:eastAsia="仿宋_GB2312" w:cs="仿宋_GB2312"/>
          <w:b/>
          <w:bCs/>
          <w:sz w:val="32"/>
          <w:szCs w:val="32"/>
          <w:lang w:val="en-US" w:eastAsia="zh-CN"/>
        </w:rPr>
        <w:t>市场支撑动力足，城乡收入差距缩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半年，全市居民人均可支配收入28299元，同比增长5.3%；居民人均生活消费支出17567元，同比增长5.6%。随着居民收入水平持续提升，消费能力不断增强，为消费品市场规模扩大提供了核心支撑。从城乡看，城镇居民人均可支配收入36022元，增长4.8%；农村居民人均可支配收入18564元，增长5.7%；城乡收入比1.94，较一季度缩小0.04。农村收入增速持续快于城镇，且城乡收入差距逐渐缩小，带动农村消费潜力进一步释放，成为消费品市场增长的重要补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bidi="ar-SA"/>
        </w:rPr>
      </w:pPr>
      <w:r>
        <w:rPr>
          <w:rFonts w:hint="default" w:ascii="Times New Roman" w:hAnsi="Times New Roman" w:eastAsia="黑体" w:cs="Times New Roman"/>
          <w:b w:val="0"/>
          <w:bCs w:val="0"/>
          <w:sz w:val="32"/>
          <w:szCs w:val="32"/>
          <w:lang w:val="en-US" w:eastAsia="zh-CN" w:bidi="ar-SA"/>
        </w:rPr>
        <w:t>二、值得关注的问题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bidi="ar-SA"/>
        </w:rPr>
      </w:pPr>
      <w:r>
        <w:rPr>
          <w:rFonts w:hint="default" w:ascii="Times New Roman" w:hAnsi="Times New Roman" w:eastAsia="楷体" w:cs="Times New Roman"/>
          <w:b/>
          <w:bCs/>
          <w:sz w:val="32"/>
          <w:szCs w:val="32"/>
          <w:lang w:val="en-US" w:eastAsia="zh-CN" w:bidi="ar-SA"/>
        </w:rPr>
        <w:t>（一）线上销售持续分流，实体消费场景弱化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网络零售凭借价格透明、配送便捷等优势，持续分流线下实体消费需求，而实体销售企业为应对竞争，需依赖政策发放消费券、补贴差价等方式维持客流。通过走访发现，近期以旧换新核销额度收紧，家电和3C数码开始限额补贴，国补消费券领取规则对线下实体消费产生显著影响。国补消费券线上线下分开领取，线上券量较为充足、领取便捷，而线下门店消费券数量却极为有限，消费者需限时抢券，导致线下订单大幅减少。同时，线下国补流程手续繁琐，需采集许多个人信息，既耗费消费者时间，也增加商家成本，还让消费者担心信息泄露，进一步降低了选择线下消费的意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bidi="ar-SA"/>
        </w:rPr>
      </w:pPr>
      <w:r>
        <w:rPr>
          <w:rFonts w:hint="default" w:ascii="Times New Roman" w:hAnsi="Times New Roman" w:eastAsia="楷体" w:cs="Times New Roman"/>
          <w:b/>
          <w:bCs/>
          <w:sz w:val="32"/>
          <w:szCs w:val="32"/>
          <w:lang w:val="en-US" w:eastAsia="zh-CN" w:bidi="ar-SA"/>
        </w:rPr>
        <w:t>（二）政策边际效应递减，汽车市场持续走低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我市汽车消费市场在政策推动下曾有过显著增长，但当下政策边际效应递减，汽车市场持续走低，行业发展面临困难。今年以来，全市限额以上单位汽车类零售额持续负增长，截至6月同比下降15.9%，降幅较一季度扩大7.9个百分点，拉低全市限额以上单位商品零售额增速4.5个百分点。其中，新能源汽车商品零售额下降5.1%，降幅较一季度收窄6.1个百分点，拉低限额以上单位商品零售额增速0.7个百分点。</w:t>
      </w:r>
      <w:r>
        <w:rPr>
          <w:rFonts w:hint="eastAsia" w:ascii="仿宋_GB2312" w:hAnsi="仿宋_GB2312" w:eastAsia="仿宋_GB2312" w:cs="仿宋_GB2312"/>
          <w:b w:val="0"/>
          <w:bCs w:val="0"/>
          <w:sz w:val="32"/>
          <w:szCs w:val="32"/>
          <w:lang w:val="en-US" w:eastAsia="zh-CN"/>
        </w:rPr>
        <w:t> </w:t>
      </w:r>
    </w:p>
    <w:p>
      <w:pPr>
        <w:pStyle w:val="2"/>
        <w:rPr>
          <w:rFonts w:hint="eastAsia" w:ascii="仿宋_GB2312" w:hAnsi="仿宋_GB2312" w:eastAsia="仿宋_GB2312" w:cs="仿宋_GB2312"/>
          <w:b w:val="0"/>
          <w:bCs w:val="0"/>
          <w:sz w:val="32"/>
          <w:szCs w:val="32"/>
          <w:lang w:val="en-US" w:eastAsia="zh-CN"/>
        </w:rPr>
      </w:pPr>
    </w:p>
    <w:p>
      <w:pPr>
        <w:pStyle w:val="2"/>
        <w:rPr>
          <w:rFonts w:hint="eastAsia" w:ascii="楷体" w:hAnsi="楷体" w:eastAsia="楷体" w:cs="楷体"/>
          <w:b w:val="0"/>
          <w:bCs w:val="0"/>
          <w:color w:val="auto"/>
          <w:sz w:val="28"/>
          <w:szCs w:val="28"/>
          <w:highlight w:val="none"/>
        </w:rPr>
      </w:pPr>
    </w:p>
    <w:p>
      <w:pPr>
        <w:ind w:firstLine="5120" w:firstLineChars="16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（南安市统计局　</w:t>
      </w:r>
      <w:r>
        <w:rPr>
          <w:rFonts w:hint="eastAsia" w:ascii="仿宋_GB2312" w:hAnsi="仿宋_GB2312" w:eastAsia="仿宋_GB2312" w:cs="仿宋_GB2312"/>
          <w:sz w:val="32"/>
          <w:szCs w:val="32"/>
          <w:lang w:val="en-US" w:eastAsia="zh-CN"/>
        </w:rPr>
        <w:t>曾明静</w:t>
      </w:r>
      <w:r>
        <w:rPr>
          <w:rFonts w:hint="default" w:ascii="仿宋_GB2312" w:hAnsi="仿宋_GB2312" w:eastAsia="仿宋_GB2312" w:cs="仿宋_GB2312"/>
          <w:sz w:val="32"/>
          <w:szCs w:val="32"/>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901700" cy="892175"/>
            <wp:effectExtent l="0" t="0" r="0" b="9525"/>
            <wp:docPr id="2" name="图片 2"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1eebab0522fd_258"/>
                    <pic:cNvPicPr>
                      <a:picLocks noChangeAspect="1"/>
                    </pic:cNvPicPr>
                  </pic:nvPicPr>
                  <pic:blipFill>
                    <a:blip r:embed="rId6"/>
                    <a:stretch>
                      <a:fillRect/>
                    </a:stretch>
                  </pic:blipFill>
                  <pic:spPr>
                    <a:xfrm>
                      <a:off x="0" y="0"/>
                      <a:ext cx="901700" cy="89217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t>扫码关注南安市统计局</w:t>
      </w:r>
    </w:p>
    <w:p>
      <w:pPr>
        <w:pStyle w:val="2"/>
        <w:rPr>
          <w:rFonts w:hint="eastAsia" w:ascii="仿宋_GB2312" w:hAnsi="仿宋_GB2312" w:eastAsia="仿宋_GB2312" w:cs="仿宋_GB2312"/>
          <w:b w:val="0"/>
          <w:bCs w:val="0"/>
          <w:sz w:val="32"/>
          <w:szCs w:val="32"/>
          <w:lang w:val="en-US" w:eastAsia="zh-CN"/>
        </w:rPr>
      </w:pPr>
    </w:p>
    <w:p>
      <w:pPr>
        <w:pStyle w:val="2"/>
        <w:rPr>
          <w:rFonts w:hint="default" w:ascii="楷体" w:hAnsi="楷体" w:eastAsia="楷体" w:cs="楷体"/>
          <w:b/>
          <w:bCs/>
          <w:sz w:val="32"/>
          <w:szCs w:val="32"/>
          <w:lang w:val="en-US" w:eastAsia="zh-CN" w:bidi="ar-SA"/>
        </w:rPr>
      </w:pP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NzBlOGYxMzFlNGVhZDM3MjA5YThlZmJiNjFkOGYifQ=="/>
  </w:docVars>
  <w:rsids>
    <w:rsidRoot w:val="2AD07DCA"/>
    <w:rsid w:val="00BA4E17"/>
    <w:rsid w:val="00C60979"/>
    <w:rsid w:val="019E69FE"/>
    <w:rsid w:val="01E52B0A"/>
    <w:rsid w:val="03241FDD"/>
    <w:rsid w:val="036E1679"/>
    <w:rsid w:val="03D4597E"/>
    <w:rsid w:val="04246224"/>
    <w:rsid w:val="04FC2F66"/>
    <w:rsid w:val="06BB7CAC"/>
    <w:rsid w:val="07116511"/>
    <w:rsid w:val="07AF67B9"/>
    <w:rsid w:val="07F06946"/>
    <w:rsid w:val="08076769"/>
    <w:rsid w:val="09AF701F"/>
    <w:rsid w:val="0B5231F6"/>
    <w:rsid w:val="0DA63894"/>
    <w:rsid w:val="0E497ADD"/>
    <w:rsid w:val="0EF86285"/>
    <w:rsid w:val="108062A0"/>
    <w:rsid w:val="10E5610A"/>
    <w:rsid w:val="110D4C1A"/>
    <w:rsid w:val="123213E9"/>
    <w:rsid w:val="129723D6"/>
    <w:rsid w:val="131D034D"/>
    <w:rsid w:val="134C534A"/>
    <w:rsid w:val="13B7786E"/>
    <w:rsid w:val="155A39AF"/>
    <w:rsid w:val="15946A55"/>
    <w:rsid w:val="16FA42AD"/>
    <w:rsid w:val="17503D56"/>
    <w:rsid w:val="175A587E"/>
    <w:rsid w:val="1A463E6C"/>
    <w:rsid w:val="1BA9447B"/>
    <w:rsid w:val="1BF8172A"/>
    <w:rsid w:val="1E3A5B68"/>
    <w:rsid w:val="1E837972"/>
    <w:rsid w:val="1E9E60CB"/>
    <w:rsid w:val="1FC258B9"/>
    <w:rsid w:val="225A3414"/>
    <w:rsid w:val="22BC035A"/>
    <w:rsid w:val="23655FAF"/>
    <w:rsid w:val="238025ED"/>
    <w:rsid w:val="276F1B6B"/>
    <w:rsid w:val="27DF77B8"/>
    <w:rsid w:val="28FF0B5D"/>
    <w:rsid w:val="29EA0BA5"/>
    <w:rsid w:val="2AD07DCA"/>
    <w:rsid w:val="2B074D95"/>
    <w:rsid w:val="2B926CF1"/>
    <w:rsid w:val="2BA02F5D"/>
    <w:rsid w:val="2DE61671"/>
    <w:rsid w:val="2F287C43"/>
    <w:rsid w:val="310F1E7B"/>
    <w:rsid w:val="320F0DE4"/>
    <w:rsid w:val="35D16F7C"/>
    <w:rsid w:val="36C93AC1"/>
    <w:rsid w:val="37125B9B"/>
    <w:rsid w:val="37C353B2"/>
    <w:rsid w:val="37D65411"/>
    <w:rsid w:val="38A10A30"/>
    <w:rsid w:val="395E29E6"/>
    <w:rsid w:val="3B0833C5"/>
    <w:rsid w:val="3BBD1F17"/>
    <w:rsid w:val="3D475163"/>
    <w:rsid w:val="3E5E549E"/>
    <w:rsid w:val="3EA219E1"/>
    <w:rsid w:val="3F3D382F"/>
    <w:rsid w:val="3F917A1E"/>
    <w:rsid w:val="42B90C21"/>
    <w:rsid w:val="451833F3"/>
    <w:rsid w:val="47E64926"/>
    <w:rsid w:val="496A5AA3"/>
    <w:rsid w:val="49AF0FF8"/>
    <w:rsid w:val="4BDC764B"/>
    <w:rsid w:val="4D725F15"/>
    <w:rsid w:val="4E014F5E"/>
    <w:rsid w:val="4FDE1584"/>
    <w:rsid w:val="50E7701B"/>
    <w:rsid w:val="523C37A2"/>
    <w:rsid w:val="54593D14"/>
    <w:rsid w:val="54C11B47"/>
    <w:rsid w:val="54D17572"/>
    <w:rsid w:val="5785775B"/>
    <w:rsid w:val="57A0163A"/>
    <w:rsid w:val="5B3D69FF"/>
    <w:rsid w:val="5B984BA4"/>
    <w:rsid w:val="5BC547C8"/>
    <w:rsid w:val="5BC941FF"/>
    <w:rsid w:val="5C16767D"/>
    <w:rsid w:val="5C536D56"/>
    <w:rsid w:val="5DB579BB"/>
    <w:rsid w:val="5DFC3623"/>
    <w:rsid w:val="5EFD42DE"/>
    <w:rsid w:val="5FCB59ED"/>
    <w:rsid w:val="61106688"/>
    <w:rsid w:val="619268B3"/>
    <w:rsid w:val="62A51421"/>
    <w:rsid w:val="62EF1D7E"/>
    <w:rsid w:val="656131AA"/>
    <w:rsid w:val="65BD2823"/>
    <w:rsid w:val="65DD12A0"/>
    <w:rsid w:val="6A185AE2"/>
    <w:rsid w:val="6A4A73F1"/>
    <w:rsid w:val="6B6671DC"/>
    <w:rsid w:val="6BF978DE"/>
    <w:rsid w:val="6CA23270"/>
    <w:rsid w:val="6E6E5688"/>
    <w:rsid w:val="6EAA0B17"/>
    <w:rsid w:val="6EBD577A"/>
    <w:rsid w:val="71341673"/>
    <w:rsid w:val="74C5604A"/>
    <w:rsid w:val="75DD5B2D"/>
    <w:rsid w:val="790E48CE"/>
    <w:rsid w:val="7B2E04EE"/>
    <w:rsid w:val="7C176AAC"/>
    <w:rsid w:val="7C744564"/>
    <w:rsid w:val="7D715A3F"/>
    <w:rsid w:val="7EC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imes New Roman"/>
      <w:kern w:val="2"/>
      <w:sz w:val="21"/>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增速</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dLbls>
            <c:dLbl>
              <c:idx val="1"/>
              <c:delete val="1"/>
            </c:dLbl>
            <c:dLbl>
              <c:idx val="2"/>
              <c:delete val="1"/>
            </c:dLbl>
            <c:dLbl>
              <c:idx val="4"/>
              <c:delete val="1"/>
            </c:dLbl>
            <c:dLbl>
              <c:idx val="5"/>
              <c:delete val="1"/>
            </c:dLbl>
            <c:dLbl>
              <c:idx val="7"/>
              <c:delete val="1"/>
            </c:dLbl>
            <c:dLbl>
              <c:idx val="9"/>
              <c:delete val="1"/>
            </c:dLbl>
            <c:dLbl>
              <c:idx val="10"/>
              <c:delete val="1"/>
            </c:dLbl>
            <c:numFmt formatCode="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2024.1-6</c:v>
                </c:pt>
                <c:pt idx="1">
                  <c:v>2024.1-7</c:v>
                </c:pt>
                <c:pt idx="2">
                  <c:v>2024.1-8</c:v>
                </c:pt>
                <c:pt idx="3">
                  <c:v>2024.1-9</c:v>
                </c:pt>
                <c:pt idx="4">
                  <c:v>2024.1-10</c:v>
                </c:pt>
                <c:pt idx="5">
                  <c:v>2024.1-11</c:v>
                </c:pt>
                <c:pt idx="6">
                  <c:v>2024.1-12</c:v>
                </c:pt>
                <c:pt idx="7">
                  <c:v>2025.1-2</c:v>
                </c:pt>
                <c:pt idx="8">
                  <c:v>2025.1-3</c:v>
                </c:pt>
                <c:pt idx="9">
                  <c:v>2025.1-4</c:v>
                </c:pt>
                <c:pt idx="10">
                  <c:v>2025.1-5</c:v>
                </c:pt>
                <c:pt idx="11">
                  <c:v>2025.1-6</c:v>
                </c:pt>
              </c:strCache>
            </c:strRef>
          </c:cat>
          <c:val>
            <c:numRef>
              <c:f>Sheet1!$B$2:$B$13</c:f>
              <c:numCache>
                <c:formatCode>0.00%</c:formatCode>
                <c:ptCount val="12"/>
                <c:pt idx="0">
                  <c:v>0.173</c:v>
                </c:pt>
                <c:pt idx="1">
                  <c:v>0.185</c:v>
                </c:pt>
                <c:pt idx="2">
                  <c:v>0.212</c:v>
                </c:pt>
                <c:pt idx="3" c:formatCode="0%">
                  <c:v>0.23</c:v>
                </c:pt>
                <c:pt idx="4">
                  <c:v>0.237</c:v>
                </c:pt>
                <c:pt idx="5">
                  <c:v>0.252</c:v>
                </c:pt>
                <c:pt idx="6">
                  <c:v>0.243</c:v>
                </c:pt>
                <c:pt idx="7">
                  <c:v>0.259</c:v>
                </c:pt>
                <c:pt idx="8">
                  <c:v>0.288</c:v>
                </c:pt>
                <c:pt idx="9">
                  <c:v>0.298</c:v>
                </c:pt>
                <c:pt idx="10">
                  <c:v>0.285</c:v>
                </c:pt>
                <c:pt idx="11">
                  <c:v>0.283</c:v>
                </c:pt>
              </c:numCache>
            </c:numRef>
          </c:val>
          <c:smooth val="1"/>
        </c:ser>
        <c:ser>
          <c:idx val="1"/>
          <c:order val="1"/>
          <c:tx>
            <c:strRef>
              <c:f>Sheet1!$C$1</c:f>
              <c:strCache>
                <c:ptCount val="1"/>
                <c:pt idx="0">
                  <c:v>占比</c:v>
                </c:pt>
              </c:strCache>
            </c:strRef>
          </c:tx>
          <c:spPr>
            <a:ln w="28575" cap="rnd">
              <a:solidFill>
                <a:schemeClr val="accent2"/>
              </a:solidFill>
              <a:round/>
            </a:ln>
            <a:effectLst/>
          </c:spPr>
          <c:marker>
            <c:symbol val="circle"/>
            <c:size val="7"/>
            <c:spPr>
              <a:solidFill>
                <a:schemeClr val="accent2"/>
              </a:solidFill>
              <a:ln w="9525">
                <a:solidFill>
                  <a:schemeClr val="accent2"/>
                </a:solidFill>
              </a:ln>
              <a:effectLst/>
            </c:spPr>
          </c:marker>
          <c:dLbls>
            <c:dLbl>
              <c:idx val="0"/>
              <c:layout>
                <c:manualLayout>
                  <c:x val="0.027"/>
                  <c:y val="0.0083333333333333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layout/>
              <c:dLblPos val="t"/>
              <c:showLegendKey val="0"/>
              <c:showVal val="1"/>
              <c:showCatName val="0"/>
              <c:showSerName val="0"/>
              <c:showPercent val="0"/>
              <c:showBubbleSize val="0"/>
              <c:extLst>
                <c:ext xmlns:c15="http://schemas.microsoft.com/office/drawing/2012/chart" uri="{CE6537A1-D6FC-4f65-9D91-7224C49458BB}"/>
              </c:extLst>
            </c:dLbl>
            <c:dLbl>
              <c:idx val="4"/>
              <c:delete val="1"/>
            </c:dLbl>
            <c:dLbl>
              <c:idx val="5"/>
              <c:delete val="1"/>
            </c:dLbl>
            <c:dLbl>
              <c:idx val="6"/>
              <c:layout/>
              <c:dLblPos val="t"/>
              <c:showLegendKey val="0"/>
              <c:showVal val="1"/>
              <c:showCatName val="0"/>
              <c:showSerName val="0"/>
              <c:showPercent val="0"/>
              <c:showBubbleSize val="0"/>
              <c:extLst>
                <c:ext xmlns:c15="http://schemas.microsoft.com/office/drawing/2012/chart" uri="{CE6537A1-D6FC-4f65-9D91-7224C49458BB}"/>
              </c:extLst>
            </c:dLbl>
            <c:dLbl>
              <c:idx val="7"/>
              <c:delete val="1"/>
            </c:dLbl>
            <c:dLbl>
              <c:idx val="8"/>
              <c:layout/>
              <c:dLblPos val="t"/>
              <c:showLegendKey val="0"/>
              <c:showVal val="1"/>
              <c:showCatName val="0"/>
              <c:showSerName val="0"/>
              <c:showPercent val="0"/>
              <c:showBubbleSize val="0"/>
              <c:extLst>
                <c:ext xmlns:c15="http://schemas.microsoft.com/office/drawing/2012/chart" uri="{CE6537A1-D6FC-4f65-9D91-7224C49458BB}"/>
              </c:extLst>
            </c:dLbl>
            <c:dLbl>
              <c:idx val="9"/>
              <c:delete val="1"/>
            </c:dLbl>
            <c:dLbl>
              <c:idx val="10"/>
              <c:delete val="1"/>
            </c:dLbl>
            <c:dLbl>
              <c:idx val="11"/>
              <c:layout/>
              <c:dLblPos val="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t"/>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2024.1-6</c:v>
                </c:pt>
                <c:pt idx="1">
                  <c:v>2024.1-7</c:v>
                </c:pt>
                <c:pt idx="2">
                  <c:v>2024.1-8</c:v>
                </c:pt>
                <c:pt idx="3">
                  <c:v>2024.1-9</c:v>
                </c:pt>
                <c:pt idx="4">
                  <c:v>2024.1-10</c:v>
                </c:pt>
                <c:pt idx="5">
                  <c:v>2024.1-11</c:v>
                </c:pt>
                <c:pt idx="6">
                  <c:v>2024.1-12</c:v>
                </c:pt>
                <c:pt idx="7">
                  <c:v>2025.1-2</c:v>
                </c:pt>
                <c:pt idx="8">
                  <c:v>2025.1-3</c:v>
                </c:pt>
                <c:pt idx="9">
                  <c:v>2025.1-4</c:v>
                </c:pt>
                <c:pt idx="10">
                  <c:v>2025.1-5</c:v>
                </c:pt>
                <c:pt idx="11">
                  <c:v>2025.1-6</c:v>
                </c:pt>
              </c:strCache>
            </c:strRef>
          </c:cat>
          <c:val>
            <c:numRef>
              <c:f>Sheet1!$C$2:$C$13</c:f>
              <c:numCache>
                <c:formatCode>0.00%</c:formatCode>
                <c:ptCount val="12"/>
                <c:pt idx="0">
                  <c:v>0.329</c:v>
                </c:pt>
                <c:pt idx="1" c:formatCode="0%">
                  <c:v>0.33</c:v>
                </c:pt>
                <c:pt idx="2">
                  <c:v>0.334</c:v>
                </c:pt>
                <c:pt idx="3">
                  <c:v>0.335</c:v>
                </c:pt>
                <c:pt idx="4">
                  <c:v>0.338</c:v>
                </c:pt>
                <c:pt idx="5">
                  <c:v>0.342</c:v>
                </c:pt>
                <c:pt idx="6">
                  <c:v>0.343</c:v>
                </c:pt>
                <c:pt idx="7">
                  <c:v>0.333</c:v>
                </c:pt>
                <c:pt idx="8">
                  <c:v>0.345</c:v>
                </c:pt>
                <c:pt idx="9">
                  <c:v>0.359</c:v>
                </c:pt>
                <c:pt idx="10">
                  <c:v>0.368</c:v>
                </c:pt>
                <c:pt idx="11">
                  <c:v>0.375</c:v>
                </c:pt>
              </c:numCache>
            </c:numRef>
          </c:val>
          <c:smooth val="1"/>
        </c:ser>
        <c:dLbls>
          <c:showLegendKey val="0"/>
          <c:showVal val="1"/>
          <c:showCatName val="0"/>
          <c:showSerName val="0"/>
          <c:showPercent val="0"/>
          <c:showBubbleSize val="0"/>
        </c:dLbls>
        <c:marker val="1"/>
        <c:smooth val="1"/>
        <c:axId val="391369939"/>
        <c:axId val="713550421"/>
      </c:lineChart>
      <c:catAx>
        <c:axId val="391369939"/>
        <c:scaling>
          <c:orientation val="minMax"/>
        </c:scaling>
        <c:delete val="0"/>
        <c:axPos val="b"/>
        <c:numFmt formatCode="0%" sourceLinked="0"/>
        <c:majorTickMark val="out"/>
        <c:minorTickMark val="none"/>
        <c:tickLblPos val="nextTo"/>
        <c:spPr>
          <a:noFill/>
          <a:ln w="9525" cap="flat" cmpd="sng" algn="ctr">
            <a:solidFill>
              <a:schemeClr val="tx1"/>
            </a:solidFill>
            <a:round/>
            <a:tailEnd type="arrow"/>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13550421"/>
        <c:crosses val="autoZero"/>
        <c:auto val="1"/>
        <c:lblAlgn val="ctr"/>
        <c:lblOffset val="100"/>
        <c:noMultiLvlLbl val="0"/>
      </c:catAx>
      <c:valAx>
        <c:axId val="713550421"/>
        <c:scaling>
          <c:orientation val="minMax"/>
          <c:max val="0.45"/>
          <c:min val="0.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solidFill>
              <a:schemeClr val="tx1"/>
            </a:solidFill>
            <a:tailEnd type="arrow"/>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9136993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2826</Characters>
  <Lines>0</Lines>
  <Paragraphs>0</Paragraphs>
  <TotalTime>3</TotalTime>
  <ScaleCrop>false</ScaleCrop>
  <LinksUpToDate>false</LinksUpToDate>
  <CharactersWithSpaces>2836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2025-01-20T02:08:00Z</dcterms:created>
  <dc:creator>Administrator</dc:creator>
  <cp:lastModifiedBy>南安市统计局</cp:lastModifiedBy>
  <cp:lastPrinted>2025-02-06T07:14:00Z</cp:lastPrinted>
  <dcterms:modified xsi:type="dcterms:W3CDTF">2025-08-15T08:07:18Z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eyJoZGlkIjoiZTQ5ZjU3NWExOGY0MzFmYjEzNGMwNWY3M2FhZjE0YTUiLCJ1c2VySWQiOiIzMDgzNDI0ODUifQ==</vt:lpwstr>
  </property>
  <property fmtid="{D5CDD505-2E9C-101B-9397-08002B2CF9AE}" pid="4" name="ICV">
    <vt:lpwstr>425B96F24B3B4DB197032513E60588E0_12</vt:lpwstr>
  </property>
</Properties>
</file>