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tabs>
          <w:tab w:val="left" w:pos="7875"/>
        </w:tabs>
        <w:kinsoku/>
        <w:wordWrap/>
        <w:overflowPunct/>
        <w:topLinePunct w:val="0"/>
        <w:autoSpaceDE/>
        <w:autoSpaceDN/>
        <w:bidi w:val="0"/>
        <w:adjustRightInd/>
        <w:snapToGrid/>
        <w:spacing w:line="560" w:lineRule="exact"/>
        <w:ind w:right="0" w:rightChars="0" w:firstLine="22"/>
        <w:jc w:val="both"/>
        <w:textAlignment w:val="baseline"/>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rPr>
        <w:t>*南简报N024号</w:t>
      </w:r>
    </w:p>
    <w:p>
      <w:pPr>
        <w:keepNext w:val="0"/>
        <w:keepLines w:val="0"/>
        <w:pageBreakBefore w:val="0"/>
        <w:widowControl/>
        <w:kinsoku/>
        <w:wordWrap/>
        <w:overflowPunct/>
        <w:topLinePunct w:val="0"/>
        <w:autoSpaceDE/>
        <w:autoSpaceDN/>
        <w:bidi w:val="0"/>
        <w:adjustRightInd/>
        <w:snapToGrid/>
        <w:spacing w:line="560" w:lineRule="exact"/>
        <w:ind w:right="0" w:rightChars="0"/>
        <w:jc w:val="center"/>
        <w:textAlignment w:val="baseline"/>
        <w:rPr>
          <w:rFonts w:hint="default" w:ascii="Times New Roman" w:hAnsi="Times New Roman" w:cs="Times New Roman"/>
          <w:color w:val="000000"/>
          <w:kern w:val="0"/>
          <w:szCs w:val="32"/>
        </w:rPr>
      </w:pPr>
    </w:p>
    <w:p>
      <w:pPr>
        <w:keepNext w:val="0"/>
        <w:keepLines w:val="0"/>
        <w:pageBreakBefore w:val="0"/>
        <w:widowControl/>
        <w:kinsoku/>
        <w:wordWrap/>
        <w:overflowPunct/>
        <w:topLinePunct w:val="0"/>
        <w:autoSpaceDE/>
        <w:autoSpaceDN/>
        <w:bidi w:val="0"/>
        <w:adjustRightInd/>
        <w:snapToGrid/>
        <w:spacing w:line="560" w:lineRule="exact"/>
        <w:ind w:right="0" w:rightChars="0" w:firstLine="22"/>
        <w:jc w:val="center"/>
        <w:textAlignment w:val="baseline"/>
        <w:rPr>
          <w:rFonts w:hint="default" w:ascii="Times New Roman" w:hAnsi="Times New Roman" w:cs="Times New Roman"/>
          <w:color w:val="000000"/>
          <w:kern w:val="0"/>
          <w:szCs w:val="32"/>
        </w:rPr>
      </w:pPr>
      <w:r>
        <w:rPr>
          <w:rFonts w:hint="default" w:ascii="Times New Roman" w:hAnsi="Times New Roman" w:cs="Times New Roman"/>
          <w:color w:val="000000"/>
          <w:kern w:val="0"/>
          <w:szCs w:val="32"/>
        </w:rPr>
        <w:pict>
          <v:shape id="_x0000_s1026" o:spid="_x0000_s1026" o:spt="136" type="#_x0000_t136" style="position:absolute;left:0pt;margin-left:95.95pt;margin-top:140.65pt;height:72.7pt;width:424.6pt;mso-position-horizontal-relative:page;mso-position-vertical-relative:page;z-index:251660288;mso-width-relative:page;mso-height-relative:page;" fillcolor="#FF0000" filled="t" stroked="t" coordsize="21600,21600">
            <v:path/>
            <v:fill on="t" focussize="0,0"/>
            <v:stroke color="#FFFFFF" joinstyle="bevel"/>
            <v:imagedata o:title=""/>
            <o:lock v:ext="edit" grouping="f" rotation="f" text="f" aspectratio="f"/>
            <v:textpath on="t" fitshape="t" fitpath="t" trim="t" xscale="f" string="南安统计信息" style="font-family:方正大标宋简体;font-size:36pt;v-text-align:center;"/>
          </v:shape>
        </w:pict>
      </w:r>
    </w:p>
    <w:p>
      <w:pPr>
        <w:keepNext w:val="0"/>
        <w:keepLines w:val="0"/>
        <w:pageBreakBefore w:val="0"/>
        <w:widowControl/>
        <w:kinsoku/>
        <w:wordWrap/>
        <w:overflowPunct/>
        <w:topLinePunct w:val="0"/>
        <w:autoSpaceDE/>
        <w:autoSpaceDN/>
        <w:bidi w:val="0"/>
        <w:adjustRightInd/>
        <w:snapToGrid/>
        <w:spacing w:line="560" w:lineRule="exact"/>
        <w:ind w:right="0" w:rightChars="0"/>
        <w:textAlignment w:val="baseline"/>
        <w:rPr>
          <w:rFonts w:hint="default" w:ascii="Times New Roman" w:hAnsi="Times New Roman" w:cs="Times New Roman"/>
          <w:color w:val="000000"/>
          <w:kern w:val="0"/>
          <w:szCs w:val="32"/>
        </w:rPr>
      </w:pPr>
    </w:p>
    <w:p>
      <w:pPr>
        <w:keepNext w:val="0"/>
        <w:keepLines w:val="0"/>
        <w:pageBreakBefore w:val="0"/>
        <w:widowControl/>
        <w:kinsoku/>
        <w:wordWrap/>
        <w:overflowPunct/>
        <w:topLinePunct w:val="0"/>
        <w:autoSpaceDE/>
        <w:autoSpaceDN/>
        <w:bidi w:val="0"/>
        <w:adjustRightInd/>
        <w:snapToGrid/>
        <w:spacing w:line="560" w:lineRule="exact"/>
        <w:ind w:right="0" w:rightChars="0" w:firstLine="22"/>
        <w:jc w:val="center"/>
        <w:textAlignment w:val="baseline"/>
        <w:rPr>
          <w:rFonts w:hint="default" w:ascii="Times New Roman" w:hAnsi="Times New Roman" w:cs="Times New Roman"/>
          <w:color w:val="000000"/>
          <w:kern w:val="0"/>
          <w:szCs w:val="32"/>
        </w:rPr>
      </w:pPr>
    </w:p>
    <w:p>
      <w:pPr>
        <w:keepNext w:val="0"/>
        <w:keepLines w:val="0"/>
        <w:pageBreakBefore w:val="0"/>
        <w:widowControl/>
        <w:kinsoku/>
        <w:wordWrap/>
        <w:overflowPunct/>
        <w:topLinePunct w:val="0"/>
        <w:autoSpaceDE/>
        <w:autoSpaceDN/>
        <w:bidi w:val="0"/>
        <w:adjustRightInd/>
        <w:snapToGrid/>
        <w:spacing w:line="560" w:lineRule="exact"/>
        <w:ind w:right="0" w:rightChars="0" w:firstLine="22"/>
        <w:jc w:val="center"/>
        <w:textAlignment w:val="baseline"/>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rPr>
        <w:t>第</w:t>
      </w:r>
      <w:r>
        <w:rPr>
          <w:rFonts w:hint="default" w:ascii="Times New Roman" w:hAnsi="Times New Roman" w:cs="Times New Roman"/>
          <w:color w:val="auto"/>
          <w:kern w:val="0"/>
          <w:sz w:val="32"/>
          <w:szCs w:val="32"/>
          <w:lang w:val="en-US" w:eastAsia="zh-CN"/>
        </w:rPr>
        <w:t>1</w:t>
      </w:r>
      <w:r>
        <w:rPr>
          <w:rFonts w:hint="eastAsia" w:ascii="Times New Roman" w:hAnsi="Times New Roman" w:cs="Times New Roman"/>
          <w:color w:val="auto"/>
          <w:kern w:val="0"/>
          <w:sz w:val="32"/>
          <w:szCs w:val="32"/>
          <w:lang w:val="en-US" w:eastAsia="zh-CN"/>
        </w:rPr>
        <w:t>9</w:t>
      </w:r>
      <w:r>
        <w:rPr>
          <w:rFonts w:hint="default" w:ascii="Times New Roman" w:hAnsi="Times New Roman" w:eastAsia="仿宋_GB2312" w:cs="Times New Roman"/>
          <w:color w:val="auto"/>
          <w:kern w:val="0"/>
          <w:sz w:val="32"/>
          <w:szCs w:val="32"/>
        </w:rPr>
        <w:t>期</w:t>
      </w:r>
    </w:p>
    <w:p>
      <w:pPr>
        <w:keepNext w:val="0"/>
        <w:keepLines w:val="0"/>
        <w:pageBreakBefore w:val="0"/>
        <w:widowControl/>
        <w:kinsoku/>
        <w:wordWrap/>
        <w:overflowPunct/>
        <w:topLinePunct w:val="0"/>
        <w:autoSpaceDE/>
        <w:autoSpaceDN/>
        <w:bidi w:val="0"/>
        <w:adjustRightInd/>
        <w:snapToGrid/>
        <w:spacing w:line="560" w:lineRule="exact"/>
        <w:ind w:right="0" w:rightChars="0" w:firstLine="22"/>
        <w:jc w:val="center"/>
        <w:textAlignment w:val="baseline"/>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000000"/>
          <w:kern w:val="0"/>
          <w:sz w:val="32"/>
          <w:szCs w:val="32"/>
        </w:rPr>
        <w:t xml:space="preserve">南安市统计局  编       </w:t>
      </w:r>
      <w:r>
        <w:rPr>
          <w:rFonts w:hint="default" w:ascii="Times New Roman" w:hAnsi="Times New Roman" w:eastAsia="仿宋_GB2312" w:cs="Times New Roman"/>
          <w:color w:val="000000"/>
          <w:kern w:val="0"/>
          <w:sz w:val="32"/>
          <w:szCs w:val="32"/>
          <w:lang w:val="en-US" w:eastAsia="zh-CN"/>
        </w:rPr>
        <w:t xml:space="preserve"> </w:t>
      </w:r>
      <w:r>
        <w:rPr>
          <w:rFonts w:hint="default" w:ascii="Times New Roman" w:hAnsi="Times New Roman" w:eastAsia="仿宋_GB2312" w:cs="Times New Roman"/>
          <w:color w:val="000000"/>
          <w:kern w:val="0"/>
          <w:sz w:val="32"/>
          <w:szCs w:val="32"/>
        </w:rPr>
        <w:t xml:space="preserve">   </w:t>
      </w:r>
      <w:r>
        <w:rPr>
          <w:rFonts w:hint="eastAsia" w:ascii="Times New Roman" w:hAnsi="Times New Roman" w:eastAsia="仿宋_GB2312" w:cs="Times New Roman"/>
          <w:color w:val="000000"/>
          <w:kern w:val="0"/>
          <w:sz w:val="32"/>
          <w:szCs w:val="32"/>
          <w:lang w:val="en-US" w:eastAsia="zh-CN"/>
        </w:rPr>
        <w:t xml:space="preserve">                          </w:t>
      </w:r>
      <w:r>
        <w:rPr>
          <w:rFonts w:hint="default" w:ascii="Times New Roman" w:hAnsi="Times New Roman" w:eastAsia="仿宋_GB2312" w:cs="Times New Roman"/>
          <w:color w:val="000000"/>
          <w:kern w:val="0"/>
          <w:sz w:val="32"/>
          <w:szCs w:val="32"/>
        </w:rPr>
        <w:t xml:space="preserve">       </w:t>
      </w:r>
      <w:r>
        <w:rPr>
          <w:rFonts w:hint="default" w:ascii="Times New Roman" w:hAnsi="Times New Roman" w:eastAsia="仿宋_GB2312" w:cs="Times New Roman"/>
          <w:color w:val="000000"/>
          <w:kern w:val="0"/>
          <w:sz w:val="32"/>
          <w:szCs w:val="32"/>
          <w:lang w:val="en-US" w:eastAsia="zh-CN"/>
        </w:rPr>
        <w:t xml:space="preserve"> </w:t>
      </w:r>
      <w:r>
        <w:rPr>
          <w:rFonts w:hint="default" w:ascii="Times New Roman" w:hAnsi="Times New Roman" w:eastAsia="仿宋_GB2312" w:cs="Times New Roman"/>
          <w:color w:val="000000"/>
          <w:kern w:val="0"/>
          <w:sz w:val="32"/>
          <w:szCs w:val="32"/>
        </w:rPr>
        <w:t xml:space="preserve">   </w:t>
      </w:r>
      <w:r>
        <w:rPr>
          <w:rFonts w:hint="default" w:ascii="Times New Roman" w:hAnsi="Times New Roman" w:eastAsia="仿宋_GB2312" w:cs="Times New Roman"/>
          <w:color w:val="auto"/>
          <w:kern w:val="0"/>
          <w:sz w:val="32"/>
          <w:szCs w:val="32"/>
          <w:lang w:val="en-US" w:eastAsia="zh-CN"/>
        </w:rPr>
        <w:t xml:space="preserve"> </w:t>
      </w:r>
      <w:r>
        <w:rPr>
          <w:rFonts w:hint="default" w:ascii="Times New Roman" w:hAnsi="Times New Roman" w:eastAsia="仿宋_GB2312" w:cs="Times New Roman"/>
          <w:color w:val="auto"/>
          <w:kern w:val="0"/>
          <w:sz w:val="32"/>
          <w:szCs w:val="32"/>
        </w:rPr>
        <w:t>202</w:t>
      </w:r>
      <w:r>
        <w:rPr>
          <w:rFonts w:hint="default" w:ascii="Times New Roman" w:hAnsi="Times New Roman" w:cs="Times New Roman"/>
          <w:color w:val="auto"/>
          <w:kern w:val="0"/>
          <w:sz w:val="32"/>
          <w:szCs w:val="32"/>
          <w:lang w:val="en-US" w:eastAsia="zh-CN"/>
        </w:rPr>
        <w:t>5</w:t>
      </w:r>
      <w:r>
        <w:rPr>
          <w:rFonts w:hint="default" w:ascii="Times New Roman" w:hAnsi="Times New Roman" w:eastAsia="仿宋_GB2312" w:cs="Times New Roman"/>
          <w:color w:val="auto"/>
          <w:kern w:val="0"/>
          <w:sz w:val="32"/>
          <w:szCs w:val="32"/>
        </w:rPr>
        <w:t>年</w:t>
      </w:r>
      <w:r>
        <w:rPr>
          <w:rFonts w:hint="eastAsia" w:ascii="Times New Roman" w:hAnsi="Times New Roman" w:cs="Times New Roman"/>
          <w:color w:val="auto"/>
          <w:kern w:val="0"/>
          <w:sz w:val="32"/>
          <w:szCs w:val="32"/>
          <w:lang w:val="en-US" w:eastAsia="zh-CN"/>
        </w:rPr>
        <w:t>8</w:t>
      </w:r>
      <w:r>
        <w:rPr>
          <w:rFonts w:hint="default" w:ascii="Times New Roman" w:hAnsi="Times New Roman" w:eastAsia="仿宋_GB2312" w:cs="Times New Roman"/>
          <w:color w:val="auto"/>
          <w:kern w:val="0"/>
          <w:sz w:val="32"/>
          <w:szCs w:val="32"/>
        </w:rPr>
        <w:t>月</w:t>
      </w:r>
      <w:r>
        <w:rPr>
          <w:rFonts w:hint="eastAsia" w:ascii="Times New Roman" w:hAnsi="Times New Roman" w:cs="Times New Roman"/>
          <w:color w:val="auto"/>
          <w:kern w:val="0"/>
          <w:sz w:val="32"/>
          <w:szCs w:val="32"/>
          <w:lang w:val="en-US" w:eastAsia="zh-CN"/>
        </w:rPr>
        <w:t>13</w:t>
      </w:r>
      <w:r>
        <w:rPr>
          <w:rFonts w:hint="default" w:ascii="Times New Roman" w:hAnsi="Times New Roman" w:eastAsia="仿宋_GB2312" w:cs="Times New Roman"/>
          <w:color w:val="auto"/>
          <w:kern w:val="0"/>
          <w:sz w:val="32"/>
          <w:szCs w:val="32"/>
        </w:rPr>
        <w:t>日</w:t>
      </w:r>
    </w:p>
    <w:p>
      <w:pPr>
        <w:keepNext w:val="0"/>
        <w:keepLines w:val="0"/>
        <w:pageBreakBefore w:val="0"/>
        <w:kinsoku/>
        <w:wordWrap/>
        <w:overflowPunct/>
        <w:topLinePunct w:val="0"/>
        <w:autoSpaceDE/>
        <w:autoSpaceDN/>
        <w:bidi w:val="0"/>
        <w:adjustRightInd/>
        <w:snapToGrid/>
        <w:spacing w:line="560" w:lineRule="exact"/>
        <w:ind w:right="0" w:rightChars="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微软雅黑" w:cs="Times New Roman"/>
          <w:sz w:val="44"/>
          <w:szCs w:val="44"/>
        </w:rPr>
        <mc:AlternateContent>
          <mc:Choice Requires="wps">
            <w:drawing>
              <wp:anchor distT="0" distB="0" distL="114300" distR="114300" simplePos="0" relativeHeight="251661312" behindDoc="0" locked="0" layoutInCell="1" allowOverlap="1">
                <wp:simplePos x="0" y="0"/>
                <wp:positionH relativeFrom="column">
                  <wp:posOffset>-194310</wp:posOffset>
                </wp:positionH>
                <wp:positionV relativeFrom="paragraph">
                  <wp:posOffset>103505</wp:posOffset>
                </wp:positionV>
                <wp:extent cx="6125845" cy="76200"/>
                <wp:effectExtent l="7620" t="7620" r="13335" b="17780"/>
                <wp:wrapNone/>
                <wp:docPr id="13" name="流程图: 过程 13"/>
                <wp:cNvGraphicFramePr/>
                <a:graphic xmlns:a="http://schemas.openxmlformats.org/drawingml/2006/main">
                  <a:graphicData uri="http://schemas.microsoft.com/office/word/2010/wordprocessingShape">
                    <wps:wsp>
                      <wps:cNvSpPr/>
                      <wps:spPr>
                        <a:xfrm flipV="1">
                          <a:off x="0" y="0"/>
                          <a:ext cx="6125845" cy="76200"/>
                        </a:xfrm>
                        <a:prstGeom prst="flowChartProcess">
                          <a:avLst/>
                        </a:prstGeom>
                        <a:solidFill>
                          <a:srgbClr val="FF0000"/>
                        </a:solidFill>
                        <a:ln w="15875" cap="flat" cmpd="sng">
                          <a:solidFill>
                            <a:srgbClr val="FFFFFF"/>
                          </a:solidFill>
                          <a:prstDash val="solid"/>
                          <a:miter/>
                          <a:headEnd type="none" w="med" len="med"/>
                          <a:tailEnd type="none" w="med" len="med"/>
                        </a:ln>
                        <a:effectLst/>
                      </wps:spPr>
                      <wps:bodyPr upright="1"/>
                    </wps:wsp>
                  </a:graphicData>
                </a:graphic>
              </wp:anchor>
            </w:drawing>
          </mc:Choice>
          <mc:Fallback>
            <w:pict>
              <v:shape id="_x0000_s1026" o:spid="_x0000_s1026" o:spt="109" type="#_x0000_t109" style="position:absolute;left:0pt;flip:y;margin-left:-15.3pt;margin-top:8.15pt;height:6pt;width:482.35pt;z-index:251661312;mso-width-relative:page;mso-height-relative:page;" fillcolor="#FF0000" filled="t" stroked="t" coordsize="21600,21600" o:gfxdata="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v+HvtkA&#10;AAAJAQAADwAAAAAAAAABACAAAAAiAAAAZHJzL2Rvd25yZXYueG1sUEsBAhQAFAAAAAgAh07iQIDE&#10;rrQeAgAATwQAAA4AAAAAAAAAAQAgAAAAKAEAAGRycy9lMm9Eb2MueG1sUEsFBgAAAAAGAAYAWQEA&#10;ALgFAAAAAA==&#10;">
                <v:fill on="t" focussize="0,0"/>
                <v:stroke weight="1.25pt" color="#FFFFFF"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before="181" w:beforeLines="50" w:after="157" w:afterLines="50" w:line="560" w:lineRule="exact"/>
        <w:jc w:val="center"/>
        <w:textAlignment w:val="auto"/>
        <w:outlineLvl w:val="0"/>
        <w:rPr>
          <w:rFonts w:hint="eastAsia"/>
          <w:sz w:val="32"/>
          <w:szCs w:val="32"/>
          <w:lang w:val="en-US" w:eastAsia="zh-CN"/>
        </w:rPr>
      </w:pPr>
      <w:r>
        <w:rPr>
          <w:rFonts w:hint="eastAsia" w:ascii="方正小标宋简体" w:hAnsi="方正小标宋简体" w:eastAsia="方正小标宋简体" w:cs="方正小标宋简体"/>
          <w:b w:val="0"/>
          <w:bCs w:val="0"/>
          <w:kern w:val="2"/>
          <w:sz w:val="44"/>
          <w:szCs w:val="44"/>
          <w:lang w:val="en-US" w:eastAsia="zh-CN" w:bidi="ar-SA"/>
        </w:rPr>
        <w:t>2025年上半年南安市建筑业统计分析</w:t>
      </w:r>
    </w:p>
    <w:p>
      <w:pPr>
        <w:keepNext w:val="0"/>
        <w:keepLines w:val="0"/>
        <w:pageBreakBefore w:val="0"/>
        <w:widowControl/>
        <w:numPr>
          <w:ilvl w:val="0"/>
          <w:numId w:val="0"/>
        </w:numPr>
        <w:kinsoku/>
        <w:wordWrap/>
        <w:overflowPunct/>
        <w:topLinePunct w:val="0"/>
        <w:autoSpaceDE/>
        <w:autoSpaceDN/>
        <w:bidi w:val="0"/>
        <w:adjustRightInd/>
        <w:snapToGrid/>
        <w:spacing w:before="541" w:beforeLines="150" w:line="560" w:lineRule="exact"/>
        <w:ind w:left="0" w:leftChars="0" w:right="0" w:rightChars="0" w:firstLine="640" w:firstLineChars="200"/>
        <w:jc w:val="both"/>
        <w:textAlignment w:val="auto"/>
        <w:outlineLvl w:val="0"/>
        <w:rPr>
          <w:rFonts w:hint="default" w:ascii="Times New Roman" w:hAnsi="Times New Roman" w:eastAsia="黑体" w:cs="Times New Roman"/>
          <w:bCs/>
          <w:color w:val="auto"/>
          <w:kern w:val="0"/>
          <w:sz w:val="32"/>
          <w:szCs w:val="32"/>
          <w:highlight w:val="none"/>
          <w:lang w:val="en-US" w:eastAsia="zh-CN" w:bidi="ar-SA"/>
        </w:rPr>
      </w:pPr>
      <w:r>
        <w:rPr>
          <w:rFonts w:hint="eastAsia" w:ascii="Times New Roman" w:hAnsi="Times New Roman" w:eastAsia="黑体" w:cs="Times New Roman"/>
          <w:bCs/>
          <w:color w:val="auto"/>
          <w:kern w:val="0"/>
          <w:sz w:val="32"/>
          <w:szCs w:val="32"/>
          <w:lang w:val="en-US" w:eastAsia="zh-CN" w:bidi="ar-SA"/>
        </w:rPr>
        <w:t>一、</w:t>
      </w:r>
      <w:r>
        <w:rPr>
          <w:rFonts w:hint="default" w:ascii="Times New Roman" w:hAnsi="Times New Roman" w:eastAsia="黑体" w:cs="Times New Roman"/>
          <w:bCs/>
          <w:color w:val="auto"/>
          <w:kern w:val="0"/>
          <w:sz w:val="32"/>
          <w:szCs w:val="32"/>
          <w:highlight w:val="none"/>
          <w:lang w:val="en-US" w:eastAsia="zh-CN" w:bidi="ar-SA"/>
        </w:rPr>
        <w:t>产值行业态势：结构与韧性凸显双特征​</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560" w:lineRule="exact"/>
        <w:ind w:left="0" w:leftChars="0" w:right="0" w:rightChars="0" w:firstLine="643" w:firstLineChars="200"/>
        <w:jc w:val="both"/>
        <w:textAlignment w:val="auto"/>
        <w:outlineLvl w:val="1"/>
        <w:rPr>
          <w:rFonts w:hint="default" w:ascii="Times New Roman" w:hAnsi="Times New Roman" w:eastAsia="楷体" w:cs="Times New Roman"/>
          <w:b/>
          <w:bCs/>
          <w:kern w:val="0"/>
          <w:sz w:val="32"/>
          <w:szCs w:val="32"/>
          <w:highlight w:val="none"/>
          <w:lang w:val="en-US" w:eastAsia="zh-CN" w:bidi="ar-SA"/>
        </w:rPr>
      </w:pPr>
      <w:r>
        <w:rPr>
          <w:rFonts w:hint="default" w:ascii="Times New Roman" w:hAnsi="Times New Roman" w:eastAsia="楷体" w:cs="Times New Roman"/>
          <w:b/>
          <w:bCs/>
          <w:kern w:val="0"/>
          <w:sz w:val="32"/>
          <w:szCs w:val="32"/>
          <w:lang w:val="en-US" w:eastAsia="zh-CN" w:bidi="ar-SA"/>
        </w:rPr>
        <w:t>（一）</w:t>
      </w:r>
      <w:r>
        <w:rPr>
          <w:rFonts w:hint="default" w:ascii="Times New Roman" w:hAnsi="Times New Roman" w:eastAsia="楷体" w:cs="Times New Roman"/>
          <w:b/>
          <w:bCs/>
          <w:kern w:val="0"/>
          <w:sz w:val="32"/>
          <w:szCs w:val="32"/>
          <w:highlight w:val="none"/>
          <w:lang w:val="en-US" w:eastAsia="zh-CN" w:bidi="ar-SA"/>
        </w:rPr>
        <w:t>细分领域与行业结构发展差距显著</w:t>
      </w:r>
    </w:p>
    <w:p>
      <w:pPr>
        <w:keepNext w:val="0"/>
        <w:keepLines w:val="0"/>
        <w:pageBreakBefore w:val="0"/>
        <w:kinsoku/>
        <w:wordWrap/>
        <w:overflowPunct/>
        <w:topLinePunct w:val="0"/>
        <w:autoSpaceDE/>
        <w:autoSpaceDN/>
        <w:bidi w:val="0"/>
        <w:adjustRightInd w:val="0"/>
        <w:snapToGrid w:val="0"/>
        <w:spacing w:line="560" w:lineRule="exact"/>
        <w:ind w:left="0"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2025年上半年在统资质以上建筑业企业162家，建筑业产值同比增长5.2%。</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宋体" w:eastAsia="仿宋_GB2312" w:cs="宋体"/>
          <w:color w:val="auto"/>
          <w:kern w:val="0"/>
          <w:sz w:val="32"/>
          <w:szCs w:val="32"/>
        </w:rPr>
        <w:object>
          <v:shape id="_x0000_i1025" o:spt="75" alt="oleetimg_1737619656204178_793984896" type="#_x0000_t75" style="height:211.2pt;width:360.3pt;" o:ole="t" filled="f" o:preferrelative="t" stroked="f" coordsize="21600,21600">
            <v:path/>
            <v:fill on="f" focussize="0,0"/>
            <v:stroke on="f"/>
            <v:imagedata r:id="rId6" o:title="oleetimg_1753340304784196_1022136704"/>
            <o:lock v:ext="edit" aspectratio="f"/>
            <w10:wrap type="none"/>
            <w10:anchorlock/>
          </v:shape>
          <o:OLEObject Type="Embed" ProgID="excel.sheet.8" ShapeID="_x0000_i1025" DrawAspect="Content" ObjectID="_1468075725" r:id="rId5">
            <o:LockedField>false</o:LockedField>
          </o:OLEObject>
        </w:object>
      </w:r>
      <w:r>
        <w:rPr>
          <w:rFonts w:hint="eastAsia" w:ascii="仿宋_GB2312" w:hAnsi="仿宋_GB2312" w:eastAsia="仿宋_GB2312" w:cs="仿宋_GB2312"/>
          <w:b/>
          <w:bCs/>
          <w:kern w:val="2"/>
          <w:sz w:val="32"/>
          <w:szCs w:val="32"/>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楷体" w:hAnsi="楷体" w:eastAsia="楷体" w:cs="楷体"/>
          <w:b w:val="0"/>
          <w:bCs w:val="0"/>
          <w:color w:val="auto"/>
          <w:sz w:val="30"/>
          <w:szCs w:val="30"/>
          <w:highlight w:val="none"/>
          <w:lang w:val="en-US" w:eastAsia="zh-CN"/>
        </w:rPr>
      </w:pPr>
      <w:r>
        <w:rPr>
          <w:rFonts w:hint="eastAsia" w:ascii="楷体" w:hAnsi="楷体" w:eastAsia="楷体" w:cs="楷体"/>
          <w:b w:val="0"/>
          <w:bCs w:val="0"/>
          <w:color w:val="auto"/>
          <w:sz w:val="30"/>
          <w:szCs w:val="30"/>
          <w:highlight w:val="none"/>
          <w:lang w:val="en-US" w:eastAsia="zh-CN"/>
        </w:rPr>
        <w:t>图1  2025年上半年南安市建筑业总产值走势图</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cs="Times New Roman"/>
          <w:sz w:val="32"/>
          <w:szCs w:val="32"/>
        </w:rPr>
      </w:pPr>
      <w:r>
        <w:rPr>
          <w:rFonts w:hint="default" w:ascii="Times New Roman" w:hAnsi="Times New Roman" w:eastAsia="仿宋_GB2312" w:cs="Times New Roman"/>
          <w:b/>
          <w:bCs/>
          <w:kern w:val="2"/>
          <w:sz w:val="32"/>
          <w:szCs w:val="32"/>
          <w:lang w:val="en-US" w:eastAsia="zh-CN" w:bidi="ar-SA"/>
        </w:rPr>
        <w:t>从产值构成看，</w:t>
      </w:r>
      <w:r>
        <w:rPr>
          <w:rFonts w:hint="default" w:ascii="Times New Roman" w:hAnsi="Times New Roman" w:eastAsia="仿宋_GB2312" w:cs="Times New Roman"/>
          <w:b w:val="0"/>
          <w:bCs w:val="0"/>
          <w:kern w:val="2"/>
          <w:sz w:val="32"/>
          <w:szCs w:val="32"/>
          <w:lang w:val="en-US" w:eastAsia="zh-CN" w:bidi="ar-SA"/>
        </w:rPr>
        <w:t>建筑工程产值占据绝对主导地位，占全市总产值比重97.0%，同比增长7.6%，拉动增长7.2个百分点，贡献率达137.8%；安装工程和其他建筑业产值占比仅1.2%和1.8%，均呈大幅下降态势，降幅分别达51.1%和26.3%，呈现“一极独大、两极萎缩”的格局，内部细分领域结构分化，对比鲜明。</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从行业类型看，</w:t>
      </w:r>
      <w:r>
        <w:rPr>
          <w:rFonts w:hint="default" w:ascii="Times New Roman" w:hAnsi="Times New Roman" w:eastAsia="仿宋_GB2312" w:cs="Times New Roman"/>
          <w:b w:val="0"/>
          <w:bCs w:val="0"/>
          <w:kern w:val="2"/>
          <w:sz w:val="32"/>
          <w:szCs w:val="32"/>
          <w:lang w:val="en-US" w:eastAsia="zh-CN" w:bidi="ar-SA"/>
        </w:rPr>
        <w:t>房屋建筑业和土木工程建筑业协同发力，占比共计91.0%，分别增长6.6%和4.7%，建筑装饰、装修和其他建筑业占比仅9.1%，下降0.8%，建筑安装业上半年保持零产值，行业间的发展差距持续拉大。</w:t>
      </w:r>
    </w:p>
    <w:p>
      <w:pPr>
        <w:pStyle w:val="14"/>
        <w:ind w:left="0" w:leftChars="0" w:firstLine="0" w:firstLineChars="0"/>
        <w:jc w:val="center"/>
        <w:rPr>
          <w:rFonts w:hint="eastAsia"/>
          <w:sz w:val="32"/>
          <w:szCs w:val="32"/>
          <w:lang w:val="en-US" w:eastAsia="zh-CN"/>
        </w:rPr>
      </w:pPr>
      <w:r>
        <w:rPr>
          <w:sz w:val="32"/>
          <w:szCs w:val="32"/>
        </w:rPr>
        <w:drawing>
          <wp:inline distT="0" distB="0" distL="114300" distR="114300">
            <wp:extent cx="5090160" cy="28067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rcRect l="11160" t="21802" b="24661"/>
                    <a:stretch>
                      <a:fillRect/>
                    </a:stretch>
                  </pic:blipFill>
                  <pic:spPr>
                    <a:xfrm>
                      <a:off x="0" y="0"/>
                      <a:ext cx="5090160" cy="28067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楷体" w:hAnsi="楷体" w:eastAsia="楷体" w:cs="楷体"/>
          <w:b w:val="0"/>
          <w:bCs w:val="0"/>
          <w:color w:val="auto"/>
          <w:sz w:val="32"/>
          <w:szCs w:val="32"/>
          <w:highlight w:val="none"/>
          <w:lang w:val="en-US" w:eastAsia="zh-CN"/>
        </w:rPr>
      </w:pPr>
      <w:r>
        <w:rPr>
          <w:rFonts w:hint="eastAsia" w:ascii="楷体" w:hAnsi="楷体" w:eastAsia="楷体" w:cs="楷体"/>
          <w:b w:val="0"/>
          <w:bCs w:val="0"/>
          <w:color w:val="auto"/>
          <w:sz w:val="32"/>
          <w:szCs w:val="32"/>
          <w:highlight w:val="none"/>
          <w:lang w:val="en-US" w:eastAsia="zh-CN"/>
        </w:rPr>
        <w:t>图2  2025年上半年南安市建筑业产值构成图</w:t>
      </w:r>
    </w:p>
    <w:p>
      <w:pPr>
        <w:keepNext w:val="0"/>
        <w:keepLines w:val="0"/>
        <w:pageBreakBefore w:val="0"/>
        <w:widowControl w:val="0"/>
        <w:kinsoku/>
        <w:wordWrap/>
        <w:overflowPunct/>
        <w:topLinePunct w:val="0"/>
        <w:autoSpaceDE/>
        <w:autoSpaceDN/>
        <w:bidi w:val="0"/>
        <w:adjustRightInd w:val="0"/>
        <w:snapToGrid w:val="0"/>
        <w:spacing w:before="181" w:beforeLines="50" w:line="560" w:lineRule="exact"/>
        <w:ind w:firstLine="643"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从资质级别看，</w:t>
      </w:r>
      <w:r>
        <w:rPr>
          <w:rFonts w:hint="default" w:ascii="Times New Roman" w:hAnsi="Times New Roman" w:eastAsia="仿宋_GB2312" w:cs="Times New Roman"/>
          <w:b w:val="0"/>
          <w:bCs w:val="0"/>
          <w:kern w:val="2"/>
          <w:sz w:val="32"/>
          <w:szCs w:val="32"/>
          <w:lang w:val="en-US" w:eastAsia="zh-CN" w:bidi="ar-SA"/>
        </w:rPr>
        <w:t>企业资质级别间分化显著，其中一级资质企业数量占比22.2%，占总产值比重76.0%，同比增长8.7%，拉动增长6.4个百分点，增长贡献率为122.5%，产值结构对一级企业具有极高依赖性。</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560" w:lineRule="exact"/>
        <w:ind w:left="-210" w:leftChars="0" w:right="0" w:rightChars="0" w:firstLine="643" w:firstLineChars="200"/>
        <w:jc w:val="left"/>
        <w:textAlignment w:val="auto"/>
        <w:outlineLvl w:val="1"/>
        <w:rPr>
          <w:rFonts w:hint="default" w:ascii="Times New Roman" w:hAnsi="Times New Roman" w:eastAsia="楷体" w:cs="Times New Roman"/>
          <w:b/>
          <w:bCs/>
          <w:kern w:val="0"/>
          <w:sz w:val="32"/>
          <w:szCs w:val="32"/>
          <w:highlight w:val="none"/>
          <w:lang w:val="en-US" w:eastAsia="zh-CN" w:bidi="ar-SA"/>
        </w:rPr>
      </w:pPr>
      <w:r>
        <w:rPr>
          <w:rFonts w:hint="default" w:ascii="Times New Roman" w:hAnsi="Times New Roman" w:eastAsia="楷体" w:cs="Times New Roman"/>
          <w:b/>
          <w:bCs/>
          <w:kern w:val="0"/>
          <w:sz w:val="32"/>
          <w:szCs w:val="32"/>
          <w:lang w:val="en-US" w:eastAsia="zh-CN" w:bidi="ar-SA"/>
        </w:rPr>
        <w:t>（二）</w:t>
      </w:r>
      <w:r>
        <w:rPr>
          <w:rFonts w:hint="default" w:ascii="Times New Roman" w:hAnsi="Times New Roman" w:eastAsia="楷体" w:cs="Times New Roman"/>
          <w:b/>
          <w:bCs/>
          <w:kern w:val="0"/>
          <w:sz w:val="32"/>
          <w:szCs w:val="32"/>
          <w:highlight w:val="none"/>
          <w:lang w:val="en-US" w:eastAsia="zh-CN" w:bidi="ar-SA"/>
        </w:rPr>
        <w:t>核心板块与优质主体支撑作用突出​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尽管行业内部存在明显的结构分化，但建筑业的韧性在核心领域和优质企业中依然凸显。</w:t>
      </w:r>
    </w:p>
    <w:p>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从行业类型看，</w:t>
      </w:r>
      <w:r>
        <w:rPr>
          <w:rFonts w:hint="default" w:ascii="Times New Roman" w:hAnsi="Times New Roman" w:eastAsia="仿宋_GB2312" w:cs="Times New Roman"/>
          <w:b w:val="0"/>
          <w:bCs w:val="0"/>
          <w:kern w:val="2"/>
          <w:sz w:val="32"/>
          <w:szCs w:val="32"/>
          <w:lang w:val="en-US" w:eastAsia="zh-CN" w:bidi="ar-SA"/>
        </w:rPr>
        <w:t>房屋建筑业和土木工程建筑业作为两大支柱领域，面临市场波动和成本压力，聚焦民生住房、商业地产等刚性需求领域和基础设施建设领域，仍保持稳定增长，成为拉动行业前行的“双引擎”，增长贡献率高达101.4%</w:t>
      </w:r>
      <w:r>
        <w:rPr>
          <w:rFonts w:hint="eastAsia" w:ascii="仿宋_GB2312" w:hAnsi="仿宋_GB2312" w:eastAsia="仿宋_GB2312" w:cs="仿宋_GB2312"/>
          <w:b w:val="0"/>
          <w:bCs w:val="0"/>
          <w:kern w:val="2"/>
          <w:sz w:val="32"/>
          <w:szCs w:val="32"/>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楷体" w:hAnsi="楷体" w:eastAsia="楷体" w:cs="楷体"/>
          <w:b w:val="0"/>
          <w:bCs w:val="0"/>
          <w:color w:val="auto"/>
          <w:sz w:val="30"/>
          <w:szCs w:val="30"/>
          <w:highlight w:val="none"/>
          <w:lang w:val="en-US" w:eastAsia="zh-CN"/>
        </w:rPr>
      </w:pPr>
      <w:r>
        <w:rPr>
          <w:rFonts w:hint="eastAsia" w:ascii="楷体" w:hAnsi="楷体" w:eastAsia="楷体" w:cs="楷体"/>
          <w:b w:val="0"/>
          <w:bCs w:val="0"/>
          <w:color w:val="auto"/>
          <w:sz w:val="30"/>
          <w:szCs w:val="30"/>
          <w:highlight w:val="none"/>
          <w:lang w:val="en-US" w:eastAsia="zh-CN"/>
        </w:rPr>
        <w:t>表1  2025年上半年南安市建筑业产值结构图（分级别）</w:t>
      </w:r>
    </w:p>
    <w:tbl>
      <w:tblPr>
        <w:tblStyle w:val="15"/>
        <w:tblW w:w="9294" w:type="dxa"/>
        <w:tblInd w:w="-23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33"/>
        <w:gridCol w:w="1112"/>
        <w:gridCol w:w="1512"/>
        <w:gridCol w:w="1400"/>
        <w:gridCol w:w="1072"/>
        <w:gridCol w:w="1285"/>
        <w:gridCol w:w="12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9" w:hRule="atLeast"/>
        </w:trPr>
        <w:tc>
          <w:tcPr>
            <w:tcW w:w="1633" w:type="dxa"/>
            <w:tcBorders>
              <w:top w:val="single" w:color="000000" w:sz="12" w:space="0"/>
              <w:left w:val="nil"/>
              <w:bottom w:val="single" w:color="000000" w:sz="6" w:space="0"/>
              <w:right w:val="single" w:color="000000"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i w:val="0"/>
                <w:iCs w:val="0"/>
                <w:color w:val="000000"/>
                <w:sz w:val="28"/>
                <w:szCs w:val="28"/>
                <w:u w:val="none"/>
              </w:rPr>
            </w:pPr>
            <w:r>
              <w:rPr>
                <w:rFonts w:hint="default" w:ascii="Times New Roman" w:hAnsi="Times New Roman" w:eastAsia="仿宋_GB2312" w:cs="Times New Roman"/>
                <w:b/>
                <w:bCs/>
                <w:i w:val="0"/>
                <w:iCs w:val="0"/>
                <w:color w:val="000000"/>
                <w:kern w:val="0"/>
                <w:sz w:val="28"/>
                <w:szCs w:val="28"/>
                <w:u w:val="none"/>
                <w:lang w:val="en-US" w:eastAsia="zh-CN" w:bidi="ar"/>
              </w:rPr>
              <w:t>资质级别</w:t>
            </w:r>
          </w:p>
        </w:tc>
        <w:tc>
          <w:tcPr>
            <w:tcW w:w="1112" w:type="dxa"/>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i w:val="0"/>
                <w:iCs w:val="0"/>
                <w:color w:val="000000"/>
                <w:kern w:val="0"/>
                <w:sz w:val="28"/>
                <w:szCs w:val="28"/>
                <w:u w:val="none"/>
                <w:lang w:val="en-US" w:eastAsia="zh-CN" w:bidi="ar"/>
              </w:rPr>
            </w:pPr>
            <w:r>
              <w:rPr>
                <w:rFonts w:hint="default" w:ascii="Times New Roman" w:hAnsi="Times New Roman" w:eastAsia="仿宋_GB2312" w:cs="Times New Roman"/>
                <w:b/>
                <w:bCs/>
                <w:i w:val="0"/>
                <w:iCs w:val="0"/>
                <w:color w:val="000000"/>
                <w:kern w:val="0"/>
                <w:sz w:val="28"/>
                <w:szCs w:val="28"/>
                <w:u w:val="none"/>
                <w:lang w:val="en-US" w:eastAsia="zh-CN" w:bidi="ar"/>
              </w:rPr>
              <w:t>企业数</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i w:val="0"/>
                <w:iCs w:val="0"/>
                <w:color w:val="000000"/>
                <w:sz w:val="28"/>
                <w:szCs w:val="28"/>
                <w:u w:val="none"/>
              </w:rPr>
            </w:pPr>
            <w:r>
              <w:rPr>
                <w:rFonts w:hint="default" w:ascii="Times New Roman" w:hAnsi="Times New Roman" w:eastAsia="仿宋_GB2312" w:cs="Times New Roman"/>
                <w:b/>
                <w:bCs/>
                <w:i w:val="0"/>
                <w:iCs w:val="0"/>
                <w:color w:val="000000"/>
                <w:kern w:val="0"/>
                <w:sz w:val="28"/>
                <w:szCs w:val="28"/>
                <w:u w:val="none"/>
                <w:lang w:val="en-US" w:eastAsia="zh-CN" w:bidi="ar"/>
              </w:rPr>
              <w:t>（个）</w:t>
            </w:r>
          </w:p>
        </w:tc>
        <w:tc>
          <w:tcPr>
            <w:tcW w:w="1512" w:type="dxa"/>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i w:val="0"/>
                <w:iCs w:val="0"/>
                <w:color w:val="000000"/>
                <w:kern w:val="0"/>
                <w:sz w:val="28"/>
                <w:szCs w:val="28"/>
                <w:u w:val="none"/>
                <w:lang w:val="en-US" w:eastAsia="zh-CN" w:bidi="ar"/>
              </w:rPr>
            </w:pPr>
            <w:r>
              <w:rPr>
                <w:rFonts w:hint="default" w:ascii="Times New Roman" w:hAnsi="Times New Roman" w:eastAsia="仿宋_GB2312" w:cs="Times New Roman"/>
                <w:b/>
                <w:bCs/>
                <w:i w:val="0"/>
                <w:iCs w:val="0"/>
                <w:color w:val="000000"/>
                <w:kern w:val="0"/>
                <w:sz w:val="28"/>
                <w:szCs w:val="28"/>
                <w:u w:val="none"/>
                <w:lang w:val="en-US" w:eastAsia="zh-CN" w:bidi="ar"/>
              </w:rPr>
              <w:t>企业数</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i w:val="0"/>
                <w:iCs w:val="0"/>
                <w:color w:val="000000"/>
                <w:sz w:val="28"/>
                <w:szCs w:val="28"/>
                <w:u w:val="none"/>
              </w:rPr>
            </w:pPr>
            <w:r>
              <w:rPr>
                <w:rFonts w:hint="default" w:ascii="Times New Roman" w:hAnsi="Times New Roman" w:eastAsia="仿宋_GB2312" w:cs="Times New Roman"/>
                <w:b/>
                <w:bCs/>
                <w:i w:val="0"/>
                <w:iCs w:val="0"/>
                <w:color w:val="000000"/>
                <w:kern w:val="0"/>
                <w:sz w:val="28"/>
                <w:szCs w:val="28"/>
                <w:u w:val="none"/>
                <w:lang w:val="en-US" w:eastAsia="zh-CN" w:bidi="ar"/>
              </w:rPr>
              <w:t>占比（%）</w:t>
            </w:r>
          </w:p>
        </w:tc>
        <w:tc>
          <w:tcPr>
            <w:tcW w:w="1400" w:type="dxa"/>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i w:val="0"/>
                <w:iCs w:val="0"/>
                <w:color w:val="000000"/>
                <w:kern w:val="0"/>
                <w:sz w:val="28"/>
                <w:szCs w:val="28"/>
                <w:u w:val="none"/>
                <w:lang w:val="en-US" w:eastAsia="zh-CN" w:bidi="ar"/>
              </w:rPr>
            </w:pPr>
            <w:r>
              <w:rPr>
                <w:rFonts w:hint="default" w:ascii="Times New Roman" w:hAnsi="Times New Roman" w:eastAsia="仿宋_GB2312" w:cs="Times New Roman"/>
                <w:b/>
                <w:bCs/>
                <w:i w:val="0"/>
                <w:iCs w:val="0"/>
                <w:color w:val="000000"/>
                <w:kern w:val="0"/>
                <w:sz w:val="28"/>
                <w:szCs w:val="28"/>
                <w:u w:val="none"/>
                <w:lang w:val="en-US" w:eastAsia="zh-CN" w:bidi="ar"/>
              </w:rPr>
              <w:t>产值占比</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i w:val="0"/>
                <w:iCs w:val="0"/>
                <w:color w:val="000000"/>
                <w:sz w:val="28"/>
                <w:szCs w:val="28"/>
                <w:u w:val="none"/>
              </w:rPr>
            </w:pPr>
            <w:r>
              <w:rPr>
                <w:rFonts w:hint="default" w:ascii="Times New Roman" w:hAnsi="Times New Roman" w:eastAsia="仿宋_GB2312" w:cs="Times New Roman"/>
                <w:b/>
                <w:bCs/>
                <w:i w:val="0"/>
                <w:iCs w:val="0"/>
                <w:color w:val="000000"/>
                <w:kern w:val="0"/>
                <w:sz w:val="28"/>
                <w:szCs w:val="28"/>
                <w:u w:val="none"/>
                <w:lang w:val="en-US" w:eastAsia="zh-CN" w:bidi="ar"/>
              </w:rPr>
              <w:t>（%）</w:t>
            </w:r>
          </w:p>
        </w:tc>
        <w:tc>
          <w:tcPr>
            <w:tcW w:w="1072" w:type="dxa"/>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i w:val="0"/>
                <w:iCs w:val="0"/>
                <w:color w:val="000000"/>
                <w:sz w:val="28"/>
                <w:szCs w:val="28"/>
                <w:u w:val="none"/>
              </w:rPr>
            </w:pPr>
            <w:r>
              <w:rPr>
                <w:rFonts w:hint="default" w:ascii="Times New Roman" w:hAnsi="Times New Roman" w:eastAsia="仿宋_GB2312" w:cs="Times New Roman"/>
                <w:b/>
                <w:bCs/>
                <w:i w:val="0"/>
                <w:iCs w:val="0"/>
                <w:color w:val="000000"/>
                <w:kern w:val="0"/>
                <w:sz w:val="28"/>
                <w:szCs w:val="28"/>
                <w:u w:val="none"/>
                <w:lang w:val="en-US" w:eastAsia="zh-CN" w:bidi="ar"/>
              </w:rPr>
              <w:t>比增（%）</w:t>
            </w:r>
          </w:p>
        </w:tc>
        <w:tc>
          <w:tcPr>
            <w:tcW w:w="1285" w:type="dxa"/>
            <w:tcBorders>
              <w:top w:val="single" w:color="000000" w:sz="12" w:space="0"/>
              <w:left w:val="single" w:color="000000" w:sz="6" w:space="0"/>
              <w:bottom w:val="single" w:color="000000" w:sz="6" w:space="0"/>
              <w:right w:val="single" w:color="000000"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i w:val="0"/>
                <w:iCs w:val="0"/>
                <w:color w:val="000000"/>
                <w:sz w:val="28"/>
                <w:szCs w:val="28"/>
                <w:u w:val="none"/>
              </w:rPr>
            </w:pPr>
            <w:r>
              <w:rPr>
                <w:rFonts w:hint="default" w:ascii="Times New Roman" w:hAnsi="Times New Roman" w:eastAsia="仿宋_GB2312" w:cs="Times New Roman"/>
                <w:b/>
                <w:bCs/>
                <w:i w:val="0"/>
                <w:iCs w:val="0"/>
                <w:color w:val="000000"/>
                <w:kern w:val="0"/>
                <w:sz w:val="28"/>
                <w:szCs w:val="28"/>
                <w:u w:val="none"/>
                <w:lang w:val="en-US" w:eastAsia="zh-CN" w:bidi="ar"/>
              </w:rPr>
              <w:t>拉动增长…百分点</w:t>
            </w:r>
          </w:p>
        </w:tc>
        <w:tc>
          <w:tcPr>
            <w:tcW w:w="1280" w:type="dxa"/>
            <w:tcBorders>
              <w:top w:val="single" w:color="000000" w:sz="12" w:space="0"/>
              <w:left w:val="single" w:color="000000" w:sz="6" w:space="0"/>
              <w:bottom w:val="single" w:color="000000" w:sz="6"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b/>
                <w:bCs/>
                <w:i w:val="0"/>
                <w:iCs w:val="0"/>
                <w:color w:val="000000"/>
                <w:sz w:val="28"/>
                <w:szCs w:val="28"/>
                <w:u w:val="none"/>
              </w:rPr>
            </w:pPr>
            <w:r>
              <w:rPr>
                <w:rFonts w:hint="default" w:ascii="Times New Roman" w:hAnsi="Times New Roman" w:eastAsia="仿宋_GB2312" w:cs="Times New Roman"/>
                <w:b/>
                <w:bCs/>
                <w:i w:val="0"/>
                <w:iCs w:val="0"/>
                <w:color w:val="000000"/>
                <w:kern w:val="0"/>
                <w:sz w:val="28"/>
                <w:szCs w:val="28"/>
                <w:u w:val="none"/>
                <w:lang w:val="en-US" w:eastAsia="zh-CN" w:bidi="ar"/>
              </w:rPr>
              <w:t>增长贡献率（%）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633" w:type="dxa"/>
            <w:tcBorders>
              <w:top w:val="single" w:color="000000" w:sz="6"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b w:val="0"/>
                <w:bCs w:val="0"/>
                <w:i w:val="0"/>
                <w:iCs w:val="0"/>
                <w:color w:val="000000"/>
                <w:kern w:val="0"/>
                <w:sz w:val="28"/>
                <w:szCs w:val="28"/>
                <w:u w:val="none"/>
                <w:lang w:val="en-US" w:eastAsia="zh-CN" w:bidi="ar"/>
              </w:rPr>
              <w:t>一级</w:t>
            </w:r>
          </w:p>
        </w:tc>
        <w:tc>
          <w:tcPr>
            <w:tcW w:w="1112" w:type="dxa"/>
            <w:tcBorders>
              <w:top w:val="single" w:color="000000" w:sz="6"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b w:val="0"/>
                <w:bCs w:val="0"/>
                <w:i w:val="0"/>
                <w:iCs w:val="0"/>
                <w:color w:val="000000"/>
                <w:kern w:val="0"/>
                <w:sz w:val="28"/>
                <w:szCs w:val="28"/>
                <w:u w:val="none"/>
                <w:lang w:val="en-US" w:eastAsia="zh-CN" w:bidi="ar"/>
              </w:rPr>
              <w:t>36</w:t>
            </w:r>
          </w:p>
        </w:tc>
        <w:tc>
          <w:tcPr>
            <w:tcW w:w="1512" w:type="dxa"/>
            <w:tcBorders>
              <w:top w:val="single" w:color="000000" w:sz="6"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b w:val="0"/>
                <w:bCs w:val="0"/>
                <w:i w:val="0"/>
                <w:iCs w:val="0"/>
                <w:color w:val="000000"/>
                <w:kern w:val="0"/>
                <w:sz w:val="28"/>
                <w:szCs w:val="28"/>
                <w:u w:val="none"/>
                <w:lang w:val="en-US" w:eastAsia="zh-CN" w:bidi="ar"/>
              </w:rPr>
              <w:t>22.2%</w:t>
            </w:r>
          </w:p>
        </w:tc>
        <w:tc>
          <w:tcPr>
            <w:tcW w:w="1400" w:type="dxa"/>
            <w:tcBorders>
              <w:top w:val="single" w:color="000000" w:sz="6"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b w:val="0"/>
                <w:bCs w:val="0"/>
                <w:i w:val="0"/>
                <w:iCs w:val="0"/>
                <w:color w:val="000000"/>
                <w:kern w:val="0"/>
                <w:sz w:val="28"/>
                <w:szCs w:val="28"/>
                <w:u w:val="none"/>
                <w:lang w:val="en-US" w:eastAsia="zh-CN" w:bidi="ar"/>
              </w:rPr>
              <w:t>76.0%</w:t>
            </w:r>
          </w:p>
        </w:tc>
        <w:tc>
          <w:tcPr>
            <w:tcW w:w="1072" w:type="dxa"/>
            <w:tcBorders>
              <w:top w:val="single" w:color="000000" w:sz="6" w:space="0"/>
              <w:left w:val="single" w:color="000000" w:sz="8" w:space="0"/>
              <w:bottom w:val="single" w:color="000000" w:sz="8" w:space="0"/>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b w:val="0"/>
                <w:bCs w:val="0"/>
                <w:i w:val="0"/>
                <w:iCs w:val="0"/>
                <w:color w:val="000000"/>
                <w:kern w:val="0"/>
                <w:sz w:val="28"/>
                <w:szCs w:val="28"/>
                <w:u w:val="none"/>
                <w:lang w:val="en-US" w:eastAsia="zh-CN" w:bidi="ar"/>
              </w:rPr>
              <w:t>8.7%</w:t>
            </w:r>
          </w:p>
        </w:tc>
        <w:tc>
          <w:tcPr>
            <w:tcW w:w="1285" w:type="dxa"/>
            <w:tcBorders>
              <w:top w:val="single" w:color="000000" w:sz="6" w:space="0"/>
              <w:left w:val="single" w:color="000000" w:sz="8" w:space="0"/>
              <w:bottom w:val="single" w:color="000000" w:sz="8" w:space="0"/>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b w:val="0"/>
                <w:bCs w:val="0"/>
                <w:i w:val="0"/>
                <w:iCs w:val="0"/>
                <w:color w:val="000000"/>
                <w:kern w:val="0"/>
                <w:sz w:val="28"/>
                <w:szCs w:val="28"/>
                <w:u w:val="none"/>
                <w:lang w:val="en-US" w:eastAsia="zh-CN" w:bidi="ar"/>
              </w:rPr>
              <w:t xml:space="preserve">6.4 </w:t>
            </w:r>
          </w:p>
        </w:tc>
        <w:tc>
          <w:tcPr>
            <w:tcW w:w="1280" w:type="dxa"/>
            <w:tcBorders>
              <w:top w:val="single" w:color="000000" w:sz="6" w:space="0"/>
              <w:left w:val="single" w:color="000000" w:sz="8" w:space="0"/>
              <w:bottom w:val="single" w:color="000000" w:sz="8" w:space="0"/>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b w:val="0"/>
                <w:bCs w:val="0"/>
                <w:i w:val="0"/>
                <w:iCs w:val="0"/>
                <w:color w:val="000000"/>
                <w:kern w:val="0"/>
                <w:sz w:val="28"/>
                <w:szCs w:val="28"/>
                <w:u w:val="none"/>
                <w:lang w:val="en-US" w:eastAsia="zh-CN" w:bidi="ar"/>
              </w:rPr>
              <w:t>122.5%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 w:hRule="atLeast"/>
        </w:trPr>
        <w:tc>
          <w:tcPr>
            <w:tcW w:w="16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b w:val="0"/>
                <w:bCs w:val="0"/>
                <w:i w:val="0"/>
                <w:iCs w:val="0"/>
                <w:color w:val="000000"/>
                <w:kern w:val="0"/>
                <w:sz w:val="28"/>
                <w:szCs w:val="28"/>
                <w:u w:val="none"/>
                <w:lang w:val="en-US" w:eastAsia="zh-CN" w:bidi="ar"/>
              </w:rPr>
              <w:t>其他</w:t>
            </w:r>
          </w:p>
        </w:tc>
        <w:tc>
          <w:tcPr>
            <w:tcW w:w="11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126</w:t>
            </w:r>
          </w:p>
        </w:tc>
        <w:tc>
          <w:tcPr>
            <w:tcW w:w="15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77.8%</w:t>
            </w:r>
          </w:p>
        </w:tc>
        <w:tc>
          <w:tcPr>
            <w:tcW w:w="14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24.0%</w:t>
            </w:r>
          </w:p>
        </w:tc>
        <w:tc>
          <w:tcPr>
            <w:tcW w:w="1072" w:type="dxa"/>
            <w:tcBorders>
              <w:top w:val="nil"/>
              <w:left w:val="single" w:color="000000" w:sz="8" w:space="0"/>
              <w:bottom w:val="single" w:color="000000" w:sz="8" w:space="0"/>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-4.5%</w:t>
            </w:r>
          </w:p>
        </w:tc>
        <w:tc>
          <w:tcPr>
            <w:tcW w:w="1285" w:type="dxa"/>
            <w:tcBorders>
              <w:top w:val="nil"/>
              <w:left w:val="single" w:color="000000" w:sz="8" w:space="0"/>
              <w:bottom w:val="single" w:color="000000" w:sz="8" w:space="0"/>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 xml:space="preserve">-1.2 </w:t>
            </w:r>
          </w:p>
        </w:tc>
        <w:tc>
          <w:tcPr>
            <w:tcW w:w="1280" w:type="dxa"/>
            <w:tcBorders>
              <w:top w:val="nil"/>
              <w:left w:val="single" w:color="000000" w:sz="8" w:space="0"/>
              <w:bottom w:val="single" w:color="000000" w:sz="8" w:space="0"/>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6" w:hRule="atLeast"/>
        </w:trPr>
        <w:tc>
          <w:tcPr>
            <w:tcW w:w="1633" w:type="dxa"/>
            <w:tcBorders>
              <w:top w:val="nil"/>
              <w:left w:val="nil"/>
              <w:bottom w:val="single" w:color="000000" w:sz="12"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8"/>
                <w:szCs w:val="28"/>
                <w:u w:val="none"/>
              </w:rPr>
            </w:pPr>
            <w:r>
              <w:rPr>
                <w:rFonts w:hint="default" w:ascii="Times New Roman" w:hAnsi="Times New Roman" w:eastAsia="仿宋_GB2312" w:cs="Times New Roman"/>
                <w:b/>
                <w:bCs/>
                <w:i w:val="0"/>
                <w:iCs w:val="0"/>
                <w:color w:val="000000"/>
                <w:kern w:val="0"/>
                <w:sz w:val="28"/>
                <w:szCs w:val="28"/>
                <w:u w:val="none"/>
                <w:lang w:val="en-US" w:eastAsia="zh-CN" w:bidi="ar"/>
              </w:rPr>
              <w:t>合计</w:t>
            </w:r>
          </w:p>
        </w:tc>
        <w:tc>
          <w:tcPr>
            <w:tcW w:w="1112" w:type="dxa"/>
            <w:tcBorders>
              <w:top w:val="nil"/>
              <w:left w:val="nil"/>
              <w:bottom w:val="single" w:color="000000" w:sz="12"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b/>
                <w:bCs/>
                <w:i w:val="0"/>
                <w:iCs w:val="0"/>
                <w:color w:val="000000" w:themeColor="text1"/>
                <w:kern w:val="0"/>
                <w:sz w:val="28"/>
                <w:szCs w:val="28"/>
                <w:u w:val="none"/>
                <w:lang w:val="en-US" w:eastAsia="zh-CN" w:bidi="ar"/>
                <w14:textFill>
                  <w14:solidFill>
                    <w14:schemeClr w14:val="tx1"/>
                  </w14:solidFill>
                </w14:textFill>
              </w:rPr>
              <w:t>162</w:t>
            </w:r>
          </w:p>
        </w:tc>
        <w:tc>
          <w:tcPr>
            <w:tcW w:w="1512" w:type="dxa"/>
            <w:tcBorders>
              <w:top w:val="nil"/>
              <w:left w:val="nil"/>
              <w:bottom w:val="single" w:color="000000" w:sz="12"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themeColor="text1"/>
                <w:sz w:val="28"/>
                <w:szCs w:val="28"/>
                <w:u w:val="none"/>
                <w14:textFill>
                  <w14:solidFill>
                    <w14:schemeClr w14:val="tx1"/>
                  </w14:solidFill>
                </w14:textFill>
              </w:rPr>
            </w:pPr>
            <w:r>
              <w:rPr>
                <w:rFonts w:hint="default" w:ascii="Times New Roman" w:hAnsi="Times New Roman" w:eastAsia="仿宋_GB2312" w:cs="Times New Roman"/>
                <w:b/>
                <w:bCs/>
                <w:i w:val="0"/>
                <w:iCs w:val="0"/>
                <w:color w:val="000000" w:themeColor="text1"/>
                <w:kern w:val="0"/>
                <w:sz w:val="28"/>
                <w:szCs w:val="28"/>
                <w:u w:val="none"/>
                <w:lang w:val="en-US" w:eastAsia="zh-CN" w:bidi="ar"/>
                <w14:textFill>
                  <w14:solidFill>
                    <w14:schemeClr w14:val="tx1"/>
                  </w14:solidFill>
                </w14:textFill>
              </w:rPr>
              <w:t>100.0%</w:t>
            </w:r>
          </w:p>
        </w:tc>
        <w:tc>
          <w:tcPr>
            <w:tcW w:w="1400" w:type="dxa"/>
            <w:tcBorders>
              <w:top w:val="nil"/>
              <w:left w:val="nil"/>
              <w:bottom w:val="single" w:color="000000" w:sz="12"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8"/>
                <w:szCs w:val="28"/>
                <w:u w:val="none"/>
              </w:rPr>
            </w:pPr>
            <w:r>
              <w:rPr>
                <w:rFonts w:hint="default" w:ascii="Times New Roman" w:hAnsi="Times New Roman" w:eastAsia="仿宋_GB2312" w:cs="Times New Roman"/>
                <w:b/>
                <w:bCs/>
                <w:i w:val="0"/>
                <w:iCs w:val="0"/>
                <w:color w:val="000000"/>
                <w:kern w:val="0"/>
                <w:sz w:val="28"/>
                <w:szCs w:val="28"/>
                <w:u w:val="none"/>
                <w:lang w:val="en-US" w:eastAsia="zh-CN" w:bidi="ar"/>
              </w:rPr>
              <w:t>100.0%</w:t>
            </w:r>
          </w:p>
        </w:tc>
        <w:tc>
          <w:tcPr>
            <w:tcW w:w="1072" w:type="dxa"/>
            <w:tcBorders>
              <w:top w:val="nil"/>
              <w:left w:val="single" w:color="000000" w:sz="8" w:space="0"/>
              <w:bottom w:val="single" w:color="000000" w:sz="12" w:space="0"/>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8"/>
                <w:szCs w:val="28"/>
                <w:u w:val="none"/>
              </w:rPr>
            </w:pPr>
            <w:r>
              <w:rPr>
                <w:rFonts w:hint="default" w:ascii="Times New Roman" w:hAnsi="Times New Roman" w:eastAsia="仿宋_GB2312" w:cs="Times New Roman"/>
                <w:b/>
                <w:bCs/>
                <w:i w:val="0"/>
                <w:iCs w:val="0"/>
                <w:color w:val="000000"/>
                <w:kern w:val="0"/>
                <w:sz w:val="28"/>
                <w:szCs w:val="28"/>
                <w:u w:val="none"/>
                <w:lang w:val="en-US" w:eastAsia="zh-CN" w:bidi="ar"/>
              </w:rPr>
              <w:t>5.2%</w:t>
            </w:r>
          </w:p>
        </w:tc>
        <w:tc>
          <w:tcPr>
            <w:tcW w:w="1285" w:type="dxa"/>
            <w:tcBorders>
              <w:top w:val="nil"/>
              <w:left w:val="single" w:color="000000" w:sz="8" w:space="0"/>
              <w:bottom w:val="single" w:color="000000" w:sz="12" w:space="0"/>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8"/>
                <w:szCs w:val="28"/>
                <w:u w:val="none"/>
              </w:rPr>
            </w:pPr>
            <w:r>
              <w:rPr>
                <w:rFonts w:hint="default" w:ascii="Times New Roman" w:hAnsi="Times New Roman" w:eastAsia="仿宋_GB2312" w:cs="Times New Roman"/>
                <w:b/>
                <w:bCs/>
                <w:i w:val="0"/>
                <w:iCs w:val="0"/>
                <w:color w:val="000000"/>
                <w:kern w:val="0"/>
                <w:sz w:val="28"/>
                <w:szCs w:val="28"/>
                <w:u w:val="none"/>
                <w:lang w:val="en-US" w:eastAsia="zh-CN" w:bidi="ar"/>
              </w:rPr>
              <w:t xml:space="preserve">5.2 </w:t>
            </w:r>
          </w:p>
        </w:tc>
        <w:tc>
          <w:tcPr>
            <w:tcW w:w="1280" w:type="dxa"/>
            <w:tcBorders>
              <w:top w:val="nil"/>
              <w:left w:val="single" w:color="000000" w:sz="8" w:space="0"/>
              <w:bottom w:val="single" w:color="000000" w:sz="12" w:space="0"/>
              <w:right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8"/>
                <w:szCs w:val="28"/>
                <w:u w:val="none"/>
              </w:rPr>
            </w:pPr>
            <w:r>
              <w:rPr>
                <w:rFonts w:hint="default" w:ascii="Times New Roman" w:hAnsi="Times New Roman" w:eastAsia="仿宋_GB2312" w:cs="Times New Roman"/>
                <w:b/>
                <w:bCs/>
                <w:i w:val="0"/>
                <w:iCs w:val="0"/>
                <w:color w:val="000000"/>
                <w:kern w:val="0"/>
                <w:sz w:val="28"/>
                <w:szCs w:val="28"/>
                <w:u w:val="none"/>
                <w:lang w:val="en-US" w:eastAsia="zh-CN" w:bidi="ar"/>
              </w:rPr>
              <w:t>100.0%</w:t>
            </w:r>
          </w:p>
        </w:tc>
      </w:tr>
    </w:tbl>
    <w:p>
      <w:pPr>
        <w:keepNext w:val="0"/>
        <w:keepLines w:val="0"/>
        <w:pageBreakBefore w:val="0"/>
        <w:widowControl w:val="0"/>
        <w:kinsoku/>
        <w:wordWrap/>
        <w:overflowPunct/>
        <w:topLinePunct w:val="0"/>
        <w:autoSpaceDE/>
        <w:autoSpaceDN/>
        <w:bidi w:val="0"/>
        <w:adjustRightInd w:val="0"/>
        <w:snapToGrid w:val="0"/>
        <w:spacing w:line="560" w:lineRule="exact"/>
        <w:ind w:left="0" w:firstLine="643"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从企业资质看，</w:t>
      </w:r>
      <w:r>
        <w:rPr>
          <w:rFonts w:hint="default" w:ascii="Times New Roman" w:hAnsi="Times New Roman" w:eastAsia="仿宋_GB2312" w:cs="Times New Roman"/>
          <w:b w:val="0"/>
          <w:bCs w:val="0"/>
          <w:kern w:val="2"/>
          <w:sz w:val="32"/>
          <w:szCs w:val="32"/>
          <w:lang w:val="en-US" w:eastAsia="zh-CN" w:bidi="ar-SA"/>
        </w:rPr>
        <w:t>一级企业展现出强劲的抗风险能力和增长动能，凭借其技术优势、项目承接能力、资金实力和区域市场深耕优势，在工程项目中占据主导地位，凭借8.7%的增速和122.5%的增长贡献率，成为行业稳定发展的</w:t>
      </w:r>
      <w:r>
        <w:rPr>
          <w:rFonts w:hint="eastAsia" w:ascii="仿宋_GB2312" w:hAnsi="仿宋_GB2312" w:eastAsia="仿宋_GB2312" w:cs="仿宋_GB2312"/>
          <w:b w:val="0"/>
          <w:bCs w:val="0"/>
          <w:kern w:val="2"/>
          <w:sz w:val="32"/>
          <w:szCs w:val="32"/>
          <w:lang w:val="en-US" w:eastAsia="zh-CN" w:bidi="ar-SA"/>
        </w:rPr>
        <w:t>“压舱石”，有效对冲其余资质企业的下滑影响，彰显出较强的韧性和发展潜力。</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auto"/>
        <w:rPr>
          <w:rFonts w:hint="default" w:ascii="Times New Roman" w:hAnsi="Times New Roman" w:eastAsia="黑体" w:cs="Times New Roman"/>
          <w:bCs/>
          <w:color w:val="auto"/>
          <w:kern w:val="0"/>
          <w:sz w:val="32"/>
          <w:szCs w:val="32"/>
          <w:highlight w:val="none"/>
          <w:lang w:val="en-US" w:eastAsia="zh-CN" w:bidi="ar-SA"/>
        </w:rPr>
      </w:pPr>
      <w:r>
        <w:rPr>
          <w:rFonts w:hint="default" w:ascii="Times New Roman" w:hAnsi="Times New Roman" w:eastAsia="黑体" w:cs="Times New Roman"/>
          <w:bCs/>
          <w:color w:val="auto"/>
          <w:kern w:val="0"/>
          <w:sz w:val="32"/>
          <w:szCs w:val="32"/>
          <w:lang w:val="en-US" w:eastAsia="zh-CN" w:bidi="ar-SA"/>
        </w:rPr>
        <w:t>二、</w:t>
      </w:r>
      <w:r>
        <w:rPr>
          <w:rFonts w:hint="default" w:ascii="Times New Roman" w:hAnsi="Times New Roman" w:eastAsia="黑体" w:cs="Times New Roman"/>
          <w:bCs/>
          <w:color w:val="auto"/>
          <w:kern w:val="0"/>
          <w:sz w:val="32"/>
          <w:szCs w:val="32"/>
          <w:highlight w:val="none"/>
          <w:lang w:val="en-US" w:eastAsia="zh-CN" w:bidi="ar-SA"/>
        </w:rPr>
        <w:t>市场格局演变：竞争与拓展两重天
</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560" w:lineRule="exact"/>
        <w:ind w:left="0" w:leftChars="0" w:right="0" w:rightChars="0" w:firstLine="643" w:firstLineChars="200"/>
        <w:jc w:val="both"/>
        <w:textAlignment w:val="auto"/>
        <w:outlineLvl w:val="1"/>
        <w:rPr>
          <w:rFonts w:hint="default" w:ascii="Times New Roman" w:hAnsi="Times New Roman" w:eastAsia="楷体" w:cs="Times New Roman"/>
          <w:b/>
          <w:bCs/>
          <w:kern w:val="0"/>
          <w:sz w:val="32"/>
          <w:szCs w:val="32"/>
          <w:highlight w:val="none"/>
          <w:lang w:val="en-US" w:eastAsia="zh-CN" w:bidi="ar-SA"/>
        </w:rPr>
      </w:pPr>
      <w:r>
        <w:rPr>
          <w:rFonts w:hint="default" w:ascii="Times New Roman" w:hAnsi="Times New Roman" w:eastAsia="楷体" w:cs="Times New Roman"/>
          <w:b/>
          <w:bCs/>
          <w:kern w:val="0"/>
          <w:sz w:val="32"/>
          <w:szCs w:val="32"/>
          <w:highlight w:val="none"/>
          <w:lang w:val="en-US" w:eastAsia="zh-CN" w:bidi="ar-SA"/>
        </w:rPr>
        <w:t>合同市场承压明显，企业角力加剧</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3"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从签订合同看，</w:t>
      </w:r>
      <w:r>
        <w:rPr>
          <w:rFonts w:hint="default" w:ascii="Times New Roman" w:hAnsi="Times New Roman" w:eastAsia="仿宋_GB2312" w:cs="Times New Roman"/>
          <w:b w:val="0"/>
          <w:bCs w:val="0"/>
          <w:kern w:val="2"/>
          <w:sz w:val="32"/>
          <w:szCs w:val="32"/>
          <w:lang w:val="en-US" w:eastAsia="zh-CN" w:bidi="ar-SA"/>
        </w:rPr>
        <w:t>建筑业市场竞争呈加剧态势。2025年上半年，162家在统资质以上建筑业企业签订建筑合同额同比下降4.6%，整体市场规模出现收缩。其中，上年结转建筑合同额同比下降26.9%，当期存量项目储备已显不足，尽管本年新签合同额同比增长75.4%，但规模占比较小，更多是对存量项目不足的补充，未能完全抵消市场竞争加剧带来的负面影响，整体签订合同额下降，同质化竞争激烈，形成“强者恒强、弱者难存”的马太效应，呈现出明显的内卷特征，中小企业生存空间进一步被挤占，行业整体利</w:t>
      </w:r>
      <w:r>
        <w:rPr>
          <w:rFonts w:hint="eastAsia" w:ascii="仿宋_GB2312" w:hAnsi="仿宋_GB2312" w:eastAsia="仿宋_GB2312" w:cs="仿宋_GB2312"/>
          <w:b w:val="0"/>
          <w:bCs w:val="0"/>
          <w:kern w:val="2"/>
          <w:sz w:val="32"/>
          <w:szCs w:val="32"/>
          <w:lang w:val="en-US" w:eastAsia="zh-CN" w:bidi="ar-SA"/>
        </w:rPr>
        <w:t>润率面临下行压力。</w:t>
      </w:r>
    </w:p>
    <w:p>
      <w:pPr>
        <w:pStyle w:val="14"/>
        <w:ind w:left="0" w:leftChars="0" w:firstLine="0" w:firstLineChars="0"/>
        <w:jc w:val="center"/>
        <w:rPr>
          <w:sz w:val="32"/>
          <w:szCs w:val="32"/>
        </w:rPr>
      </w:pPr>
      <w:r>
        <w:rPr>
          <w:sz w:val="32"/>
          <w:szCs w:val="32"/>
        </w:rPr>
        <w:drawing>
          <wp:inline distT="0" distB="0" distL="114300" distR="114300">
            <wp:extent cx="4151630" cy="2273300"/>
            <wp:effectExtent l="0" t="0" r="0" b="0"/>
            <wp:docPr id="25710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楷体" w:hAnsi="楷体" w:eastAsia="楷体" w:cs="楷体"/>
          <w:b w:val="0"/>
          <w:bCs w:val="0"/>
          <w:color w:val="auto"/>
          <w:sz w:val="30"/>
          <w:szCs w:val="30"/>
          <w:highlight w:val="none"/>
          <w:lang w:val="en-US" w:eastAsia="zh-CN"/>
        </w:rPr>
      </w:pPr>
      <w:r>
        <w:rPr>
          <w:rFonts w:hint="eastAsia" w:ascii="楷体" w:hAnsi="楷体" w:eastAsia="楷体" w:cs="楷体"/>
          <w:b w:val="0"/>
          <w:bCs w:val="0"/>
          <w:color w:val="auto"/>
          <w:sz w:val="30"/>
          <w:szCs w:val="30"/>
          <w:highlight w:val="none"/>
          <w:lang w:val="en-US" w:eastAsia="zh-CN"/>
        </w:rPr>
        <w:t>图3  2025年上半年南安市建筑业签订合同额分布图</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560" w:lineRule="exact"/>
        <w:ind w:left="0" w:leftChars="0" w:right="0" w:rightChars="0" w:firstLine="643" w:firstLineChars="200"/>
        <w:jc w:val="both"/>
        <w:textAlignment w:val="auto"/>
        <w:outlineLvl w:val="1"/>
        <w:rPr>
          <w:rFonts w:hint="default" w:ascii="Times New Roman" w:hAnsi="Times New Roman" w:eastAsia="楷体" w:cs="Times New Roman"/>
          <w:b/>
          <w:bCs/>
          <w:kern w:val="0"/>
          <w:sz w:val="32"/>
          <w:szCs w:val="32"/>
          <w:highlight w:val="none"/>
          <w:lang w:val="en-US" w:eastAsia="zh-CN" w:bidi="ar-SA"/>
        </w:rPr>
      </w:pPr>
      <w:r>
        <w:rPr>
          <w:rFonts w:hint="default" w:ascii="Times New Roman" w:hAnsi="Times New Roman" w:eastAsia="楷体" w:cs="Times New Roman"/>
          <w:b/>
          <w:bCs/>
          <w:kern w:val="0"/>
          <w:sz w:val="32"/>
          <w:szCs w:val="32"/>
          <w:highlight w:val="none"/>
          <w:lang w:val="en-US" w:eastAsia="zh-CN" w:bidi="ar-SA"/>
        </w:rPr>
        <w:t>区域市场表现悬殊，内外分化趋异</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3"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从地域划分看，</w:t>
      </w:r>
      <w:r>
        <w:rPr>
          <w:rFonts w:hint="default" w:ascii="Times New Roman" w:hAnsi="Times New Roman" w:eastAsia="仿宋_GB2312" w:cs="Times New Roman"/>
          <w:b w:val="0"/>
          <w:bCs w:val="0"/>
          <w:kern w:val="2"/>
          <w:sz w:val="32"/>
          <w:szCs w:val="32"/>
          <w:lang w:val="en-US" w:eastAsia="zh-CN" w:bidi="ar-SA"/>
        </w:rPr>
        <w:t>建筑业市场拓展区域分化明显。省内市场基于本地企业的天然区域深耕优势，成为支撑我市建筑业产值平稳增长的核心力量，占总产值比重80.5%，同比增长10.0%，拉动总产值增长7.7个百分点，贡献率高达147.7%。​</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整体市场拓展呈现出“内强外弱”的分化态势。外省市场受多重因素拓展遇阻，市场收缩，仅占总产值的19.5%，同比下降10.8%，拉低总产值2.5个百</w:t>
      </w:r>
      <w:r>
        <w:rPr>
          <w:rFonts w:hint="eastAsia" w:ascii="仿宋_GB2312" w:hAnsi="仿宋_GB2312" w:eastAsia="仿宋_GB2312" w:cs="仿宋_GB2312"/>
          <w:b w:val="0"/>
          <w:bCs w:val="0"/>
          <w:kern w:val="2"/>
          <w:sz w:val="32"/>
          <w:szCs w:val="32"/>
          <w:lang w:val="en-US" w:eastAsia="zh-CN" w:bidi="ar-SA"/>
        </w:rPr>
        <w:t>分点。</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黑体" w:cs="Times New Roman"/>
          <w:bCs/>
          <w:color w:val="auto"/>
          <w:kern w:val="0"/>
          <w:sz w:val="32"/>
          <w:szCs w:val="32"/>
          <w:highlight w:val="none"/>
          <w:lang w:val="en-US" w:eastAsia="zh-CN" w:bidi="ar-SA"/>
        </w:rPr>
      </w:pPr>
      <w:r>
        <w:rPr>
          <w:rFonts w:hint="default" w:ascii="Times New Roman" w:hAnsi="Times New Roman" w:eastAsia="黑体" w:cs="Times New Roman"/>
          <w:bCs/>
          <w:color w:val="auto"/>
          <w:kern w:val="0"/>
          <w:sz w:val="32"/>
          <w:szCs w:val="32"/>
          <w:lang w:val="en-US" w:eastAsia="zh-CN" w:bidi="ar-SA"/>
        </w:rPr>
        <w:t>三、</w:t>
      </w:r>
      <w:r>
        <w:rPr>
          <w:rFonts w:hint="default" w:ascii="Times New Roman" w:hAnsi="Times New Roman" w:eastAsia="黑体" w:cs="Times New Roman"/>
          <w:bCs/>
          <w:color w:val="auto"/>
          <w:kern w:val="0"/>
          <w:sz w:val="32"/>
          <w:szCs w:val="32"/>
          <w:highlight w:val="none"/>
          <w:lang w:val="en-US" w:eastAsia="zh-CN" w:bidi="ar-SA"/>
        </w:rPr>
        <w:t>要素支撑瓶颈：资金与人才双制约
</w:t>
      </w:r>
    </w:p>
    <w:p>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560" w:lineRule="exact"/>
        <w:ind w:left="0" w:leftChars="0" w:right="0" w:rightChars="0" w:firstLine="643" w:firstLineChars="200"/>
        <w:jc w:val="both"/>
        <w:textAlignment w:val="auto"/>
        <w:outlineLvl w:val="1"/>
        <w:rPr>
          <w:rFonts w:hint="default" w:ascii="Times New Roman" w:hAnsi="Times New Roman" w:eastAsia="楷体" w:cs="Times New Roman"/>
          <w:b/>
          <w:bCs/>
          <w:kern w:val="0"/>
          <w:sz w:val="32"/>
          <w:szCs w:val="32"/>
          <w:highlight w:val="none"/>
          <w:lang w:val="en-US" w:eastAsia="zh-CN" w:bidi="ar-SA"/>
        </w:rPr>
      </w:pPr>
      <w:r>
        <w:rPr>
          <w:rFonts w:hint="default" w:ascii="Times New Roman" w:hAnsi="Times New Roman" w:eastAsia="楷体" w:cs="Times New Roman"/>
          <w:b/>
          <w:bCs/>
          <w:kern w:val="0"/>
          <w:sz w:val="32"/>
          <w:szCs w:val="32"/>
          <w:highlight w:val="none"/>
          <w:lang w:val="en-US" w:eastAsia="zh-CN" w:bidi="ar-SA"/>
        </w:rPr>
        <w:t>企业营收利润双降，资金周转承压明显​</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3"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从经营数据看，</w:t>
      </w:r>
      <w:r>
        <w:rPr>
          <w:rFonts w:hint="default" w:ascii="Times New Roman" w:hAnsi="Times New Roman" w:eastAsia="仿宋_GB2312" w:cs="Times New Roman"/>
          <w:b w:val="0"/>
          <w:bCs w:val="0"/>
          <w:kern w:val="2"/>
          <w:sz w:val="32"/>
          <w:szCs w:val="32"/>
          <w:lang w:val="en-US" w:eastAsia="zh-CN" w:bidi="ar-SA"/>
        </w:rPr>
        <w:t>建筑业企业资金压力显著加大。2025年上半年营业收入同比下降30.3%，营收规模大幅收缩；营业成本同比下降30.1%，占营业收入的比重高达89.6%，成本管控压力凸显；利润总额同比下降59.1%，下滑幅度远超营业收入降幅，整体盈利能力弱化。​</w:t>
      </w:r>
    </w:p>
    <w:p>
      <w:pPr>
        <w:keepNext w:val="0"/>
        <w:keepLines w:val="0"/>
        <w:pageBreakBefore w:val="0"/>
        <w:widowControl w:val="0"/>
        <w:kinsoku/>
        <w:wordWrap/>
        <w:overflowPunct/>
        <w:topLinePunct w:val="0"/>
        <w:autoSpaceDE/>
        <w:autoSpaceDN/>
        <w:bidi w:val="0"/>
        <w:adjustRightInd w:val="0"/>
        <w:snapToGrid w:val="0"/>
        <w:spacing w:line="560" w:lineRule="exact"/>
        <w:ind w:left="0"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盈利能力的弱化直接加剧企业的资金紧张状况，原材料采购、设备租赁、人工薪酬等刚性支出仍需持续投入，不少企业面临“收入降、成本高、利润薄”三重压力，现金流承压明显。资金瓶颈已成为制约企业扩大生产、承接新项目的重要障碍。</w:t>
      </w:r>
    </w:p>
    <w:p>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560" w:lineRule="exact"/>
        <w:ind w:left="0" w:leftChars="0" w:right="0" w:rightChars="0" w:firstLine="643" w:firstLineChars="200"/>
        <w:jc w:val="both"/>
        <w:textAlignment w:val="auto"/>
        <w:outlineLvl w:val="1"/>
        <w:rPr>
          <w:rFonts w:hint="default" w:ascii="Times New Roman" w:hAnsi="Times New Roman" w:eastAsia="楷体" w:cs="Times New Roman"/>
          <w:b/>
          <w:bCs/>
          <w:kern w:val="0"/>
          <w:sz w:val="32"/>
          <w:szCs w:val="32"/>
          <w:highlight w:val="none"/>
          <w:lang w:val="en-US" w:eastAsia="zh-CN" w:bidi="ar-SA"/>
        </w:rPr>
      </w:pPr>
      <w:r>
        <w:rPr>
          <w:rFonts w:hint="default" w:ascii="Times New Roman" w:hAnsi="Times New Roman" w:eastAsia="楷体" w:cs="Times New Roman"/>
          <w:b/>
          <w:bCs/>
          <w:kern w:val="0"/>
          <w:sz w:val="32"/>
          <w:szCs w:val="32"/>
          <w:highlight w:val="none"/>
          <w:lang w:val="en-US" w:eastAsia="zh-CN" w:bidi="ar-SA"/>
        </w:rPr>
        <w:t>从业人数下滑明显，结构优化有待加强​</w:t>
      </w:r>
    </w:p>
    <w:p>
      <w:pPr>
        <w:keepNext w:val="0"/>
        <w:keepLines w:val="0"/>
        <w:pageBreakBefore w:val="0"/>
        <w:widowControl w:val="0"/>
        <w:kinsoku/>
        <w:wordWrap/>
        <w:overflowPunct/>
        <w:topLinePunct w:val="0"/>
        <w:autoSpaceDE/>
        <w:autoSpaceDN/>
        <w:bidi w:val="0"/>
        <w:adjustRightInd w:val="0"/>
        <w:snapToGrid w:val="0"/>
        <w:spacing w:line="540" w:lineRule="exact"/>
        <w:ind w:left="0" w:firstLine="643"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从从业人数看，</w:t>
      </w:r>
      <w:r>
        <w:rPr>
          <w:rFonts w:hint="default" w:ascii="Times New Roman" w:hAnsi="Times New Roman" w:eastAsia="仿宋_GB2312" w:cs="Times New Roman"/>
          <w:b w:val="0"/>
          <w:bCs w:val="0"/>
          <w:kern w:val="2"/>
          <w:sz w:val="32"/>
          <w:szCs w:val="32"/>
          <w:lang w:val="en-US" w:eastAsia="zh-CN" w:bidi="ar-SA"/>
        </w:rPr>
        <w:t>从事建筑业活动从业人数同比下降8.9%，期末人数同比下降15.7%，人才流失与招聘困难问题突出。从生产经营景气状况调查看，46.3%的企业存在“招工难”问题，求职者对薪酬期望过高和符合岗位要求的应聘者减少成为主要原因，一线劳动力供给不足，其中，中、高级技工和经营管理人员的短缺在“招工难”问题最为突出。​</w:t>
      </w:r>
    </w:p>
    <w:p>
      <w:pPr>
        <w:keepNext w:val="0"/>
        <w:keepLines w:val="0"/>
        <w:pageBreakBefore w:val="0"/>
        <w:widowControl w:val="0"/>
        <w:kinsoku/>
        <w:wordWrap/>
        <w:overflowPunct/>
        <w:topLinePunct w:val="0"/>
        <w:autoSpaceDE/>
        <w:autoSpaceDN/>
        <w:bidi w:val="0"/>
        <w:adjustRightInd w:val="0"/>
        <w:snapToGrid w:val="0"/>
        <w:spacing w:line="540" w:lineRule="exact"/>
        <w:ind w:left="0" w:firstLine="643"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从人才结构看，</w:t>
      </w:r>
      <w:r>
        <w:rPr>
          <w:rFonts w:hint="default" w:ascii="Times New Roman" w:hAnsi="Times New Roman" w:eastAsia="仿宋_GB2312" w:cs="Times New Roman"/>
          <w:b w:val="0"/>
          <w:bCs w:val="0"/>
          <w:kern w:val="2"/>
          <w:sz w:val="32"/>
          <w:szCs w:val="32"/>
          <w:lang w:val="en-US" w:eastAsia="zh-CN" w:bidi="ar-SA"/>
        </w:rPr>
        <w:t>高技能人才、复合型管理人才依然短缺。具备专业技能认证的一线操作人员不足，难以满足智能化施工、绿色建筑等新型工程对技术能力的要求；业务娴熟、经验丰富的高端项目管理人才稀缺，制约企业开拓省外乃至国际市场的步伐。人才总量下滑与结构性短缺相互叠加，建筑业在转型升级过程面临“用工荒”、“人才贵”的双重制约，对行业长期发展形成不利影响。</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right="0" w:rightChars="0" w:firstLine="640" w:firstLineChars="200"/>
        <w:jc w:val="both"/>
        <w:textAlignment w:val="auto"/>
        <w:outlineLvl w:val="0"/>
        <w:rPr>
          <w:rFonts w:hint="default" w:ascii="Times New Roman" w:hAnsi="Times New Roman" w:eastAsia="黑体" w:cs="Times New Roman"/>
          <w:bCs/>
          <w:color w:val="auto"/>
          <w:kern w:val="0"/>
          <w:sz w:val="32"/>
          <w:szCs w:val="32"/>
          <w:highlight w:val="none"/>
          <w:lang w:val="en-US" w:eastAsia="zh-CN" w:bidi="ar-SA"/>
        </w:rPr>
      </w:pPr>
      <w:r>
        <w:rPr>
          <w:rFonts w:hint="default" w:ascii="Times New Roman" w:hAnsi="Times New Roman" w:eastAsia="黑体" w:cs="Times New Roman"/>
          <w:bCs/>
          <w:color w:val="auto"/>
          <w:kern w:val="0"/>
          <w:sz w:val="32"/>
          <w:szCs w:val="32"/>
          <w:lang w:val="en-US" w:eastAsia="zh-CN" w:bidi="ar-SA"/>
        </w:rPr>
        <w:t>四、</w:t>
      </w:r>
      <w:r>
        <w:rPr>
          <w:rFonts w:hint="default" w:ascii="Times New Roman" w:hAnsi="Times New Roman" w:eastAsia="黑体" w:cs="Times New Roman"/>
          <w:bCs/>
          <w:color w:val="auto"/>
          <w:kern w:val="0"/>
          <w:sz w:val="32"/>
          <w:szCs w:val="32"/>
          <w:highlight w:val="none"/>
          <w:lang w:val="en-US" w:eastAsia="zh-CN" w:bidi="ar-SA"/>
        </w:rPr>
        <w:t>破局路径探索：赋能与拓展双驱动
</w:t>
      </w:r>
    </w:p>
    <w:p>
      <w:pPr>
        <w:keepNext w:val="0"/>
        <w:keepLines w:val="0"/>
        <w:pageBreakBefore w:val="0"/>
        <w:widowControl w:val="0"/>
        <w:numPr>
          <w:ilvl w:val="0"/>
          <w:numId w:val="3"/>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540" w:lineRule="exact"/>
        <w:ind w:left="0" w:leftChars="0" w:right="0" w:rightChars="0" w:firstLine="643" w:firstLineChars="200"/>
        <w:jc w:val="both"/>
        <w:textAlignment w:val="auto"/>
        <w:outlineLvl w:val="1"/>
        <w:rPr>
          <w:rFonts w:hint="default" w:ascii="Times New Roman" w:hAnsi="Times New Roman" w:eastAsia="楷体" w:cs="Times New Roman"/>
          <w:b/>
          <w:bCs/>
          <w:kern w:val="0"/>
          <w:sz w:val="32"/>
          <w:szCs w:val="32"/>
          <w:highlight w:val="none"/>
          <w:lang w:val="en-US" w:eastAsia="zh-CN" w:bidi="ar-SA"/>
        </w:rPr>
      </w:pPr>
      <w:r>
        <w:rPr>
          <w:rFonts w:hint="default" w:ascii="Times New Roman" w:hAnsi="Times New Roman" w:eastAsia="楷体" w:cs="Times New Roman"/>
          <w:b/>
          <w:bCs/>
          <w:kern w:val="0"/>
          <w:sz w:val="32"/>
          <w:szCs w:val="32"/>
          <w:highlight w:val="none"/>
          <w:lang w:val="en-US" w:eastAsia="zh-CN" w:bidi="ar-SA"/>
        </w:rPr>
        <w:t>多维赋能破解要素瓶颈​</w:t>
      </w:r>
    </w:p>
    <w:p>
      <w:pPr>
        <w:keepNext w:val="0"/>
        <w:keepLines w:val="0"/>
        <w:pageBreakBefore w:val="0"/>
        <w:widowControl w:val="0"/>
        <w:kinsoku/>
        <w:wordWrap/>
        <w:overflowPunct/>
        <w:topLinePunct w:val="0"/>
        <w:autoSpaceDE/>
        <w:autoSpaceDN/>
        <w:bidi w:val="0"/>
        <w:adjustRightInd w:val="0"/>
        <w:snapToGrid w:val="0"/>
        <w:spacing w:line="540" w:lineRule="exact"/>
        <w:ind w:left="0" w:firstLine="643"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在资金赋能方面，</w:t>
      </w:r>
      <w:r>
        <w:rPr>
          <w:rFonts w:hint="default" w:ascii="Times New Roman" w:hAnsi="Times New Roman" w:eastAsia="仿宋_GB2312" w:cs="Times New Roman"/>
          <w:b w:val="0"/>
          <w:bCs w:val="0"/>
          <w:kern w:val="2"/>
          <w:sz w:val="32"/>
          <w:szCs w:val="32"/>
          <w:lang w:val="en-US" w:eastAsia="zh-CN" w:bidi="ar-SA"/>
        </w:rPr>
        <w:t>搭建银企对接平台，推动金融机构开发专项信贷产品，缩短企业资金回笼周期；设立建筑业纾困基金、建筑业创新基金等专项基金，对营收下滑但有发展潜力的中小企业给予阶段性资金补助，重点支持装配式建筑、绿色建筑等新技术研发；优化工程款支付机制，减少拖欠问题，缓解企业现金流压力。​</w:t>
      </w:r>
    </w:p>
    <w:p>
      <w:pPr>
        <w:keepNext w:val="0"/>
        <w:keepLines w:val="0"/>
        <w:pageBreakBefore w:val="0"/>
        <w:widowControl w:val="0"/>
        <w:kinsoku/>
        <w:wordWrap/>
        <w:overflowPunct/>
        <w:topLinePunct w:val="0"/>
        <w:autoSpaceDE/>
        <w:autoSpaceDN/>
        <w:bidi w:val="0"/>
        <w:adjustRightInd w:val="0"/>
        <w:snapToGrid w:val="0"/>
        <w:spacing w:line="540" w:lineRule="exact"/>
        <w:ind w:left="0" w:firstLine="643"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在人才赋能方面，</w:t>
      </w:r>
      <w:r>
        <w:rPr>
          <w:rFonts w:hint="default" w:ascii="Times New Roman" w:hAnsi="Times New Roman" w:eastAsia="仿宋_GB2312" w:cs="Times New Roman"/>
          <w:b w:val="0"/>
          <w:bCs w:val="0"/>
          <w:kern w:val="2"/>
          <w:sz w:val="32"/>
          <w:szCs w:val="32"/>
          <w:lang w:val="en-US" w:eastAsia="zh-CN" w:bidi="ar-SA"/>
        </w:rPr>
        <w:t>加大对建筑业高端人才的引进力度，给予住房补贴、子女教育等配套政策，吸引跨区域人才流入；深化校企合作，支持本地职业院校与建筑企业共建实训基地，定向培养具备智能化施工技能的复合型人才，</w:t>
      </w:r>
      <w:bookmarkStart w:id="0" w:name="_GoBack"/>
      <w:bookmarkEnd w:id="0"/>
      <w:r>
        <w:rPr>
          <w:rFonts w:hint="default" w:ascii="Times New Roman" w:hAnsi="Times New Roman" w:eastAsia="仿宋_GB2312" w:cs="Times New Roman"/>
          <w:b w:val="0"/>
          <w:bCs w:val="0"/>
          <w:kern w:val="2"/>
          <w:sz w:val="32"/>
          <w:szCs w:val="32"/>
          <w:lang w:val="en-US" w:eastAsia="zh-CN" w:bidi="ar-SA"/>
        </w:rPr>
        <w:t>填补技能人才缺口；推动企业改善工作环境、完善薪酬福利体系，提升一线工人和技术人员的归属感，减少人才流失。“引、育、留”三环节协同发力，为建筑业企业注入发展动能。</w:t>
      </w:r>
    </w:p>
    <w:p>
      <w:pPr>
        <w:keepNext w:val="0"/>
        <w:keepLines w:val="0"/>
        <w:pageBreakBefore w:val="0"/>
        <w:widowControl w:val="0"/>
        <w:numPr>
          <w:ilvl w:val="0"/>
          <w:numId w:val="3"/>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540" w:lineRule="exact"/>
        <w:ind w:left="0" w:leftChars="0" w:right="0" w:rightChars="0" w:firstLine="643" w:firstLineChars="200"/>
        <w:jc w:val="both"/>
        <w:textAlignment w:val="auto"/>
        <w:outlineLvl w:val="1"/>
        <w:rPr>
          <w:rFonts w:hint="default" w:ascii="Times New Roman" w:hAnsi="Times New Roman" w:eastAsia="楷体" w:cs="Times New Roman"/>
          <w:b/>
          <w:bCs/>
          <w:kern w:val="0"/>
          <w:sz w:val="32"/>
          <w:szCs w:val="32"/>
          <w:highlight w:val="none"/>
          <w:lang w:val="en-US" w:eastAsia="zh-CN" w:bidi="ar-SA"/>
        </w:rPr>
      </w:pPr>
      <w:r>
        <w:rPr>
          <w:rFonts w:hint="default" w:ascii="Times New Roman" w:hAnsi="Times New Roman" w:eastAsia="楷体" w:cs="Times New Roman"/>
          <w:b/>
          <w:bCs/>
          <w:kern w:val="0"/>
          <w:sz w:val="32"/>
          <w:szCs w:val="32"/>
          <w:highlight w:val="none"/>
          <w:lang w:val="en-US" w:eastAsia="zh-CN" w:bidi="ar-SA"/>
        </w:rPr>
        <w:t>双向拓展构建发展新局​</w:t>
      </w:r>
    </w:p>
    <w:p>
      <w:pPr>
        <w:keepNext w:val="0"/>
        <w:keepLines w:val="0"/>
        <w:pageBreakBefore w:val="0"/>
        <w:widowControl w:val="0"/>
        <w:kinsoku/>
        <w:wordWrap/>
        <w:overflowPunct/>
        <w:topLinePunct w:val="0"/>
        <w:autoSpaceDE/>
        <w:autoSpaceDN/>
        <w:bidi w:val="0"/>
        <w:adjustRightInd w:val="0"/>
        <w:snapToGrid w:val="0"/>
        <w:spacing w:line="540" w:lineRule="exact"/>
        <w:ind w:left="0" w:firstLine="643"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在省内市场中，</w:t>
      </w:r>
      <w:r>
        <w:rPr>
          <w:rFonts w:hint="default" w:ascii="Times New Roman" w:hAnsi="Times New Roman" w:eastAsia="仿宋_GB2312" w:cs="Times New Roman"/>
          <w:b w:val="0"/>
          <w:bCs w:val="0"/>
          <w:kern w:val="2"/>
          <w:sz w:val="32"/>
          <w:szCs w:val="32"/>
          <w:lang w:val="en-US" w:eastAsia="zh-CN" w:bidi="ar-SA"/>
        </w:rPr>
        <w:t>聚焦城镇化升级、老旧小区改造、乡村振兴等政策红利领域，鼓励企业参与城市更新项目、基础设施建设，通过联合体投标等方式承接大型综合项目，提升市场份额；推动区域内建筑业企业整合资源，组建产业联盟，实现设计、施工、运维等环节的协同发展，规范引导，形成“有序竞争促创新、高效拓展带增长”的良性循环。</w:t>
      </w:r>
    </w:p>
    <w:p>
      <w:pPr>
        <w:keepNext w:val="0"/>
        <w:keepLines w:val="0"/>
        <w:pageBreakBefore w:val="0"/>
        <w:widowControl w:val="0"/>
        <w:kinsoku/>
        <w:wordWrap/>
        <w:overflowPunct/>
        <w:topLinePunct w:val="0"/>
        <w:autoSpaceDE/>
        <w:autoSpaceDN/>
        <w:bidi w:val="0"/>
        <w:adjustRightInd w:val="0"/>
        <w:snapToGrid w:val="0"/>
        <w:spacing w:line="540" w:lineRule="exact"/>
        <w:ind w:left="0" w:firstLine="643" w:firstLineChars="200"/>
        <w:jc w:val="both"/>
        <w:textAlignment w:val="auto"/>
        <w:rPr>
          <w:rFonts w:hint="default" w:ascii="仿宋_GB2312" w:hAnsi="仿宋_GB2312" w:eastAsia="仿宋_GB2312" w:cs="仿宋_GB2312"/>
          <w:b w:val="0"/>
          <w:bCs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在省外市场中，</w:t>
      </w:r>
      <w:r>
        <w:rPr>
          <w:rFonts w:hint="default" w:ascii="Times New Roman" w:hAnsi="Times New Roman" w:eastAsia="仿宋_GB2312" w:cs="Times New Roman"/>
          <w:b w:val="0"/>
          <w:bCs w:val="0"/>
          <w:kern w:val="2"/>
          <w:sz w:val="32"/>
          <w:szCs w:val="32"/>
          <w:lang w:val="en-US" w:eastAsia="zh-CN" w:bidi="ar-SA"/>
        </w:rPr>
        <w:t>精准发力，突破地域壁垒。建立省外市场信息共享平台，打破信息茧房，优化信息服务，帮助企业规避市场风险；针对“一带一路”沿线等潜力市场，组织企业参加专场推介会，抱团出海承接基础设施项目，同时依托省内龙头企业的技术优势，输出建筑标准和管理经验，提升品牌影响力；鼓励企业拓展绿色建筑、智慧建造等新兴业务领域，立足本土、辐射外部，形成“省内深耕+省外突破”的双向格局，推动建筑业从“瓶颈制约”</w:t>
      </w:r>
      <w:r>
        <w:rPr>
          <w:rFonts w:hint="default" w:ascii="仿宋_GB2312" w:hAnsi="仿宋_GB2312" w:eastAsia="仿宋_GB2312" w:cs="仿宋_GB2312"/>
          <w:b w:val="0"/>
          <w:bCs w:val="0"/>
          <w:kern w:val="2"/>
          <w:sz w:val="32"/>
          <w:szCs w:val="32"/>
          <w:lang w:val="en-US" w:eastAsia="zh-CN" w:bidi="ar-SA"/>
        </w:rPr>
        <w:t>向“双轮驱动”转型，实现高质量发展。</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b w:val="0"/>
          <w:bCs w:val="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0"/>
        <w:rPr>
          <w:rFonts w:hint="eastAsia" w:ascii="楷体" w:hAnsi="楷体" w:eastAsia="楷体" w:cs="楷体"/>
          <w:b w:val="0"/>
          <w:bCs w:val="0"/>
          <w:kern w:val="2"/>
          <w:sz w:val="28"/>
          <w:szCs w:val="28"/>
          <w:lang w:val="en-US" w:eastAsia="zh-CN" w:bidi="ar-SA"/>
        </w:rPr>
      </w:pPr>
      <w:r>
        <w:rPr>
          <w:rFonts w:hint="eastAsia" w:ascii="楷体" w:hAnsi="楷体" w:eastAsia="楷体" w:cs="楷体"/>
          <w:b w:val="0"/>
          <w:bCs w:val="0"/>
          <w:kern w:val="2"/>
          <w:sz w:val="28"/>
          <w:szCs w:val="28"/>
          <w:lang w:val="en-US" w:eastAsia="zh-CN" w:bidi="ar-SA"/>
        </w:rPr>
        <w:t>指标解释：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楷体" w:hAnsi="楷体" w:eastAsia="楷体" w:cs="楷体"/>
          <w:b w:val="0"/>
          <w:bCs w:val="0"/>
          <w:color w:val="auto"/>
          <w:sz w:val="28"/>
          <w:szCs w:val="28"/>
          <w:highlight w:val="none"/>
        </w:rPr>
      </w:pPr>
      <w:r>
        <w:rPr>
          <w:rFonts w:hint="eastAsia" w:ascii="楷体" w:hAnsi="楷体" w:eastAsia="楷体" w:cs="楷体"/>
          <w:b w:val="0"/>
          <w:bCs w:val="0"/>
          <w:color w:val="auto"/>
          <w:kern w:val="2"/>
          <w:sz w:val="28"/>
          <w:szCs w:val="28"/>
          <w:highlight w:val="none"/>
          <w:lang w:val="en-US" w:eastAsia="zh-CN" w:bidi="ar-SA"/>
        </w:rPr>
        <w:t>[1]建筑业总产值：指以货币表现的建筑业企业在一定时期内生产的建筑业产品和服务的总和。建筑业总产值包括建筑工程产值、安装工程产值和其他产值三部分内容。 </w:t>
      </w:r>
      <w:r>
        <w:rPr>
          <w:rFonts w:hint="eastAsia" w:ascii="楷体" w:hAnsi="楷体" w:eastAsia="楷体" w:cs="楷体"/>
          <w:b w:val="0"/>
          <w:bCs w:val="0"/>
          <w:color w:val="auto"/>
          <w:sz w:val="28"/>
          <w:szCs w:val="28"/>
          <w:highlight w:val="none"/>
        </w:rPr>
        <w:t>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楷体" w:hAnsi="楷体" w:eastAsia="楷体" w:cs="楷体"/>
          <w:b w:val="0"/>
          <w:bCs w:val="0"/>
          <w:color w:val="auto"/>
          <w:sz w:val="28"/>
          <w:szCs w:val="28"/>
          <w:highlight w:val="none"/>
        </w:rPr>
      </w:pPr>
      <w:r>
        <w:rPr>
          <w:rFonts w:hint="eastAsia" w:ascii="楷体" w:hAnsi="楷体" w:eastAsia="楷体" w:cs="楷体"/>
          <w:b w:val="0"/>
          <w:bCs w:val="0"/>
          <w:color w:val="auto"/>
          <w:sz w:val="28"/>
          <w:szCs w:val="28"/>
          <w:highlight w:val="none"/>
          <w:lang w:val="en-US" w:eastAsia="zh-CN"/>
        </w:rPr>
        <w:t>[2]</w:t>
      </w:r>
      <w:r>
        <w:rPr>
          <w:rFonts w:hint="eastAsia" w:ascii="楷体" w:hAnsi="楷体" w:eastAsia="楷体" w:cs="楷体"/>
          <w:b w:val="0"/>
          <w:bCs w:val="0"/>
          <w:color w:val="auto"/>
          <w:sz w:val="28"/>
          <w:szCs w:val="28"/>
          <w:highlight w:val="none"/>
        </w:rPr>
        <w:t>签订合同额</w:t>
      </w:r>
      <w:r>
        <w:rPr>
          <w:rFonts w:hint="eastAsia" w:ascii="楷体" w:hAnsi="楷体" w:eastAsia="楷体" w:cs="楷体"/>
          <w:b w:val="0"/>
          <w:bCs w:val="0"/>
          <w:color w:val="auto"/>
          <w:sz w:val="28"/>
          <w:szCs w:val="28"/>
          <w:highlight w:val="none"/>
          <w:lang w:eastAsia="zh-CN"/>
        </w:rPr>
        <w:t>：</w:t>
      </w:r>
      <w:r>
        <w:rPr>
          <w:rFonts w:hint="eastAsia" w:ascii="楷体" w:hAnsi="楷体" w:eastAsia="楷体" w:cs="楷体"/>
          <w:b w:val="0"/>
          <w:bCs w:val="0"/>
          <w:color w:val="auto"/>
          <w:sz w:val="28"/>
          <w:szCs w:val="28"/>
          <w:highlight w:val="none"/>
        </w:rPr>
        <w:t>指建筑业企业在报告期直接同建设单位签订的各种国内工程合同的总价款和以前年度同建设单位签订的各种国内工程合同的未完工程跨入本年度继续施工工程合同的总价款余额。</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楷体" w:hAnsi="楷体" w:eastAsia="楷体" w:cs="楷体"/>
          <w:b w:val="0"/>
          <w:bCs w:val="0"/>
          <w:color w:val="auto"/>
          <w:sz w:val="28"/>
          <w:szCs w:val="28"/>
          <w:highlight w:val="none"/>
        </w:rPr>
      </w:pPr>
      <w:r>
        <w:rPr>
          <w:rFonts w:hint="eastAsia" w:ascii="楷体" w:hAnsi="楷体" w:eastAsia="楷体" w:cs="楷体"/>
          <w:b w:val="0"/>
          <w:bCs w:val="0"/>
          <w:color w:val="auto"/>
          <w:sz w:val="28"/>
          <w:szCs w:val="28"/>
          <w:highlight w:val="none"/>
          <w:lang w:val="en-US" w:eastAsia="zh-CN"/>
        </w:rPr>
        <w:t>[3]</w:t>
      </w:r>
      <w:r>
        <w:rPr>
          <w:rFonts w:hint="eastAsia" w:ascii="楷体" w:hAnsi="楷体" w:eastAsia="楷体" w:cs="楷体"/>
          <w:b w:val="0"/>
          <w:bCs w:val="0"/>
          <w:color w:val="auto"/>
          <w:sz w:val="28"/>
          <w:szCs w:val="28"/>
          <w:highlight w:val="none"/>
        </w:rPr>
        <w:t>建筑业</w:t>
      </w:r>
      <w:r>
        <w:rPr>
          <w:rFonts w:hint="eastAsia" w:ascii="楷体" w:hAnsi="楷体" w:eastAsia="楷体" w:cs="楷体"/>
          <w:b w:val="0"/>
          <w:bCs w:val="0"/>
          <w:color w:val="auto"/>
          <w:sz w:val="28"/>
          <w:szCs w:val="28"/>
          <w:highlight w:val="none"/>
          <w:lang w:eastAsia="zh-CN"/>
        </w:rPr>
        <w:t>企业期末人数：</w:t>
      </w:r>
      <w:r>
        <w:rPr>
          <w:rFonts w:hint="eastAsia" w:ascii="楷体" w:hAnsi="楷体" w:eastAsia="楷体" w:cs="楷体"/>
          <w:b w:val="0"/>
          <w:bCs w:val="0"/>
          <w:color w:val="auto"/>
          <w:sz w:val="28"/>
          <w:szCs w:val="28"/>
          <w:highlight w:val="none"/>
        </w:rPr>
        <w:t>指报告期最后一日24时在本单位工作并取得劳动报酬或收入的期末实有人员数。</w:t>
      </w:r>
    </w:p>
    <w:p>
      <w:pPr>
        <w:pStyle w:val="2"/>
        <w:rPr>
          <w:rFonts w:hint="eastAsia" w:ascii="楷体" w:hAnsi="楷体" w:eastAsia="楷体" w:cs="楷体"/>
          <w:b w:val="0"/>
          <w:bCs w:val="0"/>
          <w:color w:val="auto"/>
          <w:sz w:val="28"/>
          <w:szCs w:val="28"/>
          <w:highlight w:val="none"/>
        </w:rPr>
      </w:pPr>
    </w:p>
    <w:p>
      <w:pPr>
        <w:ind w:firstLine="5120" w:firstLineChars="16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（南安市统计局　</w:t>
      </w:r>
      <w:r>
        <w:rPr>
          <w:rFonts w:hint="eastAsia" w:ascii="仿宋_GB2312" w:hAnsi="仿宋_GB2312" w:eastAsia="仿宋_GB2312" w:cs="仿宋_GB2312"/>
          <w:sz w:val="32"/>
          <w:szCs w:val="32"/>
          <w:lang w:val="en-US" w:eastAsia="zh-CN"/>
        </w:rPr>
        <w:t>赖艺婷</w:t>
      </w:r>
      <w:r>
        <w:rPr>
          <w:rFonts w:hint="default" w:ascii="仿宋_GB2312" w:hAnsi="仿宋_GB2312" w:eastAsia="仿宋_GB2312" w:cs="仿宋_GB2312"/>
          <w:sz w:val="32"/>
          <w:szCs w:val="32"/>
          <w:lang w:val="en-US" w:eastAsia="zh-CN"/>
        </w:rPr>
        <w:t>）</w:t>
      </w: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drawing>
          <wp:inline distT="0" distB="0" distL="114300" distR="114300">
            <wp:extent cx="901700" cy="892175"/>
            <wp:effectExtent l="0" t="0" r="0" b="9525"/>
            <wp:docPr id="1" name="图片 2" descr="qrcode_for_gh_1eebab0522fd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qrcode_for_gh_1eebab0522fd_258"/>
                    <pic:cNvPicPr>
                      <a:picLocks noChangeAspect="1"/>
                    </pic:cNvPicPr>
                  </pic:nvPicPr>
                  <pic:blipFill>
                    <a:blip r:embed="rId9"/>
                    <a:stretch>
                      <a:fillRect/>
                    </a:stretch>
                  </pic:blipFill>
                  <pic:spPr>
                    <a:xfrm>
                      <a:off x="0" y="0"/>
                      <a:ext cx="901700" cy="89217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lang w:val="en-US" w:eastAsia="zh-CN"/>
        </w:rPr>
      </w:pPr>
      <w:r>
        <w:rPr>
          <w:rFonts w:hint="default" w:ascii="Times New Roman" w:hAnsi="Times New Roman" w:eastAsia="仿宋_GB2312" w:cs="Times New Roman"/>
          <w:sz w:val="24"/>
          <w:szCs w:val="24"/>
          <w:lang w:val="en-US" w:eastAsia="zh-CN"/>
        </w:rPr>
        <w:t>扫码关注南安市统计局</w:t>
      </w:r>
    </w:p>
    <w:p>
      <w:pPr>
        <w:pStyle w:val="2"/>
        <w:rPr>
          <w:rFonts w:hint="eastAsia" w:ascii="楷体" w:hAnsi="楷体" w:eastAsia="楷体" w:cs="楷体"/>
          <w:b w:val="0"/>
          <w:bCs w:val="0"/>
          <w:color w:val="auto"/>
          <w:sz w:val="28"/>
          <w:szCs w:val="28"/>
          <w:highlight w:val="none"/>
          <w:lang w:val="en-US" w:eastAsia="zh-CN"/>
        </w:rPr>
      </w:pPr>
    </w:p>
    <w:sectPr>
      <w:footerReference r:id="rId3" w:type="default"/>
      <w:pgSz w:w="11906" w:h="16838"/>
      <w:pgMar w:top="2098" w:right="1474" w:bottom="1984" w:left="1587" w:header="850" w:footer="1417" w:gutter="0"/>
      <w:pgBorders>
        <w:top w:val="none" w:sz="0" w:space="0"/>
        <w:left w:val="none" w:sz="0" w:space="0"/>
        <w:bottom w:val="none" w:sz="0" w:space="0"/>
        <w:right w:val="none" w:sz="0" w:space="0"/>
      </w:pgBorders>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4A3C45"/>
    <w:multiLevelType w:val="singleLevel"/>
    <w:tmpl w:val="AF4A3C45"/>
    <w:lvl w:ilvl="0" w:tentative="0">
      <w:start w:val="1"/>
      <w:numFmt w:val="chineseCounting"/>
      <w:suff w:val="nothing"/>
      <w:lvlText w:val="（%1）"/>
      <w:lvlJc w:val="left"/>
      <w:pPr>
        <w:ind w:left="-210" w:firstLine="420"/>
      </w:pPr>
      <w:rPr>
        <w:rFonts w:hint="eastAsia"/>
      </w:rPr>
    </w:lvl>
  </w:abstractNum>
  <w:abstractNum w:abstractNumId="1">
    <w:nsid w:val="FD343721"/>
    <w:multiLevelType w:val="singleLevel"/>
    <w:tmpl w:val="FD343721"/>
    <w:lvl w:ilvl="0" w:tentative="0">
      <w:start w:val="1"/>
      <w:numFmt w:val="chineseCounting"/>
      <w:suff w:val="nothing"/>
      <w:lvlText w:val="（%1）"/>
      <w:lvlJc w:val="left"/>
      <w:pPr>
        <w:ind w:left="-210" w:firstLine="420"/>
      </w:pPr>
      <w:rPr>
        <w:rFonts w:hint="eastAsia"/>
      </w:rPr>
    </w:lvl>
  </w:abstractNum>
  <w:abstractNum w:abstractNumId="2">
    <w:nsid w:val="6BF9199D"/>
    <w:multiLevelType w:val="singleLevel"/>
    <w:tmpl w:val="6BF9199D"/>
    <w:lvl w:ilvl="0" w:tentative="0">
      <w:start w:val="1"/>
      <w:numFmt w:val="chineseCounting"/>
      <w:suff w:val="nothing"/>
      <w:lvlText w:val="（%1）"/>
      <w:lvlJc w:val="left"/>
      <w:pPr>
        <w:ind w:left="-210" w:firstLine="42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useFELayout/>
    <w:doNotUseIndentAsNumberingTabStop/>
    <w:compatSetting w:name="compatibilityMode" w:uri="http://schemas.microsoft.com/office/word" w:val="15"/>
  </w:compat>
  <w:docVars>
    <w:docVar w:name="commondata" w:val="eyJoZGlkIjoiNTI2NzBlOGYxMzFlNGVhZDM3MjA5YThlZmJiNjFkOGYifQ=="/>
  </w:docVars>
  <w:rsids>
    <w:rsidRoot w:val="00000000"/>
    <w:rsid w:val="0CD47034"/>
    <w:rsid w:val="1EBFFABB"/>
    <w:rsid w:val="358D4DDE"/>
    <w:rsid w:val="3FFB26F1"/>
    <w:rsid w:val="3FFE62CB"/>
    <w:rsid w:val="50A42CE5"/>
    <w:rsid w:val="5C3F00CD"/>
    <w:rsid w:val="5DFAAB0C"/>
    <w:rsid w:val="6BFF493C"/>
    <w:rsid w:val="6DC61922"/>
    <w:rsid w:val="6FCC81AD"/>
    <w:rsid w:val="72F98149"/>
    <w:rsid w:val="765E777E"/>
    <w:rsid w:val="79E7BAA9"/>
    <w:rsid w:val="7FDBF1D9"/>
    <w:rsid w:val="7FF70988"/>
    <w:rsid w:val="BBFD2FB2"/>
    <w:rsid w:val="BF7FFE11"/>
    <w:rsid w:val="BFF78FC5"/>
    <w:rsid w:val="BFFF0135"/>
    <w:rsid w:val="EFF1AD0C"/>
    <w:rsid w:val="FBEF6360"/>
    <w:rsid w:val="FDF54C6D"/>
    <w:rsid w:val="FE789B29"/>
    <w:rsid w:val="FF6FAB37"/>
    <w:rsid w:val="FFF70E1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1"/>
      <w:szCs w:val="22"/>
    </w:rPr>
  </w:style>
  <w:style w:type="paragraph" w:styleId="3">
    <w:name w:val="heading 1"/>
    <w:next w:val="1"/>
    <w:autoRedefine/>
    <w:qFormat/>
    <w:uiPriority w:val="0"/>
    <w:pPr>
      <w:spacing w:before="380" w:after="140" w:line="288" w:lineRule="auto"/>
      <w:ind w:left="0"/>
      <w:jc w:val="left"/>
      <w:outlineLvl w:val="0"/>
    </w:pPr>
    <w:rPr>
      <w:rFonts w:ascii="Arial" w:hAnsi="Arial" w:eastAsia="等线" w:cs="Arial"/>
      <w:b/>
      <w:bCs/>
      <w:sz w:val="36"/>
      <w:szCs w:val="36"/>
    </w:rPr>
  </w:style>
  <w:style w:type="paragraph" w:styleId="4">
    <w:name w:val="heading 2"/>
    <w:next w:val="1"/>
    <w:autoRedefine/>
    <w:qFormat/>
    <w:uiPriority w:val="0"/>
    <w:pPr>
      <w:spacing w:before="320" w:after="120" w:line="288" w:lineRule="auto"/>
      <w:ind w:left="0"/>
      <w:jc w:val="left"/>
      <w:outlineLvl w:val="1"/>
    </w:pPr>
    <w:rPr>
      <w:rFonts w:ascii="Arial" w:hAnsi="Arial" w:eastAsia="等线" w:cs="Arial"/>
      <w:b/>
      <w:bCs/>
      <w:sz w:val="32"/>
      <w:szCs w:val="32"/>
    </w:rPr>
  </w:style>
  <w:style w:type="paragraph" w:styleId="5">
    <w:name w:val="heading 3"/>
    <w:next w:val="1"/>
    <w:autoRedefine/>
    <w:qFormat/>
    <w:uiPriority w:val="0"/>
    <w:pPr>
      <w:spacing w:before="300" w:after="120" w:line="288" w:lineRule="auto"/>
      <w:ind w:left="0"/>
      <w:jc w:val="left"/>
      <w:outlineLvl w:val="2"/>
    </w:pPr>
    <w:rPr>
      <w:rFonts w:ascii="Arial" w:hAnsi="Arial" w:eastAsia="等线" w:cs="Arial"/>
      <w:b/>
      <w:bCs/>
      <w:sz w:val="30"/>
      <w:szCs w:val="30"/>
    </w:rPr>
  </w:style>
  <w:style w:type="paragraph" w:styleId="6">
    <w:name w:val="heading 4"/>
    <w:next w:val="1"/>
    <w:qFormat/>
    <w:uiPriority w:val="0"/>
    <w:pPr>
      <w:spacing w:before="260" w:after="120" w:line="288" w:lineRule="auto"/>
      <w:ind w:left="0"/>
      <w:jc w:val="left"/>
      <w:outlineLvl w:val="3"/>
    </w:pPr>
    <w:rPr>
      <w:rFonts w:ascii="Arial" w:hAnsi="Arial" w:eastAsia="等线" w:cs="Arial"/>
      <w:b/>
      <w:bCs/>
      <w:sz w:val="28"/>
      <w:szCs w:val="28"/>
    </w:rPr>
  </w:style>
  <w:style w:type="paragraph" w:styleId="7">
    <w:name w:val="heading 5"/>
    <w:next w:val="1"/>
    <w:qFormat/>
    <w:uiPriority w:val="0"/>
    <w:pPr>
      <w:spacing w:before="240" w:after="120" w:line="288" w:lineRule="auto"/>
      <w:ind w:left="0"/>
      <w:jc w:val="left"/>
      <w:outlineLvl w:val="4"/>
    </w:pPr>
    <w:rPr>
      <w:rFonts w:ascii="Arial" w:hAnsi="Arial" w:eastAsia="等线" w:cs="Arial"/>
      <w:b/>
      <w:bCs/>
      <w:sz w:val="24"/>
      <w:szCs w:val="24"/>
    </w:rPr>
  </w:style>
  <w:style w:type="paragraph" w:styleId="8">
    <w:name w:val="heading 6"/>
    <w:next w:val="1"/>
    <w:qFormat/>
    <w:uiPriority w:val="0"/>
    <w:pPr>
      <w:spacing w:before="240" w:after="120" w:line="288" w:lineRule="auto"/>
      <w:ind w:left="0"/>
      <w:jc w:val="left"/>
      <w:outlineLvl w:val="5"/>
    </w:pPr>
    <w:rPr>
      <w:rFonts w:ascii="Arial" w:hAnsi="Arial" w:eastAsia="等线" w:cs="Arial"/>
      <w:b/>
      <w:bCs/>
      <w:sz w:val="24"/>
      <w:szCs w:val="24"/>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semiHidden/>
    <w:unhideWhenUsed/>
    <w:qFormat/>
    <w:uiPriority w:val="99"/>
    <w:pPr>
      <w:spacing w:after="120"/>
    </w:pPr>
  </w:style>
  <w:style w:type="paragraph" w:styleId="9">
    <w:name w:val="Body Text Indent"/>
    <w:basedOn w:val="1"/>
    <w:next w:val="1"/>
    <w:qFormat/>
    <w:uiPriority w:val="0"/>
    <w:pPr>
      <w:spacing w:line="280" w:lineRule="atLeast"/>
      <w:ind w:left="-100" w:leftChars="-100" w:hanging="389" w:hangingChars="216"/>
    </w:pPr>
    <w:rPr>
      <w:rFonts w:ascii="宋体" w:hAnsi="宋体"/>
      <w:sz w:val="18"/>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footnote text"/>
    <w:link w:val="20"/>
    <w:semiHidden/>
    <w:unhideWhenUsed/>
    <w:qFormat/>
    <w:uiPriority w:val="99"/>
    <w:pPr>
      <w:spacing w:after="0" w:line="240" w:lineRule="auto"/>
    </w:pPr>
    <w:rPr>
      <w:rFonts w:ascii="Times New Roman" w:hAnsi="Times New Roman" w:eastAsia="宋体" w:cs="Times New Roman"/>
      <w:sz w:val="20"/>
      <w:szCs w:val="20"/>
    </w:rPr>
  </w:style>
  <w:style w:type="paragraph" w:styleId="13">
    <w:name w:val="Title"/>
    <w:qFormat/>
    <w:uiPriority w:val="0"/>
    <w:pPr>
      <w:spacing w:before="480" w:after="480" w:line="288" w:lineRule="auto"/>
      <w:ind w:left="0"/>
    </w:pPr>
    <w:rPr>
      <w:rFonts w:ascii="Arial" w:hAnsi="Arial" w:eastAsia="等线" w:cs="Arial"/>
      <w:b/>
      <w:bCs/>
      <w:sz w:val="52"/>
      <w:szCs w:val="52"/>
    </w:rPr>
  </w:style>
  <w:style w:type="paragraph" w:styleId="14">
    <w:name w:val="Body Text First Indent 2"/>
    <w:basedOn w:val="9"/>
    <w:next w:val="1"/>
    <w:qFormat/>
    <w:uiPriority w:val="0"/>
    <w:pPr>
      <w:widowControl w:val="0"/>
      <w:spacing w:after="120" w:afterLines="0"/>
      <w:ind w:left="200" w:leftChars="200" w:firstLine="200" w:firstLineChars="200"/>
      <w:jc w:val="both"/>
    </w:pPr>
    <w:rPr>
      <w:rFonts w:ascii="Calibri" w:hAnsi="Calibri"/>
      <w:kern w:val="2"/>
      <w:sz w:val="21"/>
      <w:szCs w:val="24"/>
      <w:lang w:val="en-US" w:eastAsia="zh-CN" w:bidi="ar-SA"/>
    </w:rPr>
  </w:style>
  <w:style w:type="character" w:styleId="17">
    <w:name w:val="Hyperlink"/>
    <w:unhideWhenUsed/>
    <w:qFormat/>
    <w:uiPriority w:val="99"/>
    <w:rPr>
      <w:color w:val="0563C1"/>
      <w:u w:val="single"/>
    </w:rPr>
  </w:style>
  <w:style w:type="character" w:styleId="18">
    <w:name w:val="footnote reference"/>
    <w:semiHidden/>
    <w:unhideWhenUsed/>
    <w:qFormat/>
    <w:uiPriority w:val="99"/>
    <w:rPr>
      <w:vertAlign w:val="superscript"/>
    </w:rPr>
  </w:style>
  <w:style w:type="paragraph" w:styleId="19">
    <w:name w:val="List Paragraph"/>
    <w:qFormat/>
    <w:uiPriority w:val="0"/>
    <w:rPr>
      <w:rFonts w:ascii="Times New Roman" w:hAnsi="Times New Roman" w:eastAsia="宋体" w:cs="Times New Roman"/>
      <w:sz w:val="21"/>
      <w:szCs w:val="22"/>
    </w:rPr>
  </w:style>
  <w:style w:type="character" w:customStyle="1" w:styleId="20">
    <w:name w:val="Footnote Text Char"/>
    <w:link w:val="12"/>
    <w:autoRedefine/>
    <w:semiHidden/>
    <w:unhideWhenUsed/>
    <w:qFormat/>
    <w:uiPriority w:val="99"/>
    <w:rPr>
      <w:sz w:val="20"/>
      <w:szCs w:val="20"/>
    </w:rPr>
  </w:style>
  <w:style w:type="paragraph" w:customStyle="1" w:styleId="21">
    <w:name w:val="_Style 13"/>
    <w:qFormat/>
    <w:uiPriority w:val="0"/>
    <w:pPr>
      <w:spacing w:before="120" w:after="120" w:line="288" w:lineRule="auto"/>
      <w:ind w:left="0"/>
      <w:jc w:val="left"/>
    </w:pPr>
    <w:rPr>
      <w:rFonts w:ascii="Arial" w:hAnsi="Arial" w:eastAsia="等线" w:cs="Arial"/>
      <w:sz w:val="22"/>
      <w:szCs w:val="22"/>
    </w:rPr>
  </w:style>
  <w:style w:type="paragraph" w:customStyle="1" w:styleId="22">
    <w:name w:val="_Style 14"/>
    <w:qFormat/>
    <w:uiPriority w:val="0"/>
    <w:pPr>
      <w:spacing w:before="120" w:after="120" w:line="288" w:lineRule="auto"/>
      <w:ind w:left="0"/>
      <w:jc w:val="left"/>
    </w:pPr>
    <w:rPr>
      <w:rFonts w:ascii="Arial" w:hAnsi="Arial" w:eastAsia="等线" w:cs="Arial"/>
      <w:color w:val="8F959E"/>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chart" Target="charts/chart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media/ht706/&#38543;&#20415;&#26524;2&#21495;/2025&#24180;&#24314;&#31569;&#19994;&#26126;&#3245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7"/>
      <c:depthPercent val="100"/>
      <c:rAngAx val="0"/>
      <c:perspective val="30"/>
    </c:view3D>
    <c:floor>
      <c:thickness val="0"/>
    </c:floor>
    <c:sideWall>
      <c:thickness val="0"/>
    </c:sideWall>
    <c:backWall>
      <c:thickness val="0"/>
    </c:backWall>
    <c:plotArea>
      <c:layout>
        <c:manualLayout>
          <c:layoutTarget val="inner"/>
          <c:xMode val="edge"/>
          <c:yMode val="edge"/>
          <c:x val="0.00769794721407625"/>
          <c:y val="0.0658809307948021"/>
          <c:w val="0.986803519061584"/>
          <c:h val="0.902991840435177"/>
        </c:manualLayout>
      </c:layout>
      <c:pie3DChart>
        <c:varyColors val="1"/>
        <c:ser>
          <c:idx val="1"/>
          <c:order val="0"/>
          <c:explosion val="0"/>
          <c:dPt>
            <c:idx val="0"/>
            <c:bubble3D val="0"/>
            <c:explosion val="12"/>
            <c:spPr>
              <a:pattFill prst="wdDnDiag">
                <a:fgClr>
                  <a:schemeClr val="accent1"/>
                </a:fgClr>
                <a:bgClr>
                  <a:schemeClr val="bg1"/>
                </a:bgClr>
              </a:pattFill>
              <a:ln w="25400">
                <a:solidFill>
                  <a:schemeClr val="accent1"/>
                </a:solidFill>
              </a:ln>
              <a:scene3d>
                <a:camera prst="orthographicFront"/>
                <a:lightRig rig="threePt" dir="t"/>
              </a:scene3d>
              <a:sp3d contourW="25400"/>
            </c:spPr>
          </c:dPt>
          <c:dPt>
            <c:idx val="1"/>
            <c:bubble3D val="0"/>
            <c:explosion val="0"/>
            <c:spPr>
              <a:solidFill>
                <a:schemeClr val="accent1">
                  <a:lumMod val="60000"/>
                  <a:lumOff val="40000"/>
                </a:schemeClr>
              </a:solidFill>
              <a:ln w="25400">
                <a:solidFill>
                  <a:schemeClr val="accent1">
                    <a:lumMod val="60000"/>
                    <a:lumOff val="40000"/>
                  </a:schemeClr>
                </a:solidFill>
              </a:ln>
              <a:scene3d>
                <a:camera prst="orthographicFront"/>
                <a:lightRig rig="threePt" dir="t"/>
              </a:scene3d>
              <a:sp3d contourW="25400"/>
            </c:spPr>
          </c:dPt>
          <c:dLbls>
            <c:dLbl>
              <c:idx val="0"/>
              <c:layout>
                <c:manualLayout>
                  <c:x val="-0.204178885630499"/>
                  <c:y val="-0.268661226956785"/>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83856375459429"/>
                      <c:h val="0.155555555555556"/>
                    </c:manualLayout>
                  </c15:layout>
                </c:ext>
              </c:extLst>
            </c:dLbl>
            <c:dLbl>
              <c:idx val="1"/>
              <c:layout>
                <c:manualLayout>
                  <c:x val="0.148572236358496"/>
                  <c:y val="0.101010101010101"/>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76081424936387"/>
                      <c:h val="0.155555555555556"/>
                    </c:manualLayout>
                  </c15:layout>
                </c:ext>
              </c:extLst>
            </c:dLbl>
            <c:numFmt formatCode="General" sourceLinked="1"/>
            <c:spPr>
              <a:solidFill>
                <a:schemeClr val="bg1">
                  <a:lumMod val="95000"/>
                  <a:alpha val="48000"/>
                </a:schemeClr>
              </a:solid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000000">
                          <a:alpha val="100000"/>
                        </a:srgbClr>
                      </a:solidFill>
                      <a:prstDash val="solid"/>
                      <a:round/>
                    </a:ln>
                  </c:spPr>
                </c15:leaderLines>
              </c:ext>
            </c:extLst>
          </c:dLbls>
          <c:cat>
            <c:strRef>
              <c:f>分析!$D$225:$D$226</c:f>
              <c:strCache>
                <c:ptCount val="2"/>
                <c:pt idx="0">
                  <c:v>上年结转合同额</c:v>
                </c:pt>
                <c:pt idx="1">
                  <c:v>本年新签合同额</c:v>
                </c:pt>
              </c:strCache>
            </c:strRef>
          </c:cat>
          <c:val>
            <c:numRef>
              <c:f>分析!$E$225:$E$226</c:f>
              <c:numCache>
                <c:formatCode>0.0%</c:formatCode>
                <c:ptCount val="2"/>
                <c:pt idx="0">
                  <c:v>0.6</c:v>
                </c:pt>
                <c:pt idx="1">
                  <c:v>0.4</c:v>
                </c:pt>
              </c:numCache>
            </c:numRef>
          </c:val>
        </c:ser>
        <c:dLbls>
          <c:showLegendKey val="0"/>
          <c:showVal val="0"/>
          <c:showCatName val="0"/>
          <c:showSerName val="0"/>
          <c:showPercent val="0"/>
          <c:showBubbleSize val="0"/>
        </c:dLbls>
      </c:pie3DChart>
      <c:spPr>
        <a:noFill/>
        <a:ln>
          <a:noFill/>
        </a:ln>
        <a:effectLst/>
      </c:spPr>
    </c:plotArea>
    <c:legend>
      <c:legendPos val="r"/>
      <c:layout>
        <c:manualLayout>
          <c:xMode val="edge"/>
          <c:yMode val="edge"/>
          <c:x val="0.478586723768737"/>
          <c:y val="0.00918273645546373"/>
          <c:w val="0.515907005200367"/>
          <c:h val="0.1931435567799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6350" cap="flat" cmpd="sng" algn="ctr">
      <a:noFill/>
      <a:prstDash val="solid"/>
      <a:round/>
    </a:ln>
  </c:spPr>
  <c:txPr>
    <a:bodyPr wrap="square"/>
    <a:lstStyle/>
    <a:p>
      <a:pPr>
        <a:defRPr lang="zh-CN"/>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4</TotalTime>
  <ScaleCrop>false</ScaleCrop>
  <LinksUpToDate>false</LinksUpToDate>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2411-12-30T00:00:00Z</dcterms:created>
  <dc:creator>Un-named</dc:creator>
  <cp:lastModifiedBy>南安市统计局</cp:lastModifiedBy>
  <cp:lastPrinted>2025-07-24T23:18:00Z</cp:lastPrinted>
  <dcterms:modified xsi:type="dcterms:W3CDTF">2025-08-15T08:04:02Z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3EF3351207B5D924F8BC8168A45CB223</vt:lpwstr>
  </property>
</Properties>
</file>