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B90F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附件4</w:t>
      </w:r>
    </w:p>
    <w:p w14:paraId="602F25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sz w:val="44"/>
          <w:szCs w:val="44"/>
          <w:lang w:val="en-US" w:eastAsia="zh-CN"/>
        </w:rPr>
      </w:pPr>
      <w:bookmarkStart w:id="0" w:name="_GoBack"/>
      <w:r>
        <w:rPr>
          <w:rFonts w:hint="default" w:ascii="Times New Roman" w:hAnsi="Times New Roman" w:eastAsia="方正小标宋简体" w:cs="Times New Roman"/>
          <w:sz w:val="44"/>
          <w:szCs w:val="44"/>
          <w:lang w:val="en-US" w:eastAsia="zh-CN"/>
        </w:rPr>
        <w:t>2027年福建省稳定粮食生产项目申报指南</w:t>
      </w:r>
    </w:p>
    <w:bookmarkEnd w:id="0"/>
    <w:p w14:paraId="2FAB83A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黑体" w:cs="Times New Roman"/>
          <w:sz w:val="32"/>
          <w:szCs w:val="32"/>
          <w:lang w:val="en-US" w:eastAsia="zh-CN"/>
        </w:rPr>
      </w:pPr>
    </w:p>
    <w:p w14:paraId="3266F58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稳定粮食生产项目分为规模种植双季稻奖补、再生稻高产高效示范、大豆增产增效示范等3个子项目。</w:t>
      </w:r>
    </w:p>
    <w:p w14:paraId="52FA1C8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一、申报条件</w:t>
      </w:r>
    </w:p>
    <w:p w14:paraId="4748FCF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项目县须具备承担项目所需的立地条件、实施主体、人才队伍及组织协调能力，确保项目任务如期完成。具体要求如下：</w:t>
      </w:r>
    </w:p>
    <w:p w14:paraId="482313F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 w:cs="Times New Roman"/>
          <w:sz w:val="32"/>
          <w:szCs w:val="32"/>
          <w:lang w:val="en-US" w:eastAsia="zh-CN"/>
        </w:rPr>
        <w:t>（一）规模种植双季稻奖补。</w:t>
      </w:r>
      <w:r>
        <w:rPr>
          <w:rFonts w:hint="default" w:ascii="Times New Roman" w:hAnsi="Times New Roman" w:eastAsia="方正仿宋_GBK" w:cs="Times New Roman"/>
          <w:sz w:val="32"/>
          <w:szCs w:val="32"/>
          <w:lang w:val="en-US" w:eastAsia="zh-CN"/>
        </w:rPr>
        <w:t>规模种植双季稻奖补申报条件为在同一地块连作种植早稻、晚稻，且相对连片种植面积30亩以上的，按双季稻的一季种植面积予以补助（本次申报为摸底申报，具体实施以正式文件为准）。</w:t>
      </w:r>
    </w:p>
    <w:p w14:paraId="5B17945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 w:cs="Times New Roman"/>
          <w:sz w:val="32"/>
          <w:szCs w:val="32"/>
          <w:lang w:val="en-US" w:eastAsia="zh-CN"/>
        </w:rPr>
        <w:t>（二）再生稻高产高效示范。</w:t>
      </w:r>
      <w:r>
        <w:rPr>
          <w:rFonts w:hint="default" w:ascii="Times New Roman" w:hAnsi="Times New Roman" w:eastAsia="方正仿宋_GBK" w:cs="Times New Roman"/>
          <w:sz w:val="32"/>
          <w:szCs w:val="32"/>
          <w:lang w:val="en-US" w:eastAsia="zh-CN"/>
        </w:rPr>
        <w:t>2025年再生稻面积500亩以上的县（市、区）申报，需建立百亩或千亩以上高产高效示范片。优先扶持“稻-再-油”模式示范片。</w:t>
      </w:r>
    </w:p>
    <w:p w14:paraId="1937B84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 w:cs="Times New Roman"/>
          <w:sz w:val="32"/>
          <w:szCs w:val="32"/>
          <w:lang w:val="en-US" w:eastAsia="zh-CN"/>
        </w:rPr>
        <w:t>（三）大豆增产增效示范。</w:t>
      </w:r>
      <w:r>
        <w:rPr>
          <w:rFonts w:hint="default" w:ascii="Times New Roman" w:hAnsi="Times New Roman" w:eastAsia="方正仿宋_GBK" w:cs="Times New Roman"/>
          <w:sz w:val="32"/>
          <w:szCs w:val="32"/>
          <w:lang w:val="en-US" w:eastAsia="zh-CN"/>
        </w:rPr>
        <w:t>2025年大豆种植面积10000亩以上的县必须申报该项目，其他县（市、区）根据示范片建设需要申报。承担大豆项目的主体可同时承担其他项目，但补助资金的使用内容不能重复。</w:t>
      </w:r>
    </w:p>
    <w:p w14:paraId="2B56C76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 w:cs="Times New Roman"/>
          <w:sz w:val="32"/>
          <w:szCs w:val="32"/>
          <w:lang w:val="en-US" w:eastAsia="zh-CN"/>
        </w:rPr>
        <w:t>（四）</w:t>
      </w:r>
      <w:r>
        <w:rPr>
          <w:rFonts w:hint="default" w:ascii="Times New Roman" w:hAnsi="Times New Roman" w:eastAsia="方正仿宋_GBK" w:cs="Times New Roman"/>
          <w:sz w:val="32"/>
          <w:szCs w:val="32"/>
          <w:lang w:val="en-US" w:eastAsia="zh-CN"/>
        </w:rPr>
        <w:t>申报主体为种粮大户、家庭农场、农民专业合作社等新型农业经营主体。</w:t>
      </w:r>
    </w:p>
    <w:p w14:paraId="4E24379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黑体" w:cs="Times New Roman"/>
          <w:sz w:val="32"/>
          <w:szCs w:val="32"/>
          <w:lang w:val="en-US" w:eastAsia="zh-CN"/>
        </w:rPr>
        <w:t>二、建设内容</w:t>
      </w:r>
    </w:p>
    <w:p w14:paraId="7A24675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规模种植双季稻补助资金为奖补资金，不作建设要求。其他子项目建设要求如下。</w:t>
      </w:r>
    </w:p>
    <w:p w14:paraId="622A27B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 w:cs="Times New Roman"/>
          <w:sz w:val="32"/>
          <w:szCs w:val="32"/>
          <w:lang w:val="en-US" w:eastAsia="zh-CN"/>
        </w:rPr>
        <w:t>（一）再生稻高产高效示范。</w:t>
      </w:r>
      <w:r>
        <w:rPr>
          <w:rFonts w:hint="default" w:ascii="Times New Roman" w:hAnsi="Times New Roman" w:eastAsia="方正仿宋_GBK" w:cs="Times New Roman"/>
          <w:sz w:val="32"/>
          <w:szCs w:val="32"/>
          <w:lang w:val="en-US" w:eastAsia="zh-CN"/>
        </w:rPr>
        <w:t>每个项目县建设再生稻高产高效百亩以上示范片3个以上，总面积500亩以上。在示范片集成示范推广合理密植、优化品种、优化播期、控肥水和“一喷多促”等技术，推进农机农艺融合，总结推广成熟技术模式，进一步挖掘再生稻生产潜力。申报项目的县（市、区）同时要能够承担机收再生稻品种筛选、密植规格和不同栽培对比等试验内容。</w:t>
      </w:r>
    </w:p>
    <w:p w14:paraId="375EB17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 w:cs="Times New Roman"/>
          <w:sz w:val="32"/>
          <w:szCs w:val="32"/>
          <w:lang w:val="en-US" w:eastAsia="zh-CN"/>
        </w:rPr>
        <w:t>（二）大豆增产增效示范。</w:t>
      </w:r>
      <w:r>
        <w:rPr>
          <w:rFonts w:hint="default" w:ascii="Times New Roman" w:hAnsi="Times New Roman" w:eastAsia="方正仿宋_GBK" w:cs="Times New Roman"/>
          <w:sz w:val="32"/>
          <w:szCs w:val="32"/>
          <w:lang w:val="en-US" w:eastAsia="zh-CN"/>
        </w:rPr>
        <w:t>支持建立一批10亩以上的清种、间作套种等大豆增产增效示范片，总面积500亩以上；重点推广高油高蛋白或高产大豆品种，集成应用适期精量播种、合理施肥、机械化收获等增产增效技术；培育一批大豆规模种植经营主体，引进大豆生产加工设备，促进大豆产业化发展；开展玉米大豆带状复合种植技术试验示范，挖掘大豆扩种潜力。</w:t>
      </w:r>
    </w:p>
    <w:p w14:paraId="0578074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三、申报要求</w:t>
      </w:r>
    </w:p>
    <w:p w14:paraId="6A75F68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县级农业农村部门按照要求提交申报有关材料（附件6-1、6-2、6-3），于11月10日前行文上报设区市；设区市农业农村部门汇总盖章后于11月15日前上报省农业农村厅，项目县名单及具体实施内容按项目管理要求确定。</w:t>
      </w:r>
    </w:p>
    <w:p w14:paraId="567EFE3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规模种植双季稻奖补申报暂时按照《福建省规模种植双季稻和蔬菜大棚轮作种植单季稻补助政策实施方案（试行）》（闽农综〔2021〕78号）要求，县级于2026年11月10日前农财两家联文上报设区市，设区市农业农村部门汇总后，于2026年11月15日前联合设区市财政局上报省农业农村厅、财政厅。</w:t>
      </w:r>
    </w:p>
    <w:p w14:paraId="766B11F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5A1EB5"/>
    <w:rsid w:val="455A1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2026-10-30T07:03:00Z</dcterms:created>
  <dc:creator>YAN</dc:creator>
  <cp:lastModifiedBy>YAN</cp:lastModifiedBy>
  <dcterms:modified xsi:type="dcterms:W3CDTF">2026-10-30T07:03:46Z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19FB4DD2AD4540B9990C0DF573FCB177_11</vt:lpwstr>
  </property>
  <property fmtid="{D5CDD505-2E9C-101B-9397-08002B2CF9AE}" pid="4" name="KSOTemplateDocerSaveRecord">
    <vt:lpwstr>eyJoZGlkIjoiZmYwZTFjMTZkZDkwNmQzNzY3NzMzNDE2OWJhN2FhN2IiLCJ1c2VySWQiOiIzMTE3Nzg1NTMifQ==</vt:lpwstr>
  </property>
</Properties>
</file>