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BE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7FD9D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705D7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2025年泉州市级特色现代农业发展专项资金（第二批规模种植旱稻）安排表</w:t>
      </w:r>
      <w:bookmarkEnd w:id="0"/>
    </w:p>
    <w:tbl>
      <w:tblPr>
        <w:tblStyle w:val="3"/>
        <w:tblpPr w:leftFromText="180" w:rightFromText="180" w:vertAnchor="text" w:horzAnchor="page" w:tblpX="1516" w:tblpY="543"/>
        <w:tblOverlap w:val="never"/>
        <w:tblW w:w="13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655"/>
        <w:gridCol w:w="1845"/>
        <w:gridCol w:w="2010"/>
        <w:gridCol w:w="1530"/>
        <w:gridCol w:w="1410"/>
        <w:gridCol w:w="1875"/>
        <w:gridCol w:w="1275"/>
      </w:tblGrid>
      <w:tr w14:paraId="5B11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实施主体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实施地点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"/>
              </w:rPr>
              <w:t>实施内容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  <w:p w14:paraId="305E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</w:p>
          <w:p w14:paraId="0580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4A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南安市石井镇永裕家庭农场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石井镇老港村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旱稻规模种植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A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洪清培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石井镇杨山村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旱稻规模种植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E6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南安市顺和家庭农场（个人独资）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水头镇朴一村、朴二村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旱稻规模种植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4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晋江市陈埭镇闽禾一芳农场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水头镇埕边村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旱稻规模种植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6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A3903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92E3231">
      <w:pPr>
        <w:pStyle w:val="5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C6341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3932"/>
    <w:rsid w:val="21A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eastAsia="仿宋_GB2312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2026-01-28T08:20:00Z</dcterms:created>
  <dc:creator>YAN</dc:creator>
  <cp:lastModifiedBy>YAN</cp:lastModifiedBy>
  <dcterms:modified xsi:type="dcterms:W3CDTF">2026-01-28T08:20:36Z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569645107B1D42D4A6E230C09BD41308_11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