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8A471">
      <w:pPr>
        <w:spacing w:line="580" w:lineRule="exact"/>
        <w:rPr>
          <w:rFonts w:hint="default" w:ascii="Times New Roman" w:hAnsi="Times New Roman" w:eastAsia="黑体" w:cs="Times New Roman"/>
          <w:kern w:val="0"/>
          <w:sz w:val="32"/>
          <w:szCs w:val="36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6"/>
        </w:rPr>
        <w:t>附件2</w:t>
      </w:r>
    </w:p>
    <w:p w14:paraId="170C344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柑橘黄龙病防控示范项目验收结果及拟补助资金表</w:t>
      </w:r>
    </w:p>
    <w:bookmarkEnd w:id="0"/>
    <w:p w14:paraId="75690B85"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kern w:val="0"/>
          <w:sz w:val="44"/>
          <w:szCs w:val="44"/>
        </w:rPr>
        <w:t xml:space="preserve">                                   </w:t>
      </w:r>
    </w:p>
    <w:tbl>
      <w:tblPr>
        <w:tblStyle w:val="3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30"/>
        <w:gridCol w:w="1860"/>
        <w:gridCol w:w="2408"/>
        <w:gridCol w:w="1357"/>
        <w:gridCol w:w="2250"/>
      </w:tblGrid>
      <w:tr w14:paraId="6D76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0C372C3">
            <w:pPr>
              <w:pStyle w:val="2"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5430" w:type="dxa"/>
            <w:vAlign w:val="center"/>
          </w:tcPr>
          <w:p w14:paraId="6B38FDBF">
            <w:pPr>
              <w:pStyle w:val="2"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  <w:szCs w:val="24"/>
              </w:rPr>
              <w:t>实施单位</w:t>
            </w:r>
          </w:p>
        </w:tc>
        <w:tc>
          <w:tcPr>
            <w:tcW w:w="1860" w:type="dxa"/>
            <w:vAlign w:val="center"/>
          </w:tcPr>
          <w:p w14:paraId="1B3D4364">
            <w:pPr>
              <w:pStyle w:val="2"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  <w:szCs w:val="24"/>
              </w:rPr>
              <w:t>示范地点</w:t>
            </w:r>
          </w:p>
        </w:tc>
        <w:tc>
          <w:tcPr>
            <w:tcW w:w="2408" w:type="dxa"/>
            <w:vAlign w:val="center"/>
          </w:tcPr>
          <w:p w14:paraId="2CC80A82">
            <w:pPr>
              <w:pStyle w:val="2"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  <w:szCs w:val="24"/>
              </w:rPr>
              <w:t>项目内容</w:t>
            </w:r>
          </w:p>
        </w:tc>
        <w:tc>
          <w:tcPr>
            <w:tcW w:w="1357" w:type="dxa"/>
            <w:vAlign w:val="center"/>
          </w:tcPr>
          <w:p w14:paraId="43F7C89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  <w:t>验收结果</w:t>
            </w:r>
          </w:p>
        </w:tc>
        <w:tc>
          <w:tcPr>
            <w:tcW w:w="2250" w:type="dxa"/>
            <w:vAlign w:val="center"/>
          </w:tcPr>
          <w:p w14:paraId="7C03B3D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  <w:t>拟补助资金（万元）</w:t>
            </w:r>
          </w:p>
        </w:tc>
      </w:tr>
      <w:tr w14:paraId="10F9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0" w:type="dxa"/>
            <w:shd w:val="clear" w:color="auto" w:fill="auto"/>
            <w:vAlign w:val="center"/>
          </w:tcPr>
          <w:p w14:paraId="1D3043D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30" w:type="dxa"/>
            <w:shd w:val="clear" w:color="000000" w:fill="FFFFFF"/>
            <w:vAlign w:val="center"/>
          </w:tcPr>
          <w:p w14:paraId="1ABA89D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南安市大山埔芦柑家庭农场（个人独资）</w:t>
            </w:r>
          </w:p>
        </w:tc>
        <w:tc>
          <w:tcPr>
            <w:tcW w:w="1860" w:type="dxa"/>
            <w:shd w:val="clear" w:color="000000" w:fill="FFFFFF"/>
            <w:vAlign w:val="center"/>
          </w:tcPr>
          <w:p w14:paraId="5CA01C5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英都镇仕林村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14:paraId="4661D91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柑橘黄龙病防控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14:paraId="5FC961A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250" w:type="dxa"/>
            <w:vAlign w:val="center"/>
          </w:tcPr>
          <w:p w14:paraId="1D853E7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0FA1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0" w:type="dxa"/>
            <w:shd w:val="clear" w:color="auto" w:fill="auto"/>
            <w:vAlign w:val="center"/>
          </w:tcPr>
          <w:p w14:paraId="1888430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30" w:type="dxa"/>
            <w:shd w:val="clear" w:color="000000" w:fill="FFFFFF"/>
            <w:vAlign w:val="center"/>
          </w:tcPr>
          <w:p w14:paraId="6943924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南安市万景茶果种植专业合作社</w:t>
            </w:r>
          </w:p>
        </w:tc>
        <w:tc>
          <w:tcPr>
            <w:tcW w:w="1860" w:type="dxa"/>
            <w:shd w:val="clear" w:color="000000" w:fill="FFFFFF"/>
            <w:vAlign w:val="center"/>
          </w:tcPr>
          <w:p w14:paraId="20AB8FE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蓬华镇山城村</w:t>
            </w:r>
          </w:p>
        </w:tc>
        <w:tc>
          <w:tcPr>
            <w:tcW w:w="2408" w:type="dxa"/>
            <w:shd w:val="clear" w:color="000000" w:fill="FFFFFF"/>
          </w:tcPr>
          <w:p w14:paraId="47B0FDF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柑橘黄龙病防控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14:paraId="64F989F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250" w:type="dxa"/>
            <w:vAlign w:val="center"/>
          </w:tcPr>
          <w:p w14:paraId="4FF7110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0B02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0" w:type="dxa"/>
            <w:shd w:val="clear" w:color="auto" w:fill="auto"/>
            <w:vAlign w:val="center"/>
          </w:tcPr>
          <w:p w14:paraId="643F686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30" w:type="dxa"/>
            <w:shd w:val="clear" w:color="000000" w:fill="FFFFFF"/>
            <w:vAlign w:val="center"/>
          </w:tcPr>
          <w:p w14:paraId="72FBC62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南安市顺金家庭农场</w:t>
            </w:r>
          </w:p>
        </w:tc>
        <w:tc>
          <w:tcPr>
            <w:tcW w:w="1860" w:type="dxa"/>
            <w:shd w:val="clear" w:color="000000" w:fill="FFFFFF"/>
            <w:vAlign w:val="center"/>
          </w:tcPr>
          <w:p w14:paraId="568F86E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诗山镇坊前村</w:t>
            </w:r>
          </w:p>
        </w:tc>
        <w:tc>
          <w:tcPr>
            <w:tcW w:w="2408" w:type="dxa"/>
            <w:shd w:val="clear" w:color="000000" w:fill="FFFFFF"/>
          </w:tcPr>
          <w:p w14:paraId="0EE928F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柑橘黄龙病防控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14:paraId="498709A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250" w:type="dxa"/>
            <w:vAlign w:val="center"/>
          </w:tcPr>
          <w:p w14:paraId="448B68C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1.3</w:t>
            </w:r>
          </w:p>
        </w:tc>
      </w:tr>
      <w:tr w14:paraId="02A8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0" w:type="dxa"/>
            <w:shd w:val="clear" w:color="auto" w:fill="auto"/>
            <w:vAlign w:val="center"/>
          </w:tcPr>
          <w:p w14:paraId="3A43B81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430" w:type="dxa"/>
            <w:shd w:val="clear" w:color="000000" w:fill="FFFFFF"/>
            <w:vAlign w:val="center"/>
          </w:tcPr>
          <w:p w14:paraId="6C16D33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南安市乐峰镇再辉家庭农场</w:t>
            </w:r>
          </w:p>
        </w:tc>
        <w:tc>
          <w:tcPr>
            <w:tcW w:w="1860" w:type="dxa"/>
            <w:shd w:val="clear" w:color="000000" w:fill="FFFFFF"/>
            <w:vAlign w:val="center"/>
          </w:tcPr>
          <w:p w14:paraId="6C0DFFC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乐峰镇湖内村</w:t>
            </w:r>
          </w:p>
        </w:tc>
        <w:tc>
          <w:tcPr>
            <w:tcW w:w="2408" w:type="dxa"/>
            <w:shd w:val="clear" w:color="000000" w:fill="FFFFFF"/>
          </w:tcPr>
          <w:p w14:paraId="106C19E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柑橘黄龙病防控</w:t>
            </w:r>
          </w:p>
        </w:tc>
        <w:tc>
          <w:tcPr>
            <w:tcW w:w="1357" w:type="dxa"/>
            <w:shd w:val="clear" w:color="000000" w:fill="FFFFFF"/>
            <w:vAlign w:val="center"/>
          </w:tcPr>
          <w:p w14:paraId="655BFE5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250" w:type="dxa"/>
            <w:vAlign w:val="center"/>
          </w:tcPr>
          <w:p w14:paraId="7DCDD7D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0.56</w:t>
            </w:r>
          </w:p>
        </w:tc>
      </w:tr>
      <w:tr w14:paraId="675E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0598" w:type="dxa"/>
            <w:gridSpan w:val="4"/>
            <w:vAlign w:val="center"/>
          </w:tcPr>
          <w:p w14:paraId="08B27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357" w:type="dxa"/>
            <w:vAlign w:val="center"/>
          </w:tcPr>
          <w:p w14:paraId="4285950A">
            <w:pPr>
              <w:widowControl/>
              <w:spacing w:line="8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24C13A2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4.86</w:t>
            </w:r>
          </w:p>
        </w:tc>
      </w:tr>
    </w:tbl>
    <w:p w14:paraId="26701F2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F4A4C"/>
    <w:rsid w:val="6FD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6400"/>
      </w:tabs>
      <w:snapToGrid w:val="0"/>
      <w:spacing w:line="360" w:lineRule="atLeast"/>
      <w:jc w:val="left"/>
    </w:pPr>
    <w:rPr>
      <w:rFonts w:ascii="仿宋_GB2312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2025-11-19T02:31:00Z</dcterms:created>
  <dc:creator>YAN</dc:creator>
  <cp:lastModifiedBy>YAN</cp:lastModifiedBy>
  <dcterms:modified xsi:type="dcterms:W3CDTF">2025-11-19T02:32:10Z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77C2980DCCFB4BC9ACFE0FC5E7685C17_11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