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20" w:lineRule="exact"/>
        <w:jc w:val="both"/>
        <w:rPr>
          <w:rFonts w:ascii="黑体" w:hAnsi="仿宋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仿宋" w:eastAsia="黑体" w:cs="Times New Roman"/>
          <w:color w:val="000000"/>
          <w:kern w:val="2"/>
          <w:sz w:val="32"/>
          <w:szCs w:val="32"/>
        </w:rPr>
        <w:t>附件4</w:t>
      </w:r>
    </w:p>
    <w:p>
      <w:pPr>
        <w:pStyle w:val="6"/>
        <w:spacing w:before="0" w:beforeAutospacing="0" w:after="0" w:afterAutospacing="0" w:line="52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2"/>
          <w:sz w:val="36"/>
          <w:szCs w:val="36"/>
        </w:rPr>
      </w:pPr>
    </w:p>
    <w:p>
      <w:pPr>
        <w:pStyle w:val="6"/>
        <w:spacing w:before="0" w:beforeAutospacing="0" w:after="0" w:afterAutospacing="0" w:line="52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6"/>
          <w:szCs w:val="36"/>
        </w:rPr>
        <w:t>南安市普惠性民办幼儿园生均补助经费标准</w:t>
      </w:r>
    </w:p>
    <w:tbl>
      <w:tblPr>
        <w:tblStyle w:val="7"/>
        <w:tblW w:w="13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2572"/>
        <w:gridCol w:w="2771"/>
        <w:gridCol w:w="2769"/>
        <w:gridCol w:w="2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316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等级</w:t>
            </w:r>
          </w:p>
        </w:tc>
        <w:tc>
          <w:tcPr>
            <w:tcW w:w="2572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一级（省级示范园）</w:t>
            </w:r>
          </w:p>
        </w:tc>
        <w:tc>
          <w:tcPr>
            <w:tcW w:w="2771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二级（市级示范园）</w:t>
            </w:r>
          </w:p>
        </w:tc>
        <w:tc>
          <w:tcPr>
            <w:tcW w:w="2769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三级（县级示范园）</w:t>
            </w:r>
          </w:p>
        </w:tc>
        <w:tc>
          <w:tcPr>
            <w:tcW w:w="2360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合格幼儿园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16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 w:cs="Times New Roman"/>
                <w:color w:val="000000"/>
                <w:kern w:val="2"/>
                <w:sz w:val="28"/>
                <w:szCs w:val="28"/>
              </w:rPr>
              <w:t>补助标准</w:t>
            </w:r>
          </w:p>
        </w:tc>
        <w:tc>
          <w:tcPr>
            <w:tcW w:w="2572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300元/年.生</w:t>
            </w:r>
          </w:p>
        </w:tc>
        <w:tc>
          <w:tcPr>
            <w:tcW w:w="2771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200元/年.生</w:t>
            </w:r>
          </w:p>
        </w:tc>
        <w:tc>
          <w:tcPr>
            <w:tcW w:w="2769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150元/年.生</w:t>
            </w:r>
          </w:p>
        </w:tc>
        <w:tc>
          <w:tcPr>
            <w:tcW w:w="2360" w:type="dxa"/>
            <w:noWrap/>
            <w:vAlign w:val="center"/>
          </w:tcPr>
          <w:p>
            <w:pPr>
              <w:pStyle w:val="6"/>
              <w:spacing w:before="0" w:beforeAutospacing="0" w:after="0" w:afterAutospacing="0" w:line="520" w:lineRule="exact"/>
              <w:jc w:val="center"/>
              <w:rPr>
                <w:rFonts w:ascii="黑体" w:hAnsi="仿宋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100元/年.生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3359"/>
    <w:rsid w:val="05871898"/>
    <w:rsid w:val="085018CA"/>
    <w:rsid w:val="1F0602BC"/>
    <w:rsid w:val="3A203307"/>
    <w:rsid w:val="41AE149D"/>
    <w:rsid w:val="4C073018"/>
    <w:rsid w:val="556E3359"/>
    <w:rsid w:val="565111B0"/>
    <w:rsid w:val="5F2C1321"/>
    <w:rsid w:val="60C4511D"/>
    <w:rsid w:val="6903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left"/>
      <w:outlineLvl w:val="2"/>
    </w:pPr>
    <w:rPr>
      <w:rFonts w:eastAsia="楷体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jc w:val="left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2019-11-21T03:54:00Z</dcterms:created>
  <dc:creator>WGWNoN</dc:creator>
  <cp:lastModifiedBy>WGWNoN</cp:lastModifiedBy>
  <dcterms:modified xsi:type="dcterms:W3CDTF">2019-11-21T03:54:47Z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