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5A7C0">
      <w:pPr>
        <w:spacing w:line="560" w:lineRule="exact"/>
        <w:jc w:val="both"/>
        <w:rPr>
          <w:rFonts w:hint="eastAsia" w:ascii="Times New Roman" w:hAnsi="Times New Roman"/>
          <w:b/>
          <w:color w:val="131B0C"/>
          <w:sz w:val="36"/>
          <w:szCs w:val="36"/>
        </w:rPr>
      </w:pPr>
    </w:p>
    <w:p w14:paraId="6FAF71F7">
      <w:pPr>
        <w:spacing w:line="560" w:lineRule="exact"/>
        <w:jc w:val="both"/>
        <w:rPr>
          <w:rFonts w:ascii="Times New Roman" w:hAnsi="Times New Roman" w:eastAsia="仿宋_GB2312"/>
          <w:color w:val="131B0C"/>
          <w:sz w:val="32"/>
          <w:szCs w:val="32"/>
        </w:rPr>
      </w:pPr>
    </w:p>
    <w:p w14:paraId="3486CF09">
      <w:pPr>
        <w:spacing w:line="560" w:lineRule="exact"/>
        <w:jc w:val="both"/>
        <w:rPr>
          <w:rFonts w:ascii="Times New Roman" w:hAnsi="Times New Roman" w:eastAsia="仿宋_GB2312"/>
          <w:color w:val="131B0C"/>
          <w:sz w:val="32"/>
          <w:szCs w:val="32"/>
        </w:rPr>
      </w:pPr>
    </w:p>
    <w:p w14:paraId="434E32D1">
      <w:pPr>
        <w:spacing w:line="560" w:lineRule="exact"/>
        <w:jc w:val="both"/>
        <w:rPr>
          <w:rFonts w:ascii="Times New Roman" w:hAnsi="Times New Roman" w:eastAsia="仿宋_GB2312"/>
          <w:color w:val="131B0C"/>
          <w:sz w:val="32"/>
          <w:szCs w:val="32"/>
        </w:rPr>
      </w:pPr>
    </w:p>
    <w:p w14:paraId="1F65E86C">
      <w:pPr>
        <w:keepNext w:val="0"/>
        <w:keepLines w:val="0"/>
        <w:pageBreakBefore w:val="0"/>
        <w:widowControl/>
        <w:kinsoku/>
        <w:wordWrap/>
        <w:overflowPunct/>
        <w:topLinePunct w:val="0"/>
        <w:autoSpaceDE/>
        <w:autoSpaceDN/>
        <w:bidi w:val="0"/>
        <w:adjustRightInd/>
        <w:snapToGrid/>
        <w:spacing w:line="760" w:lineRule="exact"/>
        <w:jc w:val="both"/>
        <w:textAlignment w:val="baseline"/>
        <w:rPr>
          <w:rFonts w:hint="eastAsia" w:ascii="Times New Roman" w:hAnsi="Times New Roman" w:eastAsia="方正仿宋_GBK" w:cs="方正仿宋_GBK"/>
          <w:color w:val="131B0C"/>
          <w:sz w:val="32"/>
          <w:szCs w:val="32"/>
        </w:rPr>
      </w:pPr>
    </w:p>
    <w:p w14:paraId="67159BE3">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Times New Roman" w:hAnsi="Times New Roman" w:eastAsia="方正仿宋_GBK" w:cs="方正仿宋_GBK"/>
          <w:color w:val="131B0C"/>
          <w:sz w:val="32"/>
          <w:szCs w:val="32"/>
        </w:rPr>
      </w:pPr>
    </w:p>
    <w:p w14:paraId="5591A81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方正小标宋简体"/>
          <w:b w:val="0"/>
          <w:bCs/>
          <w:color w:val="131B0C"/>
          <w:sz w:val="44"/>
          <w:szCs w:val="44"/>
          <w:lang w:eastAsia="zh-CN"/>
        </w:rPr>
      </w:pPr>
      <w:r>
        <w:rPr>
          <w:rFonts w:hint="eastAsia" w:ascii="Times New Roman" w:hAnsi="Times New Roman" w:eastAsia="方正仿宋_GBK" w:cs="方正仿宋_GBK"/>
          <w:color w:val="131B0C"/>
          <w:sz w:val="32"/>
          <w:szCs w:val="32"/>
          <w:lang w:val="en-US" w:eastAsia="zh-CN"/>
        </w:rPr>
        <w:t xml:space="preserve">  </w:t>
      </w:r>
      <w:r>
        <w:rPr>
          <w:rFonts w:hint="eastAsia" w:ascii="Times New Roman" w:hAnsi="Times New Roman" w:eastAsia="方正仿宋_GBK" w:cs="方正仿宋_GBK"/>
          <w:color w:val="131B0C"/>
          <w:sz w:val="32"/>
          <w:szCs w:val="32"/>
        </w:rPr>
        <w:t>南交〔20</w:t>
      </w:r>
      <w:r>
        <w:rPr>
          <w:rFonts w:hint="eastAsia" w:ascii="Times New Roman" w:hAnsi="Times New Roman" w:eastAsia="方正仿宋_GBK" w:cs="方正仿宋_GBK"/>
          <w:color w:val="131B0C"/>
          <w:sz w:val="32"/>
          <w:szCs w:val="32"/>
          <w:lang w:val="en-US" w:eastAsia="zh-CN"/>
        </w:rPr>
        <w:t>25</w:t>
      </w:r>
      <w:r>
        <w:rPr>
          <w:rFonts w:hint="eastAsia" w:ascii="Times New Roman" w:hAnsi="Times New Roman" w:eastAsia="方正仿宋_GBK" w:cs="方正仿宋_GBK"/>
          <w:color w:val="131B0C"/>
          <w:sz w:val="32"/>
          <w:szCs w:val="32"/>
        </w:rPr>
        <w:t>〕</w:t>
      </w:r>
      <w:r>
        <w:rPr>
          <w:rFonts w:hint="eastAsia" w:ascii="Times New Roman" w:hAnsi="Times New Roman" w:eastAsia="方正仿宋_GBK" w:cs="方正仿宋_GBK"/>
          <w:color w:val="131B0C"/>
          <w:sz w:val="32"/>
          <w:szCs w:val="32"/>
          <w:lang w:val="en-US" w:eastAsia="zh-CN"/>
        </w:rPr>
        <w:t>29</w:t>
      </w:r>
      <w:r>
        <w:rPr>
          <w:rFonts w:hint="eastAsia" w:ascii="Times New Roman" w:hAnsi="Times New Roman" w:eastAsia="方正仿宋_GBK" w:cs="方正仿宋_GBK"/>
          <w:color w:val="131B0C"/>
          <w:sz w:val="32"/>
          <w:szCs w:val="32"/>
        </w:rPr>
        <w:t>号</w:t>
      </w:r>
      <w:r>
        <w:rPr>
          <w:rFonts w:hint="eastAsia" w:ascii="Times New Roman" w:hAnsi="Times New Roman" w:eastAsia="方正仿宋_GBK" w:cs="方正仿宋_GBK"/>
          <w:color w:val="131B0C"/>
          <w:sz w:val="32"/>
          <w:szCs w:val="32"/>
          <w:lang w:val="en-US" w:eastAsia="zh-CN"/>
        </w:rPr>
        <w:t xml:space="preserve">                     签发人：</w:t>
      </w:r>
      <w:r>
        <w:rPr>
          <w:rFonts w:hint="eastAsia" w:ascii="楷体" w:hAnsi="楷体" w:eastAsia="楷体" w:cs="楷体"/>
          <w:color w:val="131B0C"/>
          <w:sz w:val="32"/>
          <w:szCs w:val="32"/>
          <w:lang w:val="en-US" w:eastAsia="zh-CN"/>
        </w:rPr>
        <w:t xml:space="preserve">刘坤来  </w:t>
      </w:r>
      <w:r>
        <w:rPr>
          <w:rFonts w:hint="eastAsia" w:ascii="Times New Roman" w:hAnsi="Times New Roman" w:eastAsia="方正仿宋_GBK" w:cs="方正仿宋_GBK"/>
          <w:color w:val="131B0C"/>
          <w:sz w:val="32"/>
          <w:szCs w:val="32"/>
          <w:lang w:val="en-US" w:eastAsia="zh-CN"/>
        </w:rPr>
        <w:t xml:space="preserve"> </w:t>
      </w:r>
    </w:p>
    <w:p w14:paraId="1E83BA0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sz w:val="32"/>
          <w:szCs w:val="32"/>
          <w:lang w:eastAsia="zh-CN"/>
        </w:rPr>
      </w:pPr>
    </w:p>
    <w:p w14:paraId="1EB1DE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p>
    <w:p w14:paraId="35E686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南安市交通运输局</w:t>
      </w:r>
    </w:p>
    <w:p w14:paraId="4B1635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关于拨付202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季度群养农村公路</w:t>
      </w:r>
    </w:p>
    <w:p w14:paraId="59D47F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南安市级日常保养补助资金的通知</w:t>
      </w:r>
    </w:p>
    <w:p w14:paraId="2F41C81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rPr>
      </w:pPr>
    </w:p>
    <w:p w14:paraId="4BE22CA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r>
        <w:rPr>
          <w:rFonts w:hint="eastAsia" w:ascii="仿宋" w:hAnsi="仿宋" w:eastAsia="仿宋"/>
          <w:sz w:val="32"/>
          <w:szCs w:val="32"/>
        </w:rPr>
        <w:t>各乡镇(街道)人民政府(办事处):</w:t>
      </w:r>
    </w:p>
    <w:p w14:paraId="0A61D603">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 xml:space="preserve">    为做好我市202</w:t>
      </w:r>
      <w:r>
        <w:rPr>
          <w:rFonts w:hint="eastAsia" w:ascii="仿宋" w:hAnsi="仿宋" w:eastAsia="仿宋"/>
          <w:sz w:val="32"/>
          <w:szCs w:val="32"/>
          <w:lang w:val="en-US" w:eastAsia="zh-CN"/>
        </w:rPr>
        <w:t>5</w:t>
      </w:r>
      <w:r>
        <w:rPr>
          <w:rFonts w:hint="eastAsia" w:ascii="仿宋" w:hAnsi="仿宋" w:eastAsia="仿宋"/>
          <w:sz w:val="32"/>
          <w:szCs w:val="32"/>
        </w:rPr>
        <w:t>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w:t>
      </w:r>
      <w:r>
        <w:rPr>
          <w:rFonts w:hint="eastAsia" w:ascii="仿宋" w:hAnsi="仿宋" w:eastAsia="仿宋"/>
          <w:sz w:val="32"/>
          <w:szCs w:val="32"/>
          <w:lang w:val="en-US" w:eastAsia="zh-CN"/>
        </w:rPr>
        <w:t>5</w:t>
      </w:r>
      <w:r>
        <w:rPr>
          <w:rFonts w:hint="eastAsia" w:ascii="仿宋" w:hAnsi="仿宋" w:eastAsia="仿宋"/>
          <w:sz w:val="32"/>
          <w:szCs w:val="32"/>
        </w:rPr>
        <w:t>年第</w:t>
      </w:r>
      <w:r>
        <w:rPr>
          <w:rFonts w:hint="eastAsia" w:ascii="仿宋" w:hAnsi="仿宋" w:eastAsia="仿宋"/>
          <w:sz w:val="32"/>
          <w:szCs w:val="32"/>
          <w:lang w:eastAsia="zh-CN"/>
        </w:rPr>
        <w:t>一</w:t>
      </w:r>
      <w:r>
        <w:rPr>
          <w:rFonts w:hint="eastAsia" w:ascii="仿宋" w:hAnsi="仿宋" w:eastAsia="仿宋"/>
          <w:sz w:val="32"/>
          <w:szCs w:val="32"/>
        </w:rPr>
        <w:t>季度群养农村公路养护指导情况的通报》（南路办〔202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号）统筹安排。经研究，现从市交通运输财政部门预算农村公路养护资金中拨出</w:t>
      </w:r>
      <w:r>
        <w:rPr>
          <w:rFonts w:hint="eastAsia" w:ascii="仿宋" w:hAnsi="仿宋" w:eastAsia="仿宋"/>
          <w:sz w:val="32"/>
          <w:szCs w:val="32"/>
          <w:lang w:val="en-US" w:eastAsia="zh-CN"/>
        </w:rPr>
        <w:t>162.23</w:t>
      </w:r>
      <w:r>
        <w:rPr>
          <w:rFonts w:hint="eastAsia" w:ascii="仿宋" w:hAnsi="仿宋" w:eastAsia="仿宋"/>
          <w:sz w:val="32"/>
          <w:szCs w:val="32"/>
        </w:rPr>
        <w:t>万元作为我市第</w:t>
      </w:r>
      <w:r>
        <w:rPr>
          <w:rFonts w:hint="eastAsia" w:ascii="仿宋" w:hAnsi="仿宋" w:eastAsia="仿宋"/>
          <w:sz w:val="32"/>
          <w:szCs w:val="32"/>
          <w:lang w:eastAsia="zh-CN"/>
        </w:rPr>
        <w:t>一</w:t>
      </w:r>
      <w:r>
        <w:rPr>
          <w:rFonts w:hint="eastAsia" w:ascii="仿宋" w:hAnsi="仿宋" w:eastAsia="仿宋"/>
          <w:sz w:val="32"/>
          <w:szCs w:val="32"/>
        </w:rPr>
        <w:t>季度群养农村公路日常保养补助资金，安排拨付给各乡镇（街道）（具体补助资金详见附件）。请各乡镇（街道）务必加强资金使用管理，确保专款专用，不得截留或挪用他用。</w:t>
      </w:r>
    </w:p>
    <w:p w14:paraId="48C18A3E">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20" w:hanging="1920" w:hangingChars="600"/>
        <w:textAlignment w:val="auto"/>
        <w:rPr>
          <w:rFonts w:hint="eastAsia" w:ascii="仿宋" w:hAnsi="仿宋" w:eastAsia="仿宋"/>
          <w:sz w:val="32"/>
          <w:szCs w:val="32"/>
        </w:rPr>
      </w:pPr>
      <w:r>
        <w:rPr>
          <w:rFonts w:ascii="仿宋" w:hAnsi="仿宋" w:eastAsia="仿宋"/>
          <w:sz w:val="32"/>
          <w:szCs w:val="32"/>
        </w:rPr>
        <w:tab/>
      </w:r>
    </w:p>
    <w:p w14:paraId="00756361">
      <w:pPr>
        <w:keepNext w:val="0"/>
        <w:keepLines w:val="0"/>
        <w:pageBreakBefore w:val="0"/>
        <w:widowControl w:val="0"/>
        <w:tabs>
          <w:tab w:val="left" w:pos="670"/>
        </w:tabs>
        <w:kinsoku/>
        <w:wordWrap/>
        <w:overflowPunct/>
        <w:topLinePunct w:val="0"/>
        <w:autoSpaceDE/>
        <w:autoSpaceDN/>
        <w:bidi w:val="0"/>
        <w:adjustRightInd/>
        <w:snapToGrid/>
        <w:spacing w:line="580" w:lineRule="exact"/>
        <w:ind w:firstLine="960" w:firstLineChars="300"/>
        <w:textAlignment w:val="auto"/>
        <w:rPr>
          <w:rFonts w:hint="eastAsia" w:ascii="仿宋" w:hAnsi="仿宋" w:eastAsia="仿宋"/>
          <w:sz w:val="32"/>
          <w:szCs w:val="32"/>
          <w:lang w:val="en-US" w:eastAsia="zh-CN"/>
        </w:rPr>
      </w:pPr>
      <w:r>
        <w:rPr>
          <w:rFonts w:hint="eastAsia" w:ascii="仿宋" w:hAnsi="仿宋" w:eastAsia="仿宋"/>
          <w:sz w:val="32"/>
          <w:szCs w:val="32"/>
        </w:rPr>
        <w:t>附件：202</w:t>
      </w:r>
      <w:r>
        <w:rPr>
          <w:rFonts w:hint="eastAsia" w:ascii="仿宋" w:hAnsi="仿宋" w:eastAsia="仿宋"/>
          <w:sz w:val="32"/>
          <w:szCs w:val="32"/>
          <w:lang w:val="en-US" w:eastAsia="zh-CN"/>
        </w:rPr>
        <w:t>5</w:t>
      </w:r>
      <w:r>
        <w:rPr>
          <w:rFonts w:hint="eastAsia" w:ascii="仿宋" w:hAnsi="仿宋" w:eastAsia="仿宋"/>
          <w:sz w:val="32"/>
          <w:szCs w:val="32"/>
        </w:rPr>
        <w:t>年第</w:t>
      </w:r>
      <w:r>
        <w:rPr>
          <w:rFonts w:hint="eastAsia" w:ascii="仿宋" w:hAnsi="仿宋" w:eastAsia="仿宋"/>
          <w:sz w:val="32"/>
          <w:szCs w:val="32"/>
          <w:lang w:eastAsia="zh-CN"/>
        </w:rPr>
        <w:t>一</w:t>
      </w:r>
      <w:r>
        <w:rPr>
          <w:rFonts w:hint="eastAsia" w:ascii="仿宋" w:hAnsi="仿宋" w:eastAsia="仿宋"/>
          <w:sz w:val="32"/>
          <w:szCs w:val="32"/>
        </w:rPr>
        <w:t>季度群养农村公路南安市级日常保</w:t>
      </w:r>
      <w:r>
        <w:rPr>
          <w:rFonts w:hint="eastAsia" w:ascii="仿宋" w:hAnsi="仿宋" w:eastAsia="仿宋"/>
          <w:sz w:val="32"/>
          <w:szCs w:val="32"/>
          <w:lang w:val="en-US" w:eastAsia="zh-CN"/>
        </w:rPr>
        <w:t xml:space="preserve"> </w:t>
      </w:r>
    </w:p>
    <w:p w14:paraId="039EE347">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15" w:leftChars="912" w:firstLine="0" w:firstLineChars="0"/>
        <w:textAlignment w:val="auto"/>
        <w:rPr>
          <w:rFonts w:ascii="仿宋" w:hAnsi="仿宋" w:eastAsia="仿宋"/>
          <w:sz w:val="32"/>
          <w:szCs w:val="32"/>
        </w:rPr>
      </w:pPr>
      <w:r>
        <w:rPr>
          <w:rFonts w:hint="eastAsia" w:ascii="仿宋" w:hAnsi="仿宋" w:eastAsia="仿宋"/>
          <w:sz w:val="32"/>
          <w:szCs w:val="32"/>
        </w:rPr>
        <w:t>养补助资金安排表</w:t>
      </w:r>
    </w:p>
    <w:p w14:paraId="11B8C8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r>
        <w:rPr>
          <w:rFonts w:hint="eastAsia" w:ascii="仿宋" w:hAnsi="仿宋" w:eastAsia="仿宋"/>
          <w:sz w:val="32"/>
          <w:szCs w:val="32"/>
        </w:rPr>
        <w:t xml:space="preserve">                   </w:t>
      </w:r>
    </w:p>
    <w:p w14:paraId="13FB71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p>
    <w:p w14:paraId="0C977C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南安市交通运输局</w:t>
      </w:r>
      <w:r>
        <w:rPr>
          <w:rFonts w:hint="eastAsia" w:ascii="仿宋" w:hAnsi="仿宋" w:eastAsia="仿宋"/>
          <w:sz w:val="32"/>
          <w:szCs w:val="32"/>
          <w:lang w:val="en-US" w:eastAsia="zh-CN"/>
        </w:rPr>
        <w:t xml:space="preserve">  </w:t>
      </w:r>
    </w:p>
    <w:p w14:paraId="5C32AF38">
      <w:pPr>
        <w:keepNext w:val="0"/>
        <w:keepLines w:val="0"/>
        <w:pageBreakBefore w:val="0"/>
        <w:widowControl w:val="0"/>
        <w:tabs>
          <w:tab w:val="left" w:pos="4880"/>
        </w:tabs>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14:paraId="6531F9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（此份主动公开）</w:t>
      </w:r>
    </w:p>
    <w:p w14:paraId="4DB4B872">
      <w:pPr>
        <w:pStyle w:val="2"/>
        <w:rPr>
          <w:rFonts w:hint="eastAsia" w:ascii="仿宋" w:hAnsi="仿宋" w:eastAsia="仿宋"/>
          <w:sz w:val="32"/>
          <w:szCs w:val="32"/>
        </w:rPr>
      </w:pPr>
    </w:p>
    <w:p w14:paraId="15321110">
      <w:pPr>
        <w:pStyle w:val="2"/>
        <w:rPr>
          <w:rFonts w:hint="eastAsia" w:ascii="仿宋" w:hAnsi="仿宋" w:eastAsia="仿宋"/>
          <w:sz w:val="32"/>
          <w:szCs w:val="32"/>
        </w:rPr>
      </w:pPr>
    </w:p>
    <w:p w14:paraId="05BE5605">
      <w:pPr>
        <w:pStyle w:val="2"/>
        <w:rPr>
          <w:rFonts w:hint="eastAsia" w:ascii="仿宋" w:hAnsi="仿宋" w:eastAsia="仿宋"/>
          <w:sz w:val="32"/>
          <w:szCs w:val="32"/>
        </w:rPr>
      </w:pPr>
    </w:p>
    <w:p w14:paraId="2A8C0B10">
      <w:pPr>
        <w:pStyle w:val="2"/>
        <w:rPr>
          <w:rFonts w:hint="eastAsia" w:ascii="仿宋" w:hAnsi="仿宋" w:eastAsia="仿宋"/>
          <w:sz w:val="32"/>
          <w:szCs w:val="32"/>
        </w:rPr>
      </w:pPr>
    </w:p>
    <w:p w14:paraId="44400995">
      <w:pPr>
        <w:pStyle w:val="2"/>
        <w:rPr>
          <w:rFonts w:hint="eastAsia" w:ascii="仿宋" w:hAnsi="仿宋" w:eastAsia="仿宋"/>
          <w:sz w:val="32"/>
          <w:szCs w:val="32"/>
        </w:rPr>
      </w:pPr>
    </w:p>
    <w:p w14:paraId="24351119">
      <w:pPr>
        <w:pStyle w:val="2"/>
        <w:rPr>
          <w:rFonts w:hint="eastAsia" w:ascii="仿宋" w:hAnsi="仿宋" w:eastAsia="仿宋"/>
          <w:sz w:val="32"/>
          <w:szCs w:val="32"/>
        </w:rPr>
      </w:pPr>
    </w:p>
    <w:p w14:paraId="49EC6B14">
      <w:pPr>
        <w:pStyle w:val="2"/>
        <w:rPr>
          <w:rFonts w:hint="eastAsia" w:ascii="仿宋" w:hAnsi="仿宋" w:eastAsia="仿宋"/>
          <w:sz w:val="32"/>
          <w:szCs w:val="32"/>
        </w:rPr>
      </w:pPr>
    </w:p>
    <w:p w14:paraId="6C7A9BEC">
      <w:pPr>
        <w:pStyle w:val="2"/>
        <w:rPr>
          <w:rFonts w:hint="eastAsia" w:ascii="仿宋" w:hAnsi="仿宋" w:eastAsia="仿宋"/>
          <w:sz w:val="32"/>
          <w:szCs w:val="32"/>
        </w:rPr>
      </w:pPr>
    </w:p>
    <w:p w14:paraId="30B4A1BD">
      <w:pPr>
        <w:pStyle w:val="2"/>
        <w:rPr>
          <w:rFonts w:hint="eastAsia" w:ascii="仿宋" w:hAnsi="仿宋" w:eastAsia="仿宋"/>
          <w:sz w:val="32"/>
          <w:szCs w:val="32"/>
        </w:rPr>
      </w:pPr>
    </w:p>
    <w:p w14:paraId="5230990C">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46756FDC">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年第</w:t>
      </w:r>
      <w:r>
        <w:rPr>
          <w:rFonts w:hint="eastAsia" w:ascii="方正小标宋简体" w:hAnsi="方正小标宋简体" w:eastAsia="方正小标宋简体" w:cs="方正小标宋简体"/>
          <w:sz w:val="36"/>
          <w:szCs w:val="36"/>
          <w:lang w:eastAsia="zh-CN"/>
        </w:rPr>
        <w:t>一</w:t>
      </w:r>
      <w:r>
        <w:rPr>
          <w:rFonts w:hint="eastAsia" w:ascii="方正小标宋简体" w:hAnsi="方正小标宋简体" w:eastAsia="方正小标宋简体" w:cs="方正小标宋简体"/>
          <w:sz w:val="36"/>
          <w:szCs w:val="36"/>
        </w:rPr>
        <w:t>季度群养农村公路</w:t>
      </w:r>
    </w:p>
    <w:p w14:paraId="0E83B6A0">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南安市级日常保养补助资金安排表</w:t>
      </w:r>
    </w:p>
    <w:tbl>
      <w:tblPr>
        <w:tblStyle w:val="5"/>
        <w:tblW w:w="9537"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1047"/>
        <w:gridCol w:w="1161"/>
        <w:gridCol w:w="1046"/>
        <w:gridCol w:w="1276"/>
        <w:gridCol w:w="777"/>
        <w:gridCol w:w="1118"/>
        <w:gridCol w:w="1019"/>
        <w:gridCol w:w="1033"/>
      </w:tblGrid>
      <w:tr w14:paraId="73BF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3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补助单位</w:t>
            </w: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8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群养公路养护里程（</w:t>
            </w:r>
            <w:r>
              <w:rPr>
                <w:rFonts w:hint="eastAsia" w:ascii="宋体" w:hAnsi="宋体" w:eastAsia="宋体" w:cs="宋体"/>
                <w:i w:val="0"/>
                <w:iCs w:val="0"/>
                <w:color w:val="000000"/>
                <w:kern w:val="0"/>
                <w:sz w:val="20"/>
                <w:szCs w:val="20"/>
                <w:u w:val="none"/>
                <w:lang w:val="en-US" w:eastAsia="zh-CN" w:bidi="ar"/>
              </w:rPr>
              <w:t>Km</w:t>
            </w:r>
            <w:r>
              <w:rPr>
                <w:rFonts w:hint="eastAsia" w:ascii="宋体" w:hAnsi="宋体" w:eastAsia="宋体" w:cs="宋体"/>
                <w:i w:val="0"/>
                <w:iCs w:val="0"/>
                <w:color w:val="000000"/>
                <w:kern w:val="0"/>
                <w:sz w:val="20"/>
                <w:szCs w:val="20"/>
                <w:u w:val="none"/>
                <w:lang w:val="en-US" w:eastAsia="zh-CN" w:bidi="ar"/>
              </w:rPr>
              <w:t>）</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6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养护里程合计(km)</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5B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综合得分</w:t>
            </w: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A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第一季度指导等次</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A5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 合计   （万元）</w:t>
            </w:r>
          </w:p>
        </w:tc>
      </w:tr>
      <w:tr w14:paraId="3527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EF1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B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县道</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F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乡道</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A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村道</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4B6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847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2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指导等次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0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补助比例（%）</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275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3CA7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1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溪美街道</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0CF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2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3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61.105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6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76.155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D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78.01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6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0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B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r>
      <w:tr w14:paraId="6B1A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0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柳城街道</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C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7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4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71.476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3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97.545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7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D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r>
      <w:tr w14:paraId="5710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E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美林街道</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E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42.367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D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50.011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0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95.505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83.47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0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5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F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r>
      <w:tr w14:paraId="7C1D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C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省新镇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0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1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B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57.269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1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104.383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8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88.77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D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0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1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r>
      <w:tr w14:paraId="13A7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2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东田镇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6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25.406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B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69.497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5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123.308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0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218.211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B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84.47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93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0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bookmarkStart w:id="0" w:name="_GoBack"/>
            <w:bookmarkEnd w:id="0"/>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F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r>
      <w:tr w14:paraId="1724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D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仑苍镇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D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38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21.076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E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42.777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7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70.053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4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B7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3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4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r>
      <w:tr w14:paraId="0071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D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英都镇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5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B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120.898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B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194.23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7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83.87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E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1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8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r>
      <w:tr w14:paraId="7B2F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8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翔云镇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39.851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63.452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D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A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84.03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5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C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r>
      <w:tr w14:paraId="7ADD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5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E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52.361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F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59.155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4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120.676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8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B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B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9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r>
      <w:tr w14:paraId="0324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C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金淘镇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A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60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134.821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A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184.638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D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83.01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81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3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3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r>
      <w:tr w14:paraId="459F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5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蓬华镇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7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9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1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48.085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E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3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86.59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C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9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9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r>
      <w:tr w14:paraId="0A10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9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诗山镇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5A2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6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A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131.243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5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171.173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B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85.15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0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8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3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r>
      <w:tr w14:paraId="76F9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3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码头镇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5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0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53.887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4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143.340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7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A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79.85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2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C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r>
      <w:tr w14:paraId="1A09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4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九都镇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D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9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45.863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C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99.585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B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85.68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9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A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r>
      <w:tr w14:paraId="7369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C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C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1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36.327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3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96.731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7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7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0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A2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r>
      <w:tr w14:paraId="10CF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1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罗东镇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E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1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64.474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102.262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8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83.52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5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CD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3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r>
      <w:tr w14:paraId="3DDE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7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4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23.308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2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51.335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E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4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83.86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B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4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7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14:paraId="4F63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B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梅山镇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7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A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92.581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1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139.853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9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80.07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A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B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D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r>
      <w:tr w14:paraId="48BD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D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洪濑镇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8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C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6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134.026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4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199.714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9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84.65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2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9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r>
      <w:tr w14:paraId="144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1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洪梅镇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E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48.969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9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85.085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6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86.76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D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6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6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r>
      <w:tr w14:paraId="1751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9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康美镇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B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B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90.463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9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123.278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F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85.29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A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r>
      <w:tr w14:paraId="7B38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丰州镇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916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C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31.767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D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69.620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5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101.387</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F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80.94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E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F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2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r>
      <w:tr w14:paraId="12CC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霞美镇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7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E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21.953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4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104.123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D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148.884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6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80.72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34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F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8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r>
      <w:tr w14:paraId="568D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7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官桥镇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5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7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9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194.989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268.525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84.86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D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2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B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14:paraId="27A1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5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水头镇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D73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4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A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141.154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1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211.686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85.63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2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D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r>
      <w:tr w14:paraId="066D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6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F9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1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50.897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137.386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4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188.283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E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83.69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E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6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A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r>
      <w:tr w14:paraId="009F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D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8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3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1021.135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C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2318.25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F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3596.307</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CE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41B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0A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1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162.23</w:t>
            </w:r>
          </w:p>
        </w:tc>
      </w:tr>
    </w:tbl>
    <w:p w14:paraId="62F7E243">
      <w:pPr>
        <w:pStyle w:val="2"/>
        <w:keepNext w:val="0"/>
        <w:keepLines w:val="0"/>
        <w:pageBreakBefore w:val="0"/>
        <w:kinsoku/>
        <w:wordWrap/>
        <w:overflowPunct/>
        <w:topLinePunct w:val="0"/>
        <w:autoSpaceDE/>
        <w:autoSpaceDN/>
        <w:bidi w:val="0"/>
        <w:adjustRightInd/>
        <w:snapToGrid/>
        <w:spacing w:line="240" w:lineRule="exact"/>
        <w:rPr>
          <w:rFonts w:hint="eastAsia"/>
        </w:rPr>
      </w:pPr>
    </w:p>
    <w:p w14:paraId="110B99B2">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3A7D9817">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172DE174">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559DAF0F">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1BA96014">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3A0FF97D">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4301F0B5">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5F909EA5">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0239A95C">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5FFBDFE8">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2DE6FEE5">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p w14:paraId="4A5EEB89">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tbl>
      <w:tblPr>
        <w:tblStyle w:val="6"/>
        <w:tblpPr w:leftFromText="180" w:rightFromText="180" w:vertAnchor="text" w:horzAnchor="page" w:tblpX="1737" w:tblpY="9467"/>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12EC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45" w:type="dxa"/>
            <w:tcBorders>
              <w:left w:val="nil"/>
              <w:right w:val="nil"/>
            </w:tcBorders>
            <w:noWrap w:val="0"/>
            <w:vAlign w:val="top"/>
          </w:tcPr>
          <w:p w14:paraId="5FA28899">
            <w:pPr>
              <w:keepNext w:val="0"/>
              <w:keepLines w:val="0"/>
              <w:pageBreakBefore w:val="0"/>
              <w:widowControl w:val="0"/>
              <w:kinsoku/>
              <w:wordWrap/>
              <w:overflowPunct/>
              <w:topLinePunct w:val="0"/>
              <w:autoSpaceDE/>
              <w:autoSpaceDN/>
              <w:bidi w:val="0"/>
              <w:adjustRightInd/>
              <w:snapToGrid/>
              <w:spacing w:line="580" w:lineRule="exact"/>
              <w:ind w:right="329" w:rightChars="0"/>
              <w:jc w:val="left"/>
              <w:textAlignment w:val="auto"/>
              <w:outlineLvl w:val="9"/>
              <w:rPr>
                <w:rFonts w:hint="eastAsia" w:ascii="Times New Roman" w:hAnsi="Times New Roman" w:eastAsia="仿宋_GB2312"/>
                <w:color w:val="auto"/>
                <w:sz w:val="28"/>
                <w:szCs w:val="28"/>
                <w:vertAlign w:val="baseline"/>
                <w:lang w:val="en-US" w:eastAsia="zh-CN"/>
              </w:rPr>
            </w:pPr>
            <w:r>
              <w:rPr>
                <w:rFonts w:hint="eastAsia" w:ascii="Times New Roman" w:hAnsi="Times New Roman" w:eastAsia="仿宋_GB2312"/>
                <w:color w:val="auto"/>
                <w:sz w:val="28"/>
                <w:szCs w:val="28"/>
                <w:vertAlign w:val="baseline"/>
                <w:lang w:val="en-US" w:eastAsia="zh-CN"/>
              </w:rPr>
              <w:t xml:space="preserve"> 南安市交通运输局办公室                 2025年5月28日印发</w:t>
            </w:r>
          </w:p>
        </w:tc>
      </w:tr>
    </w:tbl>
    <w:p w14:paraId="72C8E18D">
      <w:pPr>
        <w:pStyle w:val="2"/>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sz w:val="32"/>
          <w:szCs w:val="32"/>
        </w:rPr>
      </w:pP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B3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13E2C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E13E2C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AB6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ZDJhYTRmNzdhNmYzYmNhNzRjNTM0ZDJkMTZiY2UifQ=="/>
  </w:docVars>
  <w:rsids>
    <w:rsidRoot w:val="00973CED"/>
    <w:rsid w:val="000E550E"/>
    <w:rsid w:val="006766D8"/>
    <w:rsid w:val="00973CED"/>
    <w:rsid w:val="00F50A09"/>
    <w:rsid w:val="0FB01755"/>
    <w:rsid w:val="2104473F"/>
    <w:rsid w:val="332456DF"/>
    <w:rsid w:val="345D2DC8"/>
    <w:rsid w:val="3E193AE8"/>
    <w:rsid w:val="4EE8740B"/>
    <w:rsid w:val="5E0C3A84"/>
    <w:rsid w:val="723E46A0"/>
    <w:rsid w:val="72D118F0"/>
    <w:rsid w:val="7957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802</Words>
  <Characters>1593</Characters>
  <Lines>3</Lines>
  <Paragraphs>1</Paragraphs>
  <TotalTime>2</TotalTime>
  <ScaleCrop>false</ScaleCrop>
  <LinksUpToDate>false</LinksUpToDate>
  <CharactersWithSpaces>1741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cp:lastPrinted>2025-05-28T02:02:00Z</cp:lastPrinted>
  <dcterms:modified xsi:type="dcterms:W3CDTF">2025-05-29T07:32:24Z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E8B78D59E9084E6ABE05A7DC249AA10E_13</vt:lpwstr>
  </property>
  <property fmtid="{D5CDD505-2E9C-101B-9397-08002B2CF9AE}" pid="4" name="KSOTemplateDocerSaveRecord">
    <vt:lpwstr>eyJoZGlkIjoiZjk5YzYwMDkyNTdhYmMxYTg4NDU1ZWNlNmYwOTJkYjkifQ==</vt:lpwstr>
  </property>
</Properties>
</file>