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3517">
      <w:pPr>
        <w:pStyle w:val="7"/>
        <w:keepNext w:val="0"/>
        <w:keepLines w:val="0"/>
        <w:widowControl/>
        <w:suppressLineNumbers w:val="0"/>
        <w:overflowPunct w:val="0"/>
        <w:topLinePunct/>
        <w:autoSpaceDE/>
        <w:autoSpaceDN/>
        <w:snapToGrid/>
        <w:spacing w:beforeAutospacing="0" w:afterAutospacing="0" w:line="240" w:lineRule="auto"/>
        <w:ind w:left="0" w:leftChars="0" w:right="0" w:rightChars="0" w:firstLine="0" w:firstLineChars="0"/>
        <w:jc w:val="both"/>
        <w:rPr>
          <w:rFonts w:hint="eastAsia" w:ascii="国标黑体" w:hAnsi="国标黑体" w:eastAsia="国标黑体" w:cs="国标黑体"/>
          <w:color w:val="auto"/>
          <w:sz w:val="32"/>
          <w:szCs w:val="31"/>
          <w:lang w:eastAsia="zh-CN"/>
        </w:rPr>
      </w:pPr>
      <w:r>
        <w:rPr>
          <w:rFonts w:hint="eastAsia" w:ascii="国标黑体" w:hAnsi="国标黑体" w:eastAsia="国标黑体" w:cs="国标黑体"/>
          <w:color w:val="auto"/>
          <w:sz w:val="32"/>
          <w:szCs w:val="31"/>
          <w:lang w:eastAsia="zh-CN"/>
        </w:rPr>
        <w:t>附件</w:t>
      </w:r>
      <w:r>
        <w:rPr>
          <w:rFonts w:hint="eastAsia" w:ascii="国标黑体" w:hAnsi="国标黑体" w:eastAsia="国标黑体" w:cs="国标黑体"/>
          <w:color w:val="auto"/>
          <w:sz w:val="32"/>
          <w:szCs w:val="31"/>
          <w:lang w:val="en-US" w:eastAsia="zh-CN"/>
        </w:rPr>
        <w:t>1</w:t>
      </w:r>
    </w:p>
    <w:p w14:paraId="3FE8D4BA">
      <w:pPr>
        <w:pStyle w:val="7"/>
        <w:keepNext w:val="0"/>
        <w:keepLines w:val="0"/>
        <w:widowControl/>
        <w:suppressLineNumbers w:val="0"/>
        <w:overflowPunct w:val="0"/>
        <w:topLinePunct/>
        <w:jc w:val="center"/>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44"/>
          <w:szCs w:val="44"/>
          <w:lang w:eastAsia="zh-CN"/>
        </w:rPr>
        <w:t>南安</w:t>
      </w:r>
      <w:r>
        <w:rPr>
          <w:rFonts w:hint="eastAsia" w:ascii="黑体" w:hAnsi="黑体" w:eastAsia="黑体" w:cs="黑体"/>
          <w:color w:val="auto"/>
          <w:sz w:val="44"/>
          <w:szCs w:val="44"/>
        </w:rPr>
        <w:t>市</w:t>
      </w:r>
      <w:r>
        <w:rPr>
          <w:rFonts w:hint="eastAsia" w:ascii="黑体" w:hAnsi="黑体" w:eastAsia="黑体" w:cs="黑体"/>
          <w:color w:val="auto"/>
          <w:sz w:val="44"/>
          <w:szCs w:val="44"/>
          <w:lang w:eastAsia="zh-CN"/>
        </w:rPr>
        <w:t>工信局</w:t>
      </w:r>
      <w:r>
        <w:rPr>
          <w:rFonts w:hint="eastAsia" w:ascii="黑体" w:hAnsi="黑体" w:eastAsia="黑体" w:cs="黑体"/>
          <w:color w:val="auto"/>
          <w:sz w:val="44"/>
          <w:szCs w:val="44"/>
        </w:rPr>
        <w:t>规范涉企行政检查重点任务清单</w:t>
      </w:r>
    </w:p>
    <w:tbl>
      <w:tblPr>
        <w:tblStyle w:val="9"/>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9" w:type="dxa"/>
          <w:left w:w="108" w:type="dxa"/>
          <w:bottom w:w="49" w:type="dxa"/>
          <w:right w:w="108" w:type="dxa"/>
        </w:tblCellMar>
      </w:tblPr>
      <w:tblGrid>
        <w:gridCol w:w="782"/>
        <w:gridCol w:w="9491"/>
        <w:gridCol w:w="3822"/>
      </w:tblGrid>
      <w:tr w14:paraId="119B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rPr>
          <w:trHeight w:val="493" w:hRule="atLeast"/>
        </w:trPr>
        <w:tc>
          <w:tcPr>
            <w:tcW w:w="782" w:type="dxa"/>
          </w:tcPr>
          <w:p w14:paraId="1219E7B0">
            <w:pPr>
              <w:pStyle w:val="7"/>
              <w:keepNext w:val="0"/>
              <w:keepLines w:val="0"/>
              <w:widowControl/>
              <w:suppressLineNumbers w:val="0"/>
              <w:overflowPunct w:val="0"/>
              <w:topLinePunct/>
              <w:jc w:val="center"/>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9491" w:type="dxa"/>
          </w:tcPr>
          <w:p w14:paraId="6E2D9D0C">
            <w:pPr>
              <w:pStyle w:val="7"/>
              <w:keepNext w:val="0"/>
              <w:keepLines w:val="0"/>
              <w:widowControl/>
              <w:suppressLineNumbers w:val="0"/>
              <w:overflowPunct w:val="0"/>
              <w:topLinePunct/>
              <w:jc w:val="center"/>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工作内容及要求</w:t>
            </w:r>
          </w:p>
        </w:tc>
        <w:tc>
          <w:tcPr>
            <w:tcW w:w="3822" w:type="dxa"/>
          </w:tcPr>
          <w:p w14:paraId="53C3F31D">
            <w:pPr>
              <w:pStyle w:val="7"/>
              <w:keepNext w:val="0"/>
              <w:keepLines w:val="0"/>
              <w:widowControl/>
              <w:suppressLineNumbers w:val="0"/>
              <w:overflowPunct w:val="0"/>
              <w:topLinePunct/>
              <w:jc w:val="center"/>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责任科室</w:t>
            </w:r>
          </w:p>
        </w:tc>
      </w:tr>
      <w:tr w14:paraId="2127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rPr>
          <w:trHeight w:val="1258" w:hRule="atLeast"/>
        </w:trPr>
        <w:tc>
          <w:tcPr>
            <w:tcW w:w="782" w:type="dxa"/>
          </w:tcPr>
          <w:p w14:paraId="706A4F92">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c>
          <w:tcPr>
            <w:tcW w:w="9491" w:type="dxa"/>
          </w:tcPr>
          <w:p w14:paraId="73EB4C1B">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开展行政检查主体及行政执法人员清理工作，清理四类“严禁实施行政检查”的组织和个人，并按要求将清理后的适格执法主体及人员名单在“闽执法”平台重新公布。</w:t>
            </w:r>
          </w:p>
        </w:tc>
        <w:tc>
          <w:tcPr>
            <w:tcW w:w="3822" w:type="dxa"/>
          </w:tcPr>
          <w:p w14:paraId="2AE1FBD1">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法规科</w:t>
            </w:r>
          </w:p>
        </w:tc>
      </w:tr>
      <w:tr w14:paraId="7BCC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7C24662D">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p>
        </w:tc>
        <w:tc>
          <w:tcPr>
            <w:tcW w:w="9491" w:type="dxa"/>
          </w:tcPr>
          <w:p w14:paraId="527851EE">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2025年7月上旬前，梳理并公布本部门涉企行政检查事项清单，并动态调整。制定我局2025年行政检查计划。</w:t>
            </w:r>
          </w:p>
        </w:tc>
        <w:tc>
          <w:tcPr>
            <w:tcW w:w="3822" w:type="dxa"/>
          </w:tcPr>
          <w:p w14:paraId="3072CA5F">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法规科牵头，各执法科室配合</w:t>
            </w:r>
          </w:p>
        </w:tc>
      </w:tr>
      <w:tr w14:paraId="7D29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479E404A">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p>
        </w:tc>
        <w:tc>
          <w:tcPr>
            <w:tcW w:w="9491" w:type="dxa"/>
          </w:tcPr>
          <w:p w14:paraId="563891ED">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2025年 9月上旬前，公布本领域同一行政执法机关对同一经营主体实施行政检查的年度频次上限；10月上旬前，制定完善本领域分级分类检查制度和行政检查标准。</w:t>
            </w:r>
          </w:p>
        </w:tc>
        <w:tc>
          <w:tcPr>
            <w:tcW w:w="3822" w:type="dxa"/>
          </w:tcPr>
          <w:p w14:paraId="41DBA27C">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各执法科室按领域落实，并报法规科备案。</w:t>
            </w:r>
          </w:p>
        </w:tc>
      </w:tr>
      <w:tr w14:paraId="78B2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rPr>
          <w:trHeight w:val="903" w:hRule="atLeast"/>
        </w:trPr>
        <w:tc>
          <w:tcPr>
            <w:tcW w:w="782" w:type="dxa"/>
          </w:tcPr>
          <w:p w14:paraId="7EC2D55D">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w:t>
            </w:r>
          </w:p>
        </w:tc>
        <w:tc>
          <w:tcPr>
            <w:tcW w:w="9491" w:type="dxa"/>
          </w:tcPr>
          <w:p w14:paraId="2619A89D">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2025年年底前，分批分次将涉企行政检查主体、人员、事项、依据、文书、标准、计划、频次等信息在“闽执法”平台公示。</w:t>
            </w:r>
          </w:p>
        </w:tc>
        <w:tc>
          <w:tcPr>
            <w:tcW w:w="3822" w:type="dxa"/>
          </w:tcPr>
          <w:p w14:paraId="0F03E7F3">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法规科牵头，各执法科室配合</w:t>
            </w:r>
          </w:p>
        </w:tc>
      </w:tr>
      <w:tr w14:paraId="0CA8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rPr>
          <w:trHeight w:val="879" w:hRule="atLeast"/>
        </w:trPr>
        <w:tc>
          <w:tcPr>
            <w:tcW w:w="782" w:type="dxa"/>
          </w:tcPr>
          <w:p w14:paraId="71B38127">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w:t>
            </w:r>
          </w:p>
        </w:tc>
        <w:tc>
          <w:tcPr>
            <w:tcW w:w="9491" w:type="dxa"/>
          </w:tcPr>
          <w:p w14:paraId="250995F5">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每年4月1日前，各行政执法机关制定年度涉企检查工作计划，报同级司法行政机关备案。</w:t>
            </w:r>
          </w:p>
        </w:tc>
        <w:tc>
          <w:tcPr>
            <w:tcW w:w="3822" w:type="dxa"/>
          </w:tcPr>
          <w:p w14:paraId="09013E1B">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法规科牵头，各执法科室配合</w:t>
            </w:r>
          </w:p>
        </w:tc>
      </w:tr>
      <w:tr w14:paraId="0A15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rPr>
          <w:trHeight w:val="487" w:hRule="atLeast"/>
        </w:trPr>
        <w:tc>
          <w:tcPr>
            <w:tcW w:w="782" w:type="dxa"/>
          </w:tcPr>
          <w:p w14:paraId="54436435">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w:t>
            </w:r>
          </w:p>
        </w:tc>
        <w:tc>
          <w:tcPr>
            <w:tcW w:w="9491" w:type="dxa"/>
          </w:tcPr>
          <w:p w14:paraId="7E633628">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按照上级部署，逐步推行并应用入企“扫码”登记制度。</w:t>
            </w:r>
          </w:p>
        </w:tc>
        <w:tc>
          <w:tcPr>
            <w:tcW w:w="3822" w:type="dxa"/>
          </w:tcPr>
          <w:p w14:paraId="0C0A61A8">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各执法科室</w:t>
            </w:r>
          </w:p>
        </w:tc>
      </w:tr>
      <w:tr w14:paraId="7BFA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5613AE3C">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w:t>
            </w:r>
          </w:p>
        </w:tc>
        <w:tc>
          <w:tcPr>
            <w:tcW w:w="9491" w:type="dxa"/>
          </w:tcPr>
          <w:p w14:paraId="308D051C">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各级行政执法机关实施行政检查前，要报行政执法主体负责人（主要领导或分管领导）批准后实施。实施行政检查时，要出具行政检查通知书，行政检查结束后及时告知企业检查结果。</w:t>
            </w:r>
          </w:p>
        </w:tc>
        <w:tc>
          <w:tcPr>
            <w:tcW w:w="3822" w:type="dxa"/>
          </w:tcPr>
          <w:p w14:paraId="3D8DF110">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各执法科室</w:t>
            </w:r>
          </w:p>
        </w:tc>
      </w:tr>
      <w:tr w14:paraId="0D21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77B5CB27">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w:t>
            </w:r>
          </w:p>
        </w:tc>
        <w:tc>
          <w:tcPr>
            <w:tcW w:w="9491" w:type="dxa"/>
          </w:tcPr>
          <w:p w14:paraId="7BC1D086">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不同领域行政检查标准出现冲突的，有关主管部门要按照规定提请本级政府或者上一级行政机关进行协调。</w:t>
            </w:r>
          </w:p>
        </w:tc>
        <w:tc>
          <w:tcPr>
            <w:tcW w:w="3822" w:type="dxa"/>
          </w:tcPr>
          <w:p w14:paraId="61EC9DF5">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各执法科室</w:t>
            </w:r>
          </w:p>
        </w:tc>
      </w:tr>
      <w:tr w14:paraId="12A2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6302FE67">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w:t>
            </w:r>
          </w:p>
        </w:tc>
        <w:tc>
          <w:tcPr>
            <w:tcW w:w="9491" w:type="dxa"/>
          </w:tcPr>
          <w:p w14:paraId="03F70E37">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关依照《福建省一体化大融合行政执法平台管理暂行办法》规定，使用“闽执法”平台开展涉企行政查。</w:t>
            </w:r>
          </w:p>
        </w:tc>
        <w:tc>
          <w:tcPr>
            <w:tcW w:w="3822" w:type="dxa"/>
          </w:tcPr>
          <w:p w14:paraId="79633126">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各执法科室</w:t>
            </w:r>
          </w:p>
        </w:tc>
      </w:tr>
      <w:tr w14:paraId="1E84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4877CCE7">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w:t>
            </w:r>
          </w:p>
        </w:tc>
        <w:tc>
          <w:tcPr>
            <w:tcW w:w="9491" w:type="dxa"/>
          </w:tcPr>
          <w:p w14:paraId="0CC0F9A0">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拓展“综合查一次”应用范围，除专业性需求较强、耗时较长、安全性要求较高且难以同步的检查事项外，普遍运用“综合查一次”开展行政检查。深化检查联动，各联合检查机关围绕联合检查事项制定综合检查表单，照单检查、照单反馈。</w:t>
            </w:r>
          </w:p>
        </w:tc>
        <w:tc>
          <w:tcPr>
            <w:tcW w:w="3822" w:type="dxa"/>
          </w:tcPr>
          <w:p w14:paraId="5DD0456C">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按照司法局等牵头部门要求，各执法科室配合开展检查。</w:t>
            </w:r>
          </w:p>
        </w:tc>
      </w:tr>
      <w:tr w14:paraId="08EC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06AB0001">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w:t>
            </w:r>
          </w:p>
        </w:tc>
        <w:tc>
          <w:tcPr>
            <w:tcW w:w="9491" w:type="dxa"/>
          </w:tcPr>
          <w:p w14:paraId="00F5977F">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加强国家企业信用信息公示系统（福建）部门协同监管平台应用，推进分级分类监管。</w:t>
            </w:r>
          </w:p>
        </w:tc>
        <w:tc>
          <w:tcPr>
            <w:tcW w:w="3822" w:type="dxa"/>
          </w:tcPr>
          <w:p w14:paraId="7E4E9A3A">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法规科牵头，各执法科室配合</w:t>
            </w:r>
          </w:p>
        </w:tc>
      </w:tr>
      <w:tr w14:paraId="2E13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49130BBC">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w:t>
            </w:r>
          </w:p>
        </w:tc>
        <w:tc>
          <w:tcPr>
            <w:tcW w:w="9491" w:type="dxa"/>
          </w:tcPr>
          <w:p w14:paraId="3A7A264B">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更多通过书面核查、智慧监管等非接触式检查方式开展监管，探索制定并应用“监管白名单”实现差异化监管。</w:t>
            </w:r>
          </w:p>
        </w:tc>
        <w:tc>
          <w:tcPr>
            <w:tcW w:w="3822" w:type="dxa"/>
          </w:tcPr>
          <w:p w14:paraId="21065664">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各执法科室</w:t>
            </w:r>
          </w:p>
        </w:tc>
      </w:tr>
      <w:tr w14:paraId="0073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035E4977">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13</w:t>
            </w:r>
          </w:p>
        </w:tc>
        <w:tc>
          <w:tcPr>
            <w:tcW w:w="9491" w:type="dxa"/>
          </w:tcPr>
          <w:p w14:paraId="3A5903B2">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更多采用提醒、告知、劝阻等柔性执法方式，对于情节轻微或首次违法、未造成危害后果、能及时改正的，根据包容审慎原则依法作出不罚或者免罚决定。</w:t>
            </w:r>
          </w:p>
        </w:tc>
        <w:tc>
          <w:tcPr>
            <w:tcW w:w="3822" w:type="dxa"/>
          </w:tcPr>
          <w:p w14:paraId="43EA2916">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各执法科室</w:t>
            </w:r>
          </w:p>
        </w:tc>
      </w:tr>
      <w:tr w14:paraId="2F3F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9" w:type="dxa"/>
            <w:left w:w="108" w:type="dxa"/>
            <w:bottom w:w="49" w:type="dxa"/>
            <w:right w:w="108" w:type="dxa"/>
          </w:tblCellMar>
        </w:tblPrEx>
        <w:tc>
          <w:tcPr>
            <w:tcW w:w="782" w:type="dxa"/>
          </w:tcPr>
          <w:p w14:paraId="722060DF">
            <w:pPr>
              <w:pStyle w:val="7"/>
              <w:keepNext w:val="0"/>
              <w:keepLines w:val="0"/>
              <w:pageBreakBefore w:val="0"/>
              <w:widowControl/>
              <w:suppressLineNumbers w:val="0"/>
              <w:kinsoku/>
              <w:wordWrap/>
              <w:overflowPunct w:val="0"/>
              <w:topLinePunct/>
              <w:autoSpaceDE/>
              <w:autoSpaceDN/>
              <w:bidi w:val="0"/>
              <w:adjustRightInd/>
              <w:spacing w:line="44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14</w:t>
            </w:r>
          </w:p>
        </w:tc>
        <w:tc>
          <w:tcPr>
            <w:tcW w:w="9491" w:type="dxa"/>
          </w:tcPr>
          <w:p w14:paraId="69731894">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每月第一个周五前整改问题台账报送至市级工作专班</w:t>
            </w:r>
          </w:p>
        </w:tc>
        <w:tc>
          <w:tcPr>
            <w:tcW w:w="3822" w:type="dxa"/>
          </w:tcPr>
          <w:p w14:paraId="1BFC09BD">
            <w:pPr>
              <w:pStyle w:val="7"/>
              <w:keepNext w:val="0"/>
              <w:keepLines w:val="0"/>
              <w:pageBreakBefore w:val="0"/>
              <w:widowControl/>
              <w:suppressLineNumbers w:val="0"/>
              <w:kinsoku/>
              <w:wordWrap/>
              <w:overflowPunct w:val="0"/>
              <w:topLinePunct/>
              <w:autoSpaceDE/>
              <w:autoSpaceDN/>
              <w:bidi w:val="0"/>
              <w:adjustRightInd/>
              <w:spacing w:line="44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法规科牵头，各执法科室配合</w:t>
            </w:r>
          </w:p>
        </w:tc>
      </w:tr>
    </w:tbl>
    <w:tbl>
      <w:tblPr>
        <w:tblStyle w:val="8"/>
        <w:tblpPr w:leftFromText="180" w:rightFromText="180" w:vertAnchor="text" w:horzAnchor="page" w:tblpX="2066" w:tblpY="208"/>
        <w:tblOverlap w:val="never"/>
        <w:tblW w:w="13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2548"/>
        <w:gridCol w:w="1993"/>
        <w:gridCol w:w="2700"/>
        <w:gridCol w:w="1545"/>
        <w:gridCol w:w="2248"/>
        <w:gridCol w:w="1438"/>
      </w:tblGrid>
      <w:tr w14:paraId="3CA1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17" w:type="dxa"/>
            <w:gridSpan w:val="2"/>
            <w:tcBorders>
              <w:top w:val="nil"/>
              <w:left w:val="nil"/>
              <w:bottom w:val="nil"/>
              <w:right w:val="nil"/>
            </w:tcBorders>
            <w:shd w:val="clear" w:color="auto" w:fill="auto"/>
            <w:vAlign w:val="center"/>
          </w:tcPr>
          <w:p w14:paraId="710561CF">
            <w:pPr>
              <w:keepNext w:val="0"/>
              <w:keepLines w:val="0"/>
              <w:widowControl/>
              <w:suppressLineNumbers w:val="0"/>
              <w:jc w:val="left"/>
              <w:textAlignment w:val="center"/>
              <w:rPr>
                <w:rFonts w:ascii="国标黑体" w:hAnsi="国标黑体" w:eastAsia="国标黑体" w:cs="国标黑体"/>
                <w:i w:val="0"/>
                <w:iCs w:val="0"/>
                <w:color w:val="000000"/>
                <w:sz w:val="24"/>
                <w:szCs w:val="24"/>
                <w:u w:val="none"/>
              </w:rPr>
            </w:pPr>
            <w:r>
              <w:rPr>
                <w:rFonts w:hint="eastAsia" w:ascii="国标黑体" w:hAnsi="国标黑体" w:eastAsia="国标黑体" w:cs="国标黑体"/>
                <w:color w:val="auto"/>
                <w:kern w:val="0"/>
                <w:sz w:val="32"/>
                <w:szCs w:val="31"/>
                <w:lang w:val="en-US" w:eastAsia="zh-CN" w:bidi="ar"/>
              </w:rPr>
              <w:t>附件3</w:t>
            </w:r>
          </w:p>
        </w:tc>
        <w:tc>
          <w:tcPr>
            <w:tcW w:w="1993" w:type="dxa"/>
            <w:tcBorders>
              <w:top w:val="nil"/>
              <w:left w:val="nil"/>
              <w:bottom w:val="nil"/>
              <w:right w:val="nil"/>
            </w:tcBorders>
            <w:shd w:val="clear" w:color="auto" w:fill="auto"/>
            <w:vAlign w:val="center"/>
          </w:tcPr>
          <w:p w14:paraId="546474BA">
            <w:pPr>
              <w:rPr>
                <w:rFonts w:hint="eastAsia" w:ascii="宋体" w:hAnsi="宋体" w:eastAsia="宋体" w:cs="宋体"/>
                <w:i w:val="0"/>
                <w:iCs w:val="0"/>
                <w:color w:val="000000"/>
                <w:sz w:val="24"/>
                <w:szCs w:val="24"/>
                <w:u w:val="none"/>
              </w:rPr>
            </w:pPr>
          </w:p>
        </w:tc>
        <w:tc>
          <w:tcPr>
            <w:tcW w:w="2700" w:type="dxa"/>
            <w:tcBorders>
              <w:top w:val="nil"/>
              <w:left w:val="nil"/>
              <w:bottom w:val="nil"/>
              <w:right w:val="nil"/>
            </w:tcBorders>
            <w:shd w:val="clear" w:color="auto" w:fill="auto"/>
            <w:vAlign w:val="center"/>
          </w:tcPr>
          <w:p w14:paraId="4392BDB2">
            <w:pPr>
              <w:rPr>
                <w:rFonts w:hint="eastAsia" w:ascii="宋体" w:hAnsi="宋体" w:eastAsia="宋体" w:cs="宋体"/>
                <w:i w:val="0"/>
                <w:iCs w:val="0"/>
                <w:color w:val="000000"/>
                <w:sz w:val="24"/>
                <w:szCs w:val="24"/>
                <w:u w:val="none"/>
              </w:rPr>
            </w:pPr>
          </w:p>
        </w:tc>
        <w:tc>
          <w:tcPr>
            <w:tcW w:w="1545" w:type="dxa"/>
            <w:tcBorders>
              <w:top w:val="nil"/>
              <w:left w:val="nil"/>
              <w:bottom w:val="nil"/>
              <w:right w:val="nil"/>
            </w:tcBorders>
            <w:shd w:val="clear" w:color="auto" w:fill="auto"/>
            <w:vAlign w:val="center"/>
          </w:tcPr>
          <w:p w14:paraId="56BA83DE">
            <w:pPr>
              <w:rPr>
                <w:rFonts w:hint="eastAsia" w:ascii="宋体" w:hAnsi="宋体" w:eastAsia="宋体" w:cs="宋体"/>
                <w:i w:val="0"/>
                <w:iCs w:val="0"/>
                <w:color w:val="000000"/>
                <w:sz w:val="24"/>
                <w:szCs w:val="24"/>
                <w:u w:val="none"/>
              </w:rPr>
            </w:pPr>
          </w:p>
        </w:tc>
        <w:tc>
          <w:tcPr>
            <w:tcW w:w="2248" w:type="dxa"/>
            <w:tcBorders>
              <w:top w:val="nil"/>
              <w:left w:val="nil"/>
              <w:bottom w:val="nil"/>
              <w:right w:val="nil"/>
            </w:tcBorders>
            <w:shd w:val="clear" w:color="auto" w:fill="auto"/>
            <w:vAlign w:val="center"/>
          </w:tcPr>
          <w:p w14:paraId="16AF2A74">
            <w:pPr>
              <w:rPr>
                <w:rFonts w:hint="eastAsia" w:ascii="宋体" w:hAnsi="宋体" w:eastAsia="宋体" w:cs="宋体"/>
                <w:i w:val="0"/>
                <w:iCs w:val="0"/>
                <w:color w:val="000000"/>
                <w:sz w:val="24"/>
                <w:szCs w:val="24"/>
                <w:u w:val="none"/>
              </w:rPr>
            </w:pPr>
          </w:p>
        </w:tc>
        <w:tc>
          <w:tcPr>
            <w:tcW w:w="1438" w:type="dxa"/>
            <w:tcBorders>
              <w:top w:val="nil"/>
              <w:left w:val="nil"/>
              <w:bottom w:val="nil"/>
              <w:right w:val="nil"/>
            </w:tcBorders>
            <w:shd w:val="clear" w:color="auto" w:fill="auto"/>
            <w:vAlign w:val="center"/>
          </w:tcPr>
          <w:p w14:paraId="4FFBDEF6">
            <w:pPr>
              <w:rPr>
                <w:rFonts w:hint="eastAsia" w:ascii="宋体" w:hAnsi="宋体" w:eastAsia="宋体" w:cs="宋体"/>
                <w:i w:val="0"/>
                <w:iCs w:val="0"/>
                <w:color w:val="000000"/>
                <w:sz w:val="24"/>
                <w:szCs w:val="24"/>
                <w:u w:val="none"/>
              </w:rPr>
            </w:pPr>
          </w:p>
        </w:tc>
      </w:tr>
      <w:tr w14:paraId="60DD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241" w:type="dxa"/>
            <w:gridSpan w:val="7"/>
            <w:tcBorders>
              <w:top w:val="nil"/>
              <w:left w:val="nil"/>
              <w:bottom w:val="nil"/>
              <w:right w:val="nil"/>
            </w:tcBorders>
            <w:shd w:val="clear" w:color="auto" w:fill="auto"/>
            <w:vAlign w:val="center"/>
          </w:tcPr>
          <w:p w14:paraId="2C78640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黑体" w:hAnsi="黑体" w:eastAsia="黑体" w:cs="黑体"/>
                <w:color w:val="auto"/>
                <w:kern w:val="0"/>
                <w:sz w:val="40"/>
                <w:szCs w:val="40"/>
                <w:lang w:val="en-US" w:eastAsia="zh-CN" w:bidi="ar"/>
              </w:rPr>
              <w:t xml:space="preserve">规范涉企行政执法专项行动整改台账发现并解决群众急难愁盼问题台账   </w:t>
            </w:r>
            <w:r>
              <w:rPr>
                <w:rFonts w:hint="eastAsia" w:ascii="方正小标宋简体" w:hAnsi="方正小标宋简体" w:eastAsia="方正小标宋简体" w:cs="方正小标宋简体"/>
                <w:i w:val="0"/>
                <w:iCs w:val="0"/>
                <w:color w:val="000000"/>
                <w:kern w:val="0"/>
                <w:sz w:val="32"/>
                <w:szCs w:val="32"/>
                <w:u w:val="none"/>
                <w:lang w:val="en-US" w:eastAsia="zh-CN" w:bidi="ar"/>
              </w:rPr>
              <w:t xml:space="preserve">                                                                                  </w:t>
            </w:r>
          </w:p>
        </w:tc>
      </w:tr>
      <w:tr w14:paraId="161D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241" w:type="dxa"/>
            <w:gridSpan w:val="7"/>
            <w:tcBorders>
              <w:top w:val="nil"/>
              <w:left w:val="nil"/>
              <w:bottom w:val="nil"/>
              <w:right w:val="nil"/>
            </w:tcBorders>
            <w:shd w:val="clear" w:color="auto" w:fill="auto"/>
            <w:vAlign w:val="center"/>
          </w:tcPr>
          <w:p w14:paraId="7132FB53">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填报单位：                                                                  填报时间：  年  月  日</w:t>
            </w:r>
          </w:p>
        </w:tc>
      </w:tr>
      <w:tr w14:paraId="710E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5897">
            <w:pPr>
              <w:keepNext w:val="0"/>
              <w:keepLines w:val="0"/>
              <w:widowControl/>
              <w:suppressLineNumbers w:val="0"/>
              <w:jc w:val="center"/>
              <w:textAlignment w:val="center"/>
              <w:rPr>
                <w:rFonts w:hint="eastAsia" w:ascii="黑体" w:hAnsi="黑体" w:eastAsia="黑体" w:cs="黑体"/>
                <w:color w:val="auto"/>
                <w:kern w:val="0"/>
                <w:sz w:val="28"/>
                <w:szCs w:val="28"/>
                <w:vertAlign w:val="baseline"/>
                <w:lang w:val="en-US" w:eastAsia="zh-CN" w:bidi="ar"/>
              </w:rPr>
            </w:pPr>
            <w:r>
              <w:rPr>
                <w:rFonts w:hint="eastAsia" w:ascii="黑体" w:hAnsi="黑体" w:eastAsia="黑体" w:cs="黑体"/>
                <w:color w:val="auto"/>
                <w:kern w:val="0"/>
                <w:sz w:val="28"/>
                <w:szCs w:val="28"/>
                <w:vertAlign w:val="baseline"/>
                <w:lang w:val="en-US" w:eastAsia="zh-CN" w:bidi="ar"/>
              </w:rPr>
              <w:t>序号</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EEAA">
            <w:pPr>
              <w:keepNext w:val="0"/>
              <w:keepLines w:val="0"/>
              <w:widowControl/>
              <w:suppressLineNumbers w:val="0"/>
              <w:jc w:val="center"/>
              <w:textAlignment w:val="center"/>
              <w:rPr>
                <w:rFonts w:hint="eastAsia" w:ascii="黑体" w:hAnsi="黑体" w:eastAsia="黑体" w:cs="黑体"/>
                <w:color w:val="auto"/>
                <w:kern w:val="0"/>
                <w:sz w:val="28"/>
                <w:szCs w:val="28"/>
                <w:vertAlign w:val="baseline"/>
                <w:lang w:val="en-US" w:eastAsia="zh-CN" w:bidi="ar"/>
              </w:rPr>
            </w:pPr>
            <w:r>
              <w:rPr>
                <w:rFonts w:hint="eastAsia" w:ascii="黑体" w:hAnsi="黑体" w:eastAsia="黑体" w:cs="黑体"/>
                <w:color w:val="auto"/>
                <w:kern w:val="0"/>
                <w:sz w:val="28"/>
                <w:szCs w:val="28"/>
                <w:vertAlign w:val="baseline"/>
                <w:lang w:val="en-US" w:eastAsia="zh-CN" w:bidi="ar"/>
              </w:rPr>
              <w:t>群众诉求反映</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870">
            <w:pPr>
              <w:keepNext w:val="0"/>
              <w:keepLines w:val="0"/>
              <w:widowControl/>
              <w:suppressLineNumbers w:val="0"/>
              <w:jc w:val="center"/>
              <w:textAlignment w:val="center"/>
              <w:rPr>
                <w:rFonts w:hint="eastAsia" w:ascii="黑体" w:hAnsi="黑体" w:eastAsia="黑体" w:cs="黑体"/>
                <w:color w:val="auto"/>
                <w:kern w:val="0"/>
                <w:sz w:val="28"/>
                <w:szCs w:val="28"/>
                <w:vertAlign w:val="baseline"/>
                <w:lang w:val="en-US" w:eastAsia="zh-CN" w:bidi="ar"/>
              </w:rPr>
            </w:pPr>
            <w:r>
              <w:rPr>
                <w:rFonts w:hint="eastAsia" w:ascii="黑体" w:hAnsi="黑体" w:eastAsia="黑体" w:cs="黑体"/>
                <w:color w:val="auto"/>
                <w:kern w:val="0"/>
                <w:sz w:val="28"/>
                <w:szCs w:val="28"/>
                <w:vertAlign w:val="baseline"/>
                <w:lang w:val="en-US" w:eastAsia="zh-CN" w:bidi="ar"/>
              </w:rPr>
              <w:t>办实事举措</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2B8A">
            <w:pPr>
              <w:keepNext w:val="0"/>
              <w:keepLines w:val="0"/>
              <w:widowControl/>
              <w:suppressLineNumbers w:val="0"/>
              <w:jc w:val="center"/>
              <w:textAlignment w:val="center"/>
              <w:rPr>
                <w:rFonts w:hint="eastAsia" w:ascii="黑体" w:hAnsi="黑体" w:eastAsia="黑体" w:cs="黑体"/>
                <w:color w:val="auto"/>
                <w:kern w:val="0"/>
                <w:sz w:val="28"/>
                <w:szCs w:val="28"/>
                <w:vertAlign w:val="baseline"/>
                <w:lang w:val="en-US" w:eastAsia="zh-CN" w:bidi="ar"/>
              </w:rPr>
            </w:pPr>
            <w:r>
              <w:rPr>
                <w:rFonts w:hint="eastAsia" w:ascii="黑体" w:hAnsi="黑体" w:eastAsia="黑体" w:cs="黑体"/>
                <w:color w:val="auto"/>
                <w:kern w:val="0"/>
                <w:sz w:val="28"/>
                <w:szCs w:val="28"/>
                <w:vertAlign w:val="baseline"/>
                <w:lang w:val="en-US" w:eastAsia="zh-CN" w:bidi="ar"/>
              </w:rPr>
              <w:t>办理进展情况及成效</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BBA">
            <w:pPr>
              <w:keepNext w:val="0"/>
              <w:keepLines w:val="0"/>
              <w:widowControl/>
              <w:suppressLineNumbers w:val="0"/>
              <w:jc w:val="center"/>
              <w:textAlignment w:val="center"/>
              <w:rPr>
                <w:rFonts w:hint="eastAsia" w:ascii="黑体" w:hAnsi="黑体" w:eastAsia="黑体" w:cs="黑体"/>
                <w:color w:val="auto"/>
                <w:kern w:val="0"/>
                <w:sz w:val="28"/>
                <w:szCs w:val="28"/>
                <w:vertAlign w:val="baseline"/>
                <w:lang w:val="en-US" w:eastAsia="zh-CN" w:bidi="ar"/>
              </w:rPr>
            </w:pPr>
            <w:r>
              <w:rPr>
                <w:rFonts w:hint="eastAsia" w:ascii="黑体" w:hAnsi="黑体" w:eastAsia="黑体" w:cs="黑体"/>
                <w:color w:val="auto"/>
                <w:kern w:val="0"/>
                <w:sz w:val="28"/>
                <w:szCs w:val="28"/>
                <w:vertAlign w:val="baseline"/>
                <w:lang w:val="en-US" w:eastAsia="zh-CN" w:bidi="ar"/>
              </w:rPr>
              <w:t>实事属地</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89E0">
            <w:pPr>
              <w:keepNext w:val="0"/>
              <w:keepLines w:val="0"/>
              <w:widowControl/>
              <w:suppressLineNumbers w:val="0"/>
              <w:jc w:val="center"/>
              <w:textAlignment w:val="center"/>
              <w:rPr>
                <w:rFonts w:hint="eastAsia" w:ascii="黑体" w:hAnsi="黑体" w:eastAsia="黑体" w:cs="黑体"/>
                <w:color w:val="auto"/>
                <w:kern w:val="0"/>
                <w:sz w:val="28"/>
                <w:szCs w:val="28"/>
                <w:vertAlign w:val="baseline"/>
                <w:lang w:val="en-US" w:eastAsia="zh-CN" w:bidi="ar"/>
              </w:rPr>
            </w:pPr>
            <w:r>
              <w:rPr>
                <w:rFonts w:hint="eastAsia" w:ascii="黑体" w:hAnsi="黑体" w:eastAsia="黑体" w:cs="黑体"/>
                <w:color w:val="auto"/>
                <w:kern w:val="0"/>
                <w:sz w:val="28"/>
                <w:szCs w:val="28"/>
                <w:vertAlign w:val="baseline"/>
                <w:lang w:val="en-US" w:eastAsia="zh-CN" w:bidi="ar"/>
              </w:rPr>
              <w:t>责任部门</w:t>
            </w:r>
            <w:r>
              <w:rPr>
                <w:rFonts w:hint="eastAsia" w:ascii="黑体" w:hAnsi="黑体" w:eastAsia="黑体" w:cs="黑体"/>
                <w:color w:val="auto"/>
                <w:kern w:val="0"/>
                <w:sz w:val="28"/>
                <w:szCs w:val="28"/>
                <w:vertAlign w:val="baseline"/>
                <w:lang w:val="en-US" w:eastAsia="zh-CN" w:bidi="ar"/>
              </w:rPr>
              <w:br w:type="textWrapping"/>
            </w:r>
            <w:r>
              <w:rPr>
                <w:rFonts w:hint="eastAsia" w:ascii="黑体" w:hAnsi="黑体" w:eastAsia="黑体" w:cs="黑体"/>
                <w:color w:val="auto"/>
                <w:kern w:val="0"/>
                <w:sz w:val="28"/>
                <w:szCs w:val="28"/>
                <w:vertAlign w:val="baseline"/>
                <w:lang w:val="en-US" w:eastAsia="zh-CN" w:bidi="ar"/>
              </w:rPr>
              <w:t>（责任人）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1AE0">
            <w:pPr>
              <w:keepNext w:val="0"/>
              <w:keepLines w:val="0"/>
              <w:widowControl/>
              <w:suppressLineNumbers w:val="0"/>
              <w:jc w:val="center"/>
              <w:textAlignment w:val="center"/>
              <w:rPr>
                <w:rFonts w:hint="eastAsia" w:ascii="黑体" w:hAnsi="黑体" w:eastAsia="黑体" w:cs="黑体"/>
                <w:color w:val="auto"/>
                <w:kern w:val="0"/>
                <w:sz w:val="28"/>
                <w:szCs w:val="28"/>
                <w:vertAlign w:val="baseline"/>
                <w:lang w:val="en-US" w:eastAsia="zh-CN" w:bidi="ar"/>
              </w:rPr>
            </w:pPr>
            <w:r>
              <w:rPr>
                <w:rFonts w:hint="eastAsia" w:ascii="黑体" w:hAnsi="黑体" w:eastAsia="黑体" w:cs="黑体"/>
                <w:color w:val="auto"/>
                <w:kern w:val="0"/>
                <w:sz w:val="28"/>
                <w:szCs w:val="28"/>
                <w:vertAlign w:val="baseline"/>
                <w:lang w:val="en-US" w:eastAsia="zh-CN" w:bidi="ar"/>
              </w:rPr>
              <w:t>是否办结</w:t>
            </w:r>
          </w:p>
        </w:tc>
      </w:tr>
      <w:tr w14:paraId="1265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39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E54">
            <w:pPr>
              <w:jc w:val="left"/>
              <w:rPr>
                <w:rFonts w:hint="eastAsia" w:ascii="楷体_GB2312" w:hAnsi="宋体" w:eastAsia="楷体_GB2312" w:cs="楷体_GB2312"/>
                <w:i w:val="0"/>
                <w:iCs w:val="0"/>
                <w:color w:val="000000"/>
                <w:sz w:val="24"/>
                <w:szCs w:val="24"/>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10E1">
            <w:pPr>
              <w:jc w:val="center"/>
              <w:rPr>
                <w:rFonts w:hint="eastAsia" w:ascii="仿宋_GB2312" w:hAnsi="宋体" w:eastAsia="仿宋_GB2312" w:cs="仿宋_GB2312"/>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8B8E">
            <w:pPr>
              <w:jc w:val="center"/>
              <w:rPr>
                <w:rFonts w:hint="eastAsia" w:ascii="仿宋_GB2312" w:hAnsi="宋体"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F572">
            <w:pPr>
              <w:jc w:val="center"/>
              <w:rPr>
                <w:rFonts w:hint="eastAsia" w:ascii="仿宋_GB2312" w:hAnsi="宋体" w:eastAsia="仿宋_GB2312" w:cs="仿宋_GB2312"/>
                <w:i w:val="0"/>
                <w:iCs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21E5">
            <w:pPr>
              <w:jc w:val="center"/>
              <w:rPr>
                <w:rFonts w:hint="eastAsia" w:ascii="仿宋_GB2312" w:hAnsi="宋体" w:eastAsia="仿宋_GB2312" w:cs="仿宋_GB2312"/>
                <w:i w:val="0"/>
                <w:iCs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E45A">
            <w:pPr>
              <w:rPr>
                <w:rFonts w:hint="eastAsia" w:ascii="宋体" w:hAnsi="宋体" w:eastAsia="宋体" w:cs="宋体"/>
                <w:i w:val="0"/>
                <w:iCs w:val="0"/>
                <w:color w:val="000000"/>
                <w:sz w:val="24"/>
                <w:szCs w:val="24"/>
                <w:u w:val="none"/>
              </w:rPr>
            </w:pPr>
          </w:p>
        </w:tc>
      </w:tr>
      <w:tr w14:paraId="60ED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CD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C5CE">
            <w:pPr>
              <w:jc w:val="left"/>
              <w:rPr>
                <w:rFonts w:hint="eastAsia" w:ascii="楷体_GB2312" w:hAnsi="宋体" w:eastAsia="楷体_GB2312" w:cs="楷体_GB2312"/>
                <w:i w:val="0"/>
                <w:iCs w:val="0"/>
                <w:color w:val="000000"/>
                <w:sz w:val="24"/>
                <w:szCs w:val="24"/>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FE90">
            <w:pPr>
              <w:jc w:val="center"/>
              <w:rPr>
                <w:rFonts w:hint="eastAsia" w:ascii="仿宋_GB2312" w:hAnsi="宋体" w:eastAsia="仿宋_GB2312" w:cs="仿宋_GB2312"/>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FE0B">
            <w:pPr>
              <w:jc w:val="center"/>
              <w:rPr>
                <w:rFonts w:hint="eastAsia" w:ascii="仿宋_GB2312" w:hAnsi="宋体"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FB92">
            <w:pPr>
              <w:jc w:val="center"/>
              <w:rPr>
                <w:rFonts w:hint="eastAsia" w:ascii="仿宋_GB2312" w:hAnsi="宋体" w:eastAsia="仿宋_GB2312" w:cs="仿宋_GB2312"/>
                <w:i w:val="0"/>
                <w:iCs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893">
            <w:pPr>
              <w:jc w:val="center"/>
              <w:rPr>
                <w:rFonts w:hint="eastAsia" w:ascii="仿宋_GB2312" w:hAnsi="宋体" w:eastAsia="仿宋_GB2312" w:cs="仿宋_GB2312"/>
                <w:i w:val="0"/>
                <w:iCs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8C40">
            <w:pPr>
              <w:rPr>
                <w:rFonts w:hint="eastAsia" w:ascii="宋体" w:hAnsi="宋体" w:eastAsia="宋体" w:cs="宋体"/>
                <w:i w:val="0"/>
                <w:iCs w:val="0"/>
                <w:color w:val="000000"/>
                <w:sz w:val="24"/>
                <w:szCs w:val="24"/>
                <w:u w:val="none"/>
              </w:rPr>
            </w:pPr>
          </w:p>
        </w:tc>
      </w:tr>
      <w:tr w14:paraId="2EB3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56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B54C">
            <w:pPr>
              <w:jc w:val="left"/>
              <w:rPr>
                <w:rFonts w:hint="eastAsia" w:ascii="楷体_GB2312" w:hAnsi="宋体" w:eastAsia="楷体_GB2312" w:cs="楷体_GB2312"/>
                <w:i w:val="0"/>
                <w:iCs w:val="0"/>
                <w:color w:val="000000"/>
                <w:sz w:val="24"/>
                <w:szCs w:val="24"/>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8FA4">
            <w:pPr>
              <w:jc w:val="left"/>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7811">
            <w:pPr>
              <w:jc w:val="center"/>
              <w:rPr>
                <w:rFonts w:hint="eastAsia" w:ascii="仿宋_GB2312" w:hAnsi="宋体"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8932">
            <w:pPr>
              <w:jc w:val="center"/>
              <w:rPr>
                <w:rFonts w:hint="eastAsia" w:ascii="仿宋_GB2312" w:hAnsi="宋体" w:eastAsia="仿宋_GB2312" w:cs="仿宋_GB2312"/>
                <w:i w:val="0"/>
                <w:iCs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11E1">
            <w:pPr>
              <w:jc w:val="center"/>
              <w:rPr>
                <w:rFonts w:hint="eastAsia" w:ascii="仿宋_GB2312" w:hAnsi="宋体" w:eastAsia="仿宋_GB2312" w:cs="仿宋_GB2312"/>
                <w:i w:val="0"/>
                <w:iCs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B8F1">
            <w:pPr>
              <w:rPr>
                <w:rFonts w:hint="eastAsia" w:ascii="宋体" w:hAnsi="宋体" w:eastAsia="宋体" w:cs="宋体"/>
                <w:i w:val="0"/>
                <w:iCs w:val="0"/>
                <w:color w:val="000000"/>
                <w:sz w:val="24"/>
                <w:szCs w:val="24"/>
                <w:u w:val="none"/>
              </w:rPr>
            </w:pPr>
          </w:p>
        </w:tc>
      </w:tr>
      <w:tr w14:paraId="6C14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7C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A580">
            <w:pPr>
              <w:jc w:val="left"/>
              <w:rPr>
                <w:rFonts w:hint="eastAsia" w:ascii="楷体_GB2312" w:hAnsi="宋体" w:eastAsia="楷体_GB2312" w:cs="楷体_GB2312"/>
                <w:i w:val="0"/>
                <w:iCs w:val="0"/>
                <w:color w:val="000000"/>
                <w:sz w:val="24"/>
                <w:szCs w:val="24"/>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1E8F">
            <w:pPr>
              <w:jc w:val="left"/>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DDC0">
            <w:pPr>
              <w:jc w:val="center"/>
              <w:rPr>
                <w:rFonts w:hint="eastAsia" w:ascii="仿宋_GB2312" w:hAnsi="宋体"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4971">
            <w:pPr>
              <w:jc w:val="center"/>
              <w:rPr>
                <w:rFonts w:hint="eastAsia" w:ascii="仿宋_GB2312" w:hAnsi="宋体" w:eastAsia="仿宋_GB2312" w:cs="仿宋_GB2312"/>
                <w:i w:val="0"/>
                <w:iCs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FA20">
            <w:pPr>
              <w:jc w:val="center"/>
              <w:rPr>
                <w:rFonts w:hint="eastAsia" w:ascii="仿宋_GB2312" w:hAnsi="宋体" w:eastAsia="仿宋_GB2312" w:cs="仿宋_GB2312"/>
                <w:i w:val="0"/>
                <w:iCs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9F26">
            <w:pPr>
              <w:rPr>
                <w:rFonts w:hint="eastAsia" w:ascii="宋体" w:hAnsi="宋体" w:eastAsia="宋体" w:cs="宋体"/>
                <w:i w:val="0"/>
                <w:iCs w:val="0"/>
                <w:color w:val="000000"/>
                <w:sz w:val="24"/>
                <w:szCs w:val="24"/>
                <w:u w:val="none"/>
              </w:rPr>
            </w:pPr>
          </w:p>
        </w:tc>
      </w:tr>
      <w:tr w14:paraId="0718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88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940">
            <w:pPr>
              <w:jc w:val="left"/>
              <w:rPr>
                <w:rFonts w:hint="eastAsia" w:ascii="楷体_GB2312" w:hAnsi="宋体" w:eastAsia="楷体_GB2312" w:cs="楷体_GB2312"/>
                <w:i w:val="0"/>
                <w:iCs w:val="0"/>
                <w:color w:val="000000"/>
                <w:sz w:val="24"/>
                <w:szCs w:val="24"/>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DA50">
            <w:pPr>
              <w:jc w:val="left"/>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3A8">
            <w:pPr>
              <w:jc w:val="center"/>
              <w:rPr>
                <w:rFonts w:hint="eastAsia" w:ascii="仿宋_GB2312" w:hAnsi="宋体"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7254">
            <w:pPr>
              <w:jc w:val="center"/>
              <w:rPr>
                <w:rFonts w:hint="eastAsia" w:ascii="仿宋_GB2312" w:hAnsi="宋体" w:eastAsia="仿宋_GB2312" w:cs="仿宋_GB2312"/>
                <w:i w:val="0"/>
                <w:iCs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178A">
            <w:pPr>
              <w:jc w:val="center"/>
              <w:rPr>
                <w:rFonts w:hint="eastAsia" w:ascii="仿宋_GB2312" w:hAnsi="宋体" w:eastAsia="仿宋_GB2312" w:cs="仿宋_GB2312"/>
                <w:i w:val="0"/>
                <w:iCs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3296">
            <w:pPr>
              <w:rPr>
                <w:rFonts w:hint="eastAsia" w:ascii="宋体" w:hAnsi="宋体" w:eastAsia="宋体" w:cs="宋体"/>
                <w:i w:val="0"/>
                <w:iCs w:val="0"/>
                <w:color w:val="000000"/>
                <w:sz w:val="24"/>
                <w:szCs w:val="24"/>
                <w:u w:val="none"/>
              </w:rPr>
            </w:pPr>
          </w:p>
        </w:tc>
      </w:tr>
      <w:tr w14:paraId="374C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3241" w:type="dxa"/>
            <w:gridSpan w:val="7"/>
            <w:tcBorders>
              <w:top w:val="nil"/>
              <w:left w:val="nil"/>
              <w:bottom w:val="nil"/>
              <w:right w:val="nil"/>
            </w:tcBorders>
            <w:shd w:val="clear" w:color="auto" w:fill="auto"/>
            <w:vAlign w:val="center"/>
          </w:tcPr>
          <w:p w14:paraId="7C07E0FB">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填表要求：</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各地各部门针对群众反映突出的急难愁盼问题，梳理本项目具体的群众诉求反映，其中，针对群众集体反映或多名群众共同反映的事项，应再进行归纳整理，列明涉及的人数、范围、诉求的具体情况（可用数据体现）。比如，</w:t>
            </w:r>
            <w:r>
              <w:rPr>
                <w:rFonts w:hint="eastAsia" w:ascii="仿宋_GB2312" w:hAnsi="宋体" w:eastAsia="仿宋_GB2312" w:cs="仿宋_GB2312"/>
                <w:b/>
                <w:bCs/>
                <w:i w:val="0"/>
                <w:iCs w:val="0"/>
                <w:color w:val="000000"/>
                <w:kern w:val="0"/>
                <w:sz w:val="24"/>
                <w:szCs w:val="24"/>
                <w:u w:val="none"/>
                <w:lang w:val="en-US" w:eastAsia="zh-CN" w:bidi="ar"/>
              </w:rPr>
              <w:t>“群众诉求反映”</w:t>
            </w:r>
            <w:r>
              <w:rPr>
                <w:rFonts w:hint="eastAsia" w:ascii="仿宋_GB2312" w:hAnsi="宋体" w:eastAsia="仿宋_GB2312" w:cs="仿宋_GB2312"/>
                <w:i w:val="0"/>
                <w:iCs w:val="0"/>
                <w:color w:val="000000"/>
                <w:kern w:val="0"/>
                <w:sz w:val="24"/>
                <w:szCs w:val="24"/>
                <w:u w:val="none"/>
                <w:lang w:val="en-US" w:eastAsia="zh-CN" w:bidi="ar"/>
              </w:rPr>
              <w:t>：**县**乡700余名群众反映喝水难问题，需要接入管网5千米；</w:t>
            </w:r>
            <w:r>
              <w:rPr>
                <w:rFonts w:hint="eastAsia" w:ascii="仿宋_GB2312" w:hAnsi="宋体" w:eastAsia="仿宋_GB2312" w:cs="仿宋_GB2312"/>
                <w:b/>
                <w:bCs/>
                <w:i w:val="0"/>
                <w:iCs w:val="0"/>
                <w:color w:val="000000"/>
                <w:kern w:val="0"/>
                <w:sz w:val="24"/>
                <w:szCs w:val="24"/>
                <w:u w:val="none"/>
                <w:lang w:val="en-US" w:eastAsia="zh-CN" w:bidi="ar"/>
              </w:rPr>
              <w:t>“办理进展情况及成效”</w:t>
            </w:r>
            <w:r>
              <w:rPr>
                <w:rFonts w:hint="eastAsia" w:ascii="仿宋_GB2312" w:hAnsi="宋体" w:eastAsia="仿宋_GB2312" w:cs="仿宋_GB2312"/>
                <w:i w:val="0"/>
                <w:iCs w:val="0"/>
                <w:color w:val="000000"/>
                <w:kern w:val="0"/>
                <w:sz w:val="24"/>
                <w:szCs w:val="24"/>
                <w:u w:val="none"/>
                <w:lang w:val="en-US" w:eastAsia="zh-CN" w:bidi="ar"/>
              </w:rPr>
              <w:t>：截至4月30日，**县水利局已铺设管网3千米，解决400名群众喝水难题。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2.各级纪检监察机关要加强对该表的指导、把关，由各级牵头部门集中整治专班负责人签字确认，加盖单位公章后报送各级纪委监委集中整治办。</w:t>
            </w:r>
          </w:p>
        </w:tc>
      </w:tr>
    </w:tbl>
    <w:p w14:paraId="15D16A18">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w:hAnsi="Times New Roman" w:eastAsia="仿宋_GB2312" w:cs="Times New Roman"/>
          <w:kern w:val="2"/>
          <w:sz w:val="32"/>
          <w:szCs w:val="32"/>
          <w:lang w:val="en-US" w:eastAsia="zh-CN" w:bidi="ar-SA"/>
        </w:rPr>
      </w:pPr>
    </w:p>
    <w:p w14:paraId="6591B2B3">
      <w:pPr>
        <w:jc w:val="both"/>
        <w:rPr>
          <w:rFonts w:hint="eastAsia" w:ascii="国标黑体" w:hAnsi="国标黑体" w:eastAsia="国标黑体" w:cs="国标黑体"/>
          <w:sz w:val="32"/>
          <w:szCs w:val="32"/>
          <w:lang w:eastAsia="zh-CN"/>
        </w:rPr>
      </w:pPr>
    </w:p>
    <w:p w14:paraId="73B3EC8E">
      <w:pPr>
        <w:jc w:val="both"/>
        <w:rPr>
          <w:rFonts w:hint="eastAsia" w:ascii="国标黑体" w:hAnsi="国标黑体" w:eastAsia="国标黑体" w:cs="国标黑体"/>
          <w:sz w:val="32"/>
          <w:szCs w:val="32"/>
          <w:lang w:eastAsia="zh-CN"/>
        </w:rPr>
      </w:pPr>
    </w:p>
    <w:p w14:paraId="44B71281">
      <w:pPr>
        <w:jc w:val="both"/>
        <w:rPr>
          <w:rFonts w:hint="eastAsia" w:ascii="国标黑体" w:hAnsi="国标黑体" w:eastAsia="国标黑体" w:cs="国标黑体"/>
          <w:sz w:val="32"/>
          <w:szCs w:val="32"/>
          <w:lang w:eastAsia="zh-CN"/>
        </w:rPr>
      </w:pPr>
    </w:p>
    <w:p w14:paraId="315DDB46">
      <w:pPr>
        <w:jc w:val="both"/>
        <w:rPr>
          <w:rFonts w:hint="eastAsia" w:ascii="国标黑体" w:hAnsi="国标黑体" w:eastAsia="国标黑体" w:cs="国标黑体"/>
          <w:sz w:val="32"/>
          <w:szCs w:val="32"/>
          <w:lang w:eastAsia="zh-CN"/>
        </w:rPr>
      </w:pPr>
    </w:p>
    <w:p w14:paraId="20CCE40E">
      <w:pPr>
        <w:jc w:val="both"/>
        <w:rPr>
          <w:rFonts w:hint="eastAsia" w:ascii="国标黑体" w:hAnsi="国标黑体" w:eastAsia="国标黑体" w:cs="国标黑体"/>
          <w:sz w:val="32"/>
          <w:szCs w:val="32"/>
          <w:lang w:eastAsia="zh-CN"/>
        </w:rPr>
      </w:pPr>
    </w:p>
    <w:p w14:paraId="0EC9BFFF">
      <w:pPr>
        <w:jc w:val="both"/>
        <w:rPr>
          <w:rFonts w:hint="eastAsia" w:ascii="国标黑体" w:hAnsi="国标黑体" w:eastAsia="国标黑体" w:cs="国标黑体"/>
          <w:sz w:val="32"/>
          <w:szCs w:val="32"/>
          <w:lang w:eastAsia="zh-CN"/>
        </w:rPr>
      </w:pPr>
    </w:p>
    <w:p w14:paraId="74723E50">
      <w:pPr>
        <w:jc w:val="both"/>
        <w:rPr>
          <w:rFonts w:hint="eastAsia" w:ascii="国标黑体" w:hAnsi="国标黑体" w:eastAsia="国标黑体" w:cs="国标黑体"/>
          <w:sz w:val="32"/>
          <w:szCs w:val="32"/>
          <w:lang w:eastAsia="zh-CN"/>
        </w:rPr>
      </w:pPr>
    </w:p>
    <w:p w14:paraId="74526BBC">
      <w:pPr>
        <w:jc w:val="both"/>
        <w:rPr>
          <w:rFonts w:hint="eastAsia" w:ascii="国标黑体" w:hAnsi="国标黑体" w:eastAsia="国标黑体" w:cs="国标黑体"/>
          <w:sz w:val="32"/>
          <w:szCs w:val="32"/>
          <w:lang w:eastAsia="zh-CN"/>
        </w:rPr>
      </w:pPr>
    </w:p>
    <w:p w14:paraId="43E0C7C9">
      <w:pPr>
        <w:jc w:val="both"/>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eastAsia="zh-CN"/>
        </w:rPr>
        <w:t>附件</w:t>
      </w:r>
      <w:r>
        <w:rPr>
          <w:rFonts w:hint="eastAsia" w:ascii="国标黑体" w:hAnsi="国标黑体" w:eastAsia="国标黑体" w:cs="国标黑体"/>
          <w:sz w:val="32"/>
          <w:szCs w:val="32"/>
          <w:lang w:val="en-US" w:eastAsia="zh-CN"/>
        </w:rPr>
        <w:t>4</w:t>
      </w:r>
    </w:p>
    <w:p w14:paraId="678D6A56">
      <w:pPr>
        <w:pStyle w:val="7"/>
        <w:keepNext w:val="0"/>
        <w:keepLines w:val="0"/>
        <w:widowControl/>
        <w:suppressLineNumbers w:val="0"/>
        <w:overflowPunct w:val="0"/>
        <w:topLinePunct/>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规范涉企行政执法专项行动问题线索移送台账</w:t>
      </w:r>
    </w:p>
    <w:p w14:paraId="6A801D1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报送单位：</w:t>
      </w:r>
      <w:r>
        <w:rPr>
          <w:rFonts w:hint="eastAsia" w:ascii="仿宋_GB2312" w:hAnsi="仿宋_GB2312" w:eastAsia="仿宋_GB2312" w:cs="仿宋_GB2312"/>
          <w:sz w:val="32"/>
          <w:szCs w:val="32"/>
          <w:lang w:val="en-US" w:eastAsia="zh-CN"/>
        </w:rPr>
        <w:t xml:space="preserve">                  时间：  年   月   日</w:t>
      </w:r>
    </w:p>
    <w:tbl>
      <w:tblPr>
        <w:tblStyle w:val="8"/>
        <w:tblW w:w="14292"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8"/>
        <w:gridCol w:w="2777"/>
        <w:gridCol w:w="3068"/>
        <w:gridCol w:w="4455"/>
        <w:gridCol w:w="2644"/>
      </w:tblGrid>
      <w:tr w14:paraId="044B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EE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序号</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8E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单位</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8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移送问题数</w:t>
            </w:r>
          </w:p>
        </w:tc>
        <w:tc>
          <w:tcPr>
            <w:tcW w:w="4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4A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移送问题涉及层级及属地</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8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备注</w:t>
            </w:r>
          </w:p>
        </w:tc>
      </w:tr>
      <w:tr w14:paraId="55FF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895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BD8D">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32"/>
                <w:szCs w:val="32"/>
                <w:vertAlign w:val="baseline"/>
                <w:lang w:val="en-US" w:eastAsia="zh-CN"/>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311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3A8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B6A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r>
      <w:tr w14:paraId="5BA4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83C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DAB9">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32"/>
                <w:szCs w:val="32"/>
                <w:vertAlign w:val="baseline"/>
                <w:lang w:val="en-US" w:eastAsia="zh-CN"/>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5DE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13B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6F0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r>
      <w:tr w14:paraId="1DC2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200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3E89">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32"/>
                <w:szCs w:val="32"/>
                <w:vertAlign w:val="baseline"/>
                <w:lang w:val="en-US" w:eastAsia="zh-CN"/>
              </w:rPr>
            </w:pP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757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F8B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404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r>
      <w:tr w14:paraId="65FC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4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2249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776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D4D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30C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vertAlign w:val="baseline"/>
                <w:lang w:val="en-US" w:eastAsia="zh-CN"/>
              </w:rPr>
            </w:pPr>
          </w:p>
        </w:tc>
      </w:tr>
    </w:tbl>
    <w:p w14:paraId="7B998C4A">
      <w:pPr>
        <w:keepNext w:val="0"/>
        <w:keepLines w:val="0"/>
        <w:pageBreakBefore w:val="0"/>
        <w:widowControl w:val="0"/>
        <w:kinsoku/>
        <w:wordWrap/>
        <w:overflowPunct/>
        <w:topLinePunct w:val="0"/>
        <w:autoSpaceDE/>
        <w:autoSpaceDN/>
        <w:bidi w:val="0"/>
        <w:adjustRightInd/>
        <w:snapToGrid w:val="0"/>
        <w:spacing w:after="724" w:afterLines="123" w:afterAutospacing="0"/>
        <w:ind w:left="0" w:leftChars="0" w:right="0" w:rightChars="0" w:firstLine="0" w:firstLineChars="0"/>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填表说明：1、移送问题线索是指发现公职人员涉嫌违纪违法，向纪检监察部门移送的问题线索数；2、市级单位督导检查以及其他工作中发现的下级单位涉嫌违纪违法的问题线索，向纪检监察部门移送的，也纳入市级移送问题线索数，并在表格中备注层级及属地。3、各部门移送线索台账按照工作纪律自行保存备查，无需向市司法局报送。</w:t>
      </w:r>
    </w:p>
    <w:p w14:paraId="65716A27">
      <w:pPr>
        <w:bidi w:val="0"/>
        <w:rPr>
          <w:rFonts w:hint="default" w:ascii="Times New Roman" w:hAnsi="Times New Roman" w:eastAsia="仿宋_GB2312" w:cs="Times New Roman"/>
          <w:kern w:val="2"/>
          <w:sz w:val="32"/>
          <w:szCs w:val="32"/>
          <w:lang w:val="en-US" w:eastAsia="zh-CN" w:bidi="ar-SA"/>
        </w:rPr>
        <w:sectPr>
          <w:footerReference r:id="rId3" w:type="default"/>
          <w:pgSz w:w="16838" w:h="11906" w:orient="landscape"/>
          <w:pgMar w:top="1587" w:right="2098" w:bottom="1474" w:left="1984" w:header="851" w:footer="1049" w:gutter="0"/>
          <w:pgNumType w:fmt="decimal"/>
          <w:cols w:space="0" w:num="1"/>
          <w:rtlGutter w:val="0"/>
          <w:docGrid w:type="linesAndChars" w:linePitch="589" w:charSpace="-842"/>
        </w:sectPr>
      </w:pPr>
    </w:p>
    <w:p w14:paraId="0E37BE60">
      <w:pPr>
        <w:rPr>
          <w:rFonts w:hint="default" w:ascii="Times New Roman" w:hAnsi="Times New Roman" w:eastAsia="仿宋_GB2312" w:cs="Times New Roman"/>
          <w:sz w:val="32"/>
          <w:szCs w:val="32"/>
          <w:lang w:val="en-US" w:eastAsia="zh-CN"/>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国标黑体">
    <w:altName w:val="黑体"/>
    <w:panose1 w:val="020005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7CBC">
    <w:pPr>
      <w:bidi w:val="0"/>
      <w:rPr>
        <w:rFonts w:hint="eastAsia" w:ascii="Times New Roman" w:eastAsia="方正仿宋_GBK"/>
        <w:sz w:val="32"/>
      </w:rPr>
    </w:pPr>
    <w:r>
      <w:rPr>
        <w:rFonts w:ascii="Times New Roman" w:eastAsia="方正仿宋_GBK"/>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591014">
                          <w:pPr>
                            <w:rPr>
                              <w:rFonts w:ascii="宋体" w:hAnsi="宋体" w:eastAsia="宋体"/>
                              <w:sz w:val="28"/>
                            </w:rPr>
                          </w:pPr>
                          <w:r>
                            <w:rPr>
                              <w:rFonts w:ascii="宋体" w:hAnsi="宋体" w:eastAsia="宋体"/>
                              <w:sz w:val="28"/>
                            </w:rPr>
                            <w:t>—</w:t>
                          </w:r>
                          <w:r>
                            <w:rPr>
                              <w:rFonts w:ascii="宋体" w:hAnsi="宋体" w:eastAsia="宋体"/>
                              <w:sz w:val="32"/>
                              <w:szCs w:val="32"/>
                            </w:rPr>
                            <w:t>　</w:t>
                          </w: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rPr>
                            <w:t>1</w:t>
                          </w:r>
                          <w:r>
                            <w:rPr>
                              <w:rFonts w:ascii="宋体" w:hAnsi="宋体" w:eastAsia="宋体"/>
                              <w:sz w:val="32"/>
                              <w:szCs w:val="32"/>
                            </w:rPr>
                            <w:fldChar w:fldCharType="end"/>
                          </w:r>
                          <w:r>
                            <w:rPr>
                              <w:rFonts w:ascii="宋体" w:hAnsi="宋体" w:eastAsia="宋体"/>
                              <w:sz w:val="32"/>
                              <w:szCs w:val="32"/>
                            </w:rPr>
                            <w:t>　</w:t>
                          </w:r>
                          <w:r>
                            <w:rPr>
                              <w:rFonts w:ascii="宋体" w:hAnsi="宋体" w:eastAsia="宋体"/>
                              <w:sz w:val="28"/>
                            </w:rPr>
                            <w:t>—</w:t>
                          </w:r>
                        </w:p>
                      </w:txbxContent>
                    </wps:txbx>
                    <wps:bodyPr wrap="none" lIns="203200" tIns="0" rIns="203200" bIns="0" upright="0">
                      <a:spAutoFit/>
                    </wps:bodyPr>
                  </wps:wsp>
                </a:graphicData>
              </a:graphic>
            </wp:anchor>
          </w:drawing>
        </mc:Choice>
        <mc:Fallback>
          <w:pict>
            <v:shape id="文本框 5" o:spid="_x0000_s1026" o:spt="202" type="#_x0000_t202" style="position:absolute;left:0pt;margin-left:635.75pt;margin-top:534.35pt;height:144pt;width:144pt;mso-position-horizontal-relative:page;mso-position-vertical-relative:page;mso-wrap-style:none;z-index:251660288;mso-width-relative:page;mso-height-relative:page;" filled="f" stroked="f" coordsize="21600,21600" o:gfxdata="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IzPC1gAAAAcBAAAPAAAAAAAAAAEA&#10;IAAAACIAAABkcnMvZG93bnJldi54bWxQSwECFAAUAAAACACHTuJAVI7kutgBAACtAwAADgAAAAAA&#10;AAABACAAAAAlAQAAZHJzL2Uyb0RvYy54bWxQSwUGAAAAAAYABgBZAQAAbwUAAAAA&#10;">
              <v:fill on="f" focussize="0,0"/>
              <v:stroke on="f" weight="1.25pt"/>
              <v:imagedata o:title=""/>
              <o:lock v:ext="edit" aspectratio="f"/>
              <v:textbox inset="16pt,0mm,16pt,0mm" style="mso-fit-shape-to-text:t;">
                <w:txbxContent>
                  <w:p w14:paraId="7F591014">
                    <w:pPr>
                      <w:rPr>
                        <w:rFonts w:ascii="宋体" w:hAnsi="宋体" w:eastAsia="宋体"/>
                        <w:sz w:val="28"/>
                      </w:rPr>
                    </w:pPr>
                    <w:r>
                      <w:rPr>
                        <w:rFonts w:ascii="宋体" w:hAnsi="宋体" w:eastAsia="宋体"/>
                        <w:sz w:val="28"/>
                      </w:rPr>
                      <w:t>—</w:t>
                    </w:r>
                    <w:r>
                      <w:rPr>
                        <w:rFonts w:ascii="宋体" w:hAnsi="宋体" w:eastAsia="宋体"/>
                        <w:sz w:val="32"/>
                        <w:szCs w:val="32"/>
                      </w:rPr>
                      <w:t>　</w:t>
                    </w: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rPr>
                      <w:t>1</w:t>
                    </w:r>
                    <w:r>
                      <w:rPr>
                        <w:rFonts w:ascii="宋体" w:hAnsi="宋体" w:eastAsia="宋体"/>
                        <w:sz w:val="32"/>
                        <w:szCs w:val="32"/>
                      </w:rPr>
                      <w:fldChar w:fldCharType="end"/>
                    </w:r>
                    <w:r>
                      <w:rPr>
                        <w:rFonts w:ascii="宋体" w:hAnsi="宋体" w:eastAsia="宋体"/>
                        <w:sz w:val="32"/>
                        <w:szCs w:val="32"/>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8984">
    <w:pPr>
      <w:bidi w:val="0"/>
      <w:rPr>
        <w:rFonts w:hint="eastAsia" w:ascii="Times New Roman" w:eastAsia="方正仿宋_GBK"/>
        <w:sz w:val="32"/>
      </w:rPr>
    </w:pPr>
    <w:r>
      <w:rPr>
        <w:rFonts w:ascii="Times New Roman" w:eastAsia="方正仿宋_GBK"/>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AA36EF"/>
                      </w:txbxContent>
                    </wps:txbx>
                    <wps:bodyPr wrap="none" lIns="203200" tIns="0" rIns="203200" bIns="0" upright="0">
                      <a:spAutoFit/>
                    </wps:bodyPr>
                  </wps:wsp>
                </a:graphicData>
              </a:graphic>
            </wp:anchor>
          </w:drawing>
        </mc:Choice>
        <mc:Fallback>
          <w:pict>
            <v:shape id="文本框 5" o:spid="_x0000_s1026" o:spt="202" type="#_x0000_t202" style="position:absolute;left:0pt;margin-left:90pt;margin-top:782.65pt;height:144pt;width:144pt;mso-position-horizontal-relative:page;mso-position-vertical-relative:page;mso-wrap-style:none;z-index:251659264;mso-width-relative:page;mso-height-relative:page;" filled="f" stroked="f" coordsize="21600,21600" o:gfxdata="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IzPC1gAAAAcBAAAPAAAAAAAAAAEA&#10;IAAAACIAAABkcnMvZG93bnJldi54bWxQSwECFAAUAAAACACHTuJAvKu5gtgBAACtAwAADgAAAAAA&#10;AAABACAAAAAlAQAAZHJzL2Uyb0RvYy54bWxQSwUGAAAAAAYABgBZAQAAbwUAAAAA&#10;">
              <v:fill on="f" focussize="0,0"/>
              <v:stroke on="f" weight="1.25pt"/>
              <v:imagedata o:title=""/>
              <o:lock v:ext="edit" aspectratio="f"/>
              <v:textbox inset="16pt,0mm,16pt,0mm" style="mso-fit-shape-to-text:t;">
                <w:txbxContent>
                  <w:p w14:paraId="25AA36EF"/>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A3903"/>
    <w:rsid w:val="3DD70C25"/>
    <w:rsid w:val="40FA3903"/>
    <w:rsid w:val="6E7EFA2F"/>
    <w:rsid w:val="7A605454"/>
    <w:rsid w:val="7F7DFDA6"/>
    <w:rsid w:val="AE9DAB34"/>
    <w:rsid w:val="BFB5927B"/>
    <w:rsid w:val="FDA6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99"/>
    <w:pPr>
      <w:spacing w:line="560" w:lineRule="exact"/>
      <w:ind w:firstLine="510"/>
    </w:pPr>
    <w:rPr>
      <w:rFonts w:eastAsia="仿宋_GB2312"/>
      <w:sz w:val="30"/>
      <w:szCs w:val="30"/>
    </w:rPr>
  </w:style>
  <w:style w:type="paragraph" w:styleId="4">
    <w:name w:val="Normal Indent"/>
    <w:basedOn w:val="1"/>
    <w:next w:val="5"/>
    <w:qFormat/>
    <w:uiPriority w:val="99"/>
    <w:pPr>
      <w:ind w:firstLine="420"/>
    </w:pPr>
    <w:rPr>
      <w:rFonts w:ascii="Times New Roman" w:hAnsi="Times New Roman" w:cs="Times New Roman"/>
    </w:rPr>
  </w:style>
  <w:style w:type="paragraph" w:styleId="5">
    <w:name w:val="envelope return"/>
    <w:basedOn w:val="1"/>
    <w:qFormat/>
    <w:uiPriority w:val="0"/>
    <w:pPr>
      <w:snapToGrid w:val="0"/>
    </w:pPr>
    <w:rPr>
      <w:rFonts w:ascii="Arial" w:hAnsi="Arial" w:eastAsia="宋体" w:cs="Times New Roma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unhideWhenUsed/>
    <w:qFormat/>
    <w:uiPriority w:val="0"/>
    <w:pPr>
      <w:widowControl w:val="0"/>
      <w:autoSpaceDE w:val="0"/>
      <w:autoSpaceDN w:val="0"/>
      <w:adjustRightInd w:val="0"/>
      <w:spacing w:beforeLines="0" w:afterLines="0"/>
    </w:pPr>
    <w:rPr>
      <w:rFonts w:hint="default" w:ascii="Calibri" w:hAnsi="Calibri" w:eastAsia="仿宋_GB2312" w:cs="Times New Roman"/>
      <w:color w:val="000000"/>
      <w:sz w:val="24"/>
      <w:szCs w:val="32"/>
      <w:lang w:val="en-US" w:eastAsia="zh-CN" w:bidi="ar-SA"/>
    </w:rPr>
  </w:style>
  <w:style w:type="character" w:customStyle="1" w:styleId="12">
    <w:name w:val="样式 仿宋_GB23121"/>
    <w:qFormat/>
    <w:uiPriority w:val="0"/>
    <w:rPr>
      <w:rFonts w:ascii="仿宋_GB2312" w:eastAsia="仿宋_GB2312"/>
      <w:sz w:val="32"/>
    </w:rPr>
  </w:style>
  <w:style w:type="character" w:customStyle="1" w:styleId="13">
    <w:name w:val="font71"/>
    <w:basedOn w:val="10"/>
    <w:uiPriority w:val="0"/>
    <w:rPr>
      <w:rFonts w:hint="eastAsia" w:ascii="仿宋_GB2312" w:eastAsia="仿宋_GB2312" w:cs="仿宋_GB2312"/>
      <w:color w:val="000000"/>
      <w:sz w:val="24"/>
      <w:szCs w:val="24"/>
      <w:u w:val="none"/>
    </w:rPr>
  </w:style>
  <w:style w:type="character" w:customStyle="1" w:styleId="14">
    <w:name w:val="font101"/>
    <w:basedOn w:val="10"/>
    <w:qFormat/>
    <w:uiPriority w:val="0"/>
    <w:rPr>
      <w:rFonts w:hint="eastAsia" w:ascii="仿宋_GB2312" w:eastAsia="仿宋_GB2312" w:cs="仿宋_GB2312"/>
      <w:color w:val="0070C0"/>
      <w:sz w:val="24"/>
      <w:szCs w:val="24"/>
      <w:u w:val="none"/>
    </w:rPr>
  </w:style>
  <w:style w:type="character" w:customStyle="1" w:styleId="15">
    <w:name w:val="font01"/>
    <w:basedOn w:val="10"/>
    <w:qFormat/>
    <w:uiPriority w:val="0"/>
    <w:rPr>
      <w:rFonts w:hint="eastAsia" w:ascii="黑体" w:hAnsi="宋体" w:eastAsia="黑体" w:cs="黑体"/>
      <w:b/>
      <w:bCs/>
      <w:color w:val="000000"/>
      <w:sz w:val="26"/>
      <w:szCs w:val="26"/>
      <w:u w:val="single"/>
    </w:rPr>
  </w:style>
  <w:style w:type="character" w:customStyle="1" w:styleId="16">
    <w:name w:val="font21"/>
    <w:basedOn w:val="10"/>
    <w:uiPriority w:val="0"/>
    <w:rPr>
      <w:rFonts w:hint="eastAsia" w:ascii="黑体" w:hAnsi="宋体" w:eastAsia="黑体" w:cs="黑体"/>
      <w:b/>
      <w:bCs/>
      <w:color w:val="000000"/>
      <w:sz w:val="26"/>
      <w:szCs w:val="26"/>
      <w:u w:val="none"/>
    </w:rPr>
  </w:style>
  <w:style w:type="character" w:customStyle="1" w:styleId="17">
    <w:name w:val="font61"/>
    <w:basedOn w:val="10"/>
    <w:uiPriority w:val="0"/>
    <w:rPr>
      <w:rFonts w:hint="eastAsia" w:ascii="仿宋_GB2312" w:eastAsia="仿宋_GB2312" w:cs="仿宋_GB2312"/>
      <w:color w:val="000000"/>
      <w:sz w:val="24"/>
      <w:szCs w:val="24"/>
      <w:u w:val="none"/>
    </w:rPr>
  </w:style>
  <w:style w:type="character" w:customStyle="1" w:styleId="18">
    <w:name w:val="font91"/>
    <w:basedOn w:val="10"/>
    <w:uiPriority w:val="0"/>
    <w:rPr>
      <w:rFonts w:hint="eastAsia" w:ascii="仿宋_GB2312" w:eastAsia="仿宋_GB2312" w:cs="仿宋_GB2312"/>
      <w:color w:val="0070C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4750</Words>
  <Characters>4845</Characters>
  <Lines>0</Lines>
  <Paragraphs>0</Paragraphs>
  <TotalTime>23</TotalTime>
  <ScaleCrop>false</ScaleCrop>
  <LinksUpToDate>false</LinksUpToDate>
  <CharactersWithSpaces>5078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2025-07-18T00:24:00Z</dcterms:created>
  <dc:creator>洪柏苑ღ( ´･ᴗ･` )</dc:creator>
  <cp:lastModifiedBy>Nicole</cp:lastModifiedBy>
  <cp:lastPrinted>2025-07-18T17:10:00Z</cp:lastPrinted>
  <dcterms:modified xsi:type="dcterms:W3CDTF">2025-07-25T02:09:02Z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A2BA4569FD354AC6874D459EFEFE1B89_13</vt:lpwstr>
  </property>
  <property fmtid="{D5CDD505-2E9C-101B-9397-08002B2CF9AE}" pid="4" name="KSOTemplateDocerSaveRecord">
    <vt:lpwstr>eyJoZGlkIjoiYTQ1NzgwNDE3Y2U2MDUwMDE5MDUzN2Q2ZWJiNzM0MzMiLCJ1c2VySWQiOiI0MDM5NzI3NTEifQ==</vt:lpwstr>
  </property>
</Properties>
</file>