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1F7AA">
      <w:pPr>
        <w:spacing w:line="600" w:lineRule="exact"/>
        <w:rPr>
          <w:sz w:val="28"/>
          <w:szCs w:val="28"/>
        </w:rPr>
      </w:pPr>
      <w:r>
        <w:rPr>
          <w:rFonts w:eastAsia="黑体"/>
          <w:sz w:val="32"/>
          <w:szCs w:val="32"/>
        </w:rPr>
        <w:t>附件</w:t>
      </w:r>
    </w:p>
    <w:p w14:paraId="6600044F">
      <w:pPr>
        <w:spacing w:line="600" w:lineRule="exact"/>
        <w:jc w:val="center"/>
        <w:rPr>
          <w:rFonts w:eastAsia="方正小标宋简体"/>
          <w:bCs/>
          <w:sz w:val="36"/>
          <w:szCs w:val="36"/>
        </w:rPr>
      </w:pPr>
      <w:r>
        <w:rPr>
          <w:rFonts w:eastAsia="方正小标宋简体"/>
          <w:bCs/>
          <w:sz w:val="36"/>
          <w:szCs w:val="36"/>
        </w:rPr>
        <w:t>南安市</w:t>
      </w:r>
      <w:r>
        <w:rPr>
          <w:rFonts w:hint="eastAsia" w:eastAsia="方正小标宋简体"/>
          <w:bCs/>
          <w:sz w:val="36"/>
          <w:szCs w:val="36"/>
          <w:lang w:val="en-US" w:eastAsia="zh-CN"/>
        </w:rPr>
        <w:t>9</w:t>
      </w:r>
      <w:r>
        <w:rPr>
          <w:rFonts w:eastAsia="方正小标宋简体"/>
          <w:bCs/>
          <w:sz w:val="36"/>
          <w:szCs w:val="36"/>
        </w:rPr>
        <w:t>月份环评文件编制质量清单</w:t>
      </w:r>
    </w:p>
    <w:tbl>
      <w:tblPr>
        <w:tblStyle w:val="4"/>
        <w:tblW w:w="16069"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129"/>
        <w:gridCol w:w="857"/>
        <w:gridCol w:w="1157"/>
        <w:gridCol w:w="1301"/>
        <w:gridCol w:w="1190"/>
        <w:gridCol w:w="1176"/>
        <w:gridCol w:w="936"/>
        <w:gridCol w:w="931"/>
        <w:gridCol w:w="804"/>
        <w:gridCol w:w="733"/>
        <w:gridCol w:w="4255"/>
      </w:tblGrid>
      <w:tr w14:paraId="3DA8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4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7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0A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所属行业类别</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7C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建设单位</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72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建设地点</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7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审批日期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D2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审批文号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2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环评类型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50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环评单位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6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负责人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9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质量评分</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FE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环评质量存在的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主要问题</w:t>
            </w:r>
          </w:p>
        </w:tc>
      </w:tr>
      <w:tr w14:paraId="2175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B8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26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泉州市瑞峰塑胶制品有限公司年产10万个户外太阳能灯具、40万套对讲机项目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D1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C2929</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C3872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C3922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65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泉州市瑞峰塑胶制品有限公司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06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福建省泉州市南安市霞美镇创造大道23号22幢101号（泉州（南安）光电信息产业基地）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A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E5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泉南环评〔2025〕表118号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13F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A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福建泉州融创环保科技有限公司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E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钱坤</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5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B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1.核实项目所属行业类别（387、392）对应的环境影响评价类别。                                                                                                    2.冷却塔补充新鲜水量有误，请核实。                                                       3.p32排气筒高度有误，请核实。                                                          4.请在环境保护措施监督检查清单中列出具体执行标准数值。</w:t>
            </w:r>
          </w:p>
        </w:tc>
      </w:tr>
      <w:tr w14:paraId="6475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3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00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泉州市泉邦建材科技有限公司年产水泥隔墙板20万㎡、隔墙砌块10万㎡项目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31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C3024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4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泉州市泉邦建材科技有限公司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48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南安市官桥镇周厝村田墘166号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6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1C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泉南环评〔2025〕表119号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3DC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E3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14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CD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45D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1.租方信息调查不清楚。                                                                                                                                                                                          2.复核厂界噪声执行标准、废气执行标准。细化雾化喷淋系统的喷头个数、布点位置、运行时间，以此计算其用水量。                                                                                                                                3.皮带密闭运输建议在建设内容中予以明确；废气分析遗漏切割粉尘。复核废气分析中的产品规模重量（请给出折算情况，与原辅料差距大，建议补充物料平衡），并重新估算粉尘产排量，补充粉尘处理效率99.8%的依据；大气环境防护距离未给出预测结果。                                                                                                                                                                  4.进一步细化生产废水循环回用的可行性分析，明确沉淀池数量、容积。林地用水未按2023年行业用水定额取值，请复核并重新估算。                                                                                                                                                                                           5.厂区布局补充生产废水收集循环管线走向、一般固废堆场位置、雾化喷淋点位。</w:t>
            </w:r>
          </w:p>
        </w:tc>
      </w:tr>
      <w:tr w14:paraId="4BD7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1F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F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福建南安市万家美针织有限公司年总产针织毛衣120万件项目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3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C1829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7B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福建南安市万家美针织有限公司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77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南安市美林街道西美村</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7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17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泉南环评〔2025〕表120号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F77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30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B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CE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07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1.遗漏大气环境保护目标南安市美林子韬幼儿园。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2.根据《纺织染整工业水污染物排放标准》（GB 4287-2012）修改单的内容，该项目间接排放的处理设施为城镇污水处理厂，应执行直接排放标准。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3.重新核算扩建后项目的总量控制指标。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4.锅炉污染源源强核算方法、结果错误。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5.根据《排污单位自行监测技术指南 火力发电及锅炉》，表4.1-8中氮氧化物的监测频次为每月1次；根据《排污单位自行监测技术指南 纺织印染工业》，厂界废气的监测频次为每半年1次。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6.表4.2-6的自行监测要求错误。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7.表4.3-3及表4.3.4的背景值与监测报告不一致。</w:t>
            </w:r>
          </w:p>
        </w:tc>
      </w:tr>
      <w:tr w14:paraId="4852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D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85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阿瑞亚（泉州）矿业机械有限公司年产1万支液压油缸项目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4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C3444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3B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阿瑞亚（泉州）矿业机械有限公司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AF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福建省泉州市南安市霞美镇金东九路1号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7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1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泉南环评〔2025〕表121号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9DE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24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福建悦创环保科技有限公司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2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郭建国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7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903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1.补充编制负责人近3个月内在从业单位参加社会保险的社会保险管理机构缴费记录。                                                                                                         2.项目所属国民经济行业类别有误，全文核实修改。                                                                                                                                      3.《市场准入负面清单（2022年版）》、《国家危险废物名录（2021年版）》均已作废，请更新；《福建省行业用水定额标准》（DB35/T 772-2023）已更新，重新核实职工用水额取值。                                                                                                                      4.补充完善工艺说明；全文未提及项目烘干工序如何进行？使用什么能源进行烘干？                                                                                                                                   5.选取《排放源统计调查产排污核算方法和系数手册》对应系数核算一般工业废物（废边角料、废包装物）产生量；漆渣和废活性炭产生量有误，请核实。                                                          6.附图4 危废暂存间和一般固废暂存间设置于厂界外是否合理？</w:t>
            </w:r>
          </w:p>
        </w:tc>
      </w:tr>
      <w:tr w14:paraId="40A2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E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4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福建省固昌钢结构工程有限公司新增年加工钢结构件5000吨扩建项目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88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C3311</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C3360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62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福建省固昌钢结构工程有限公司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B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福建省南安市霞美镇金河大道111-1号（滨江机械装备制造基地）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1E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C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泉南环评〔2025〕表122号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0D3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05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福建松恒环保科技有限公司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9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于庆华</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99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7CC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1.地理坐标偏差较多，请重新定位。                                                                                             2.文本提及“在1#厂房外面建一间气站”，请补充分析具体用途、建设面积、存储量等。                                                                        3.附图4 危废暂存间、气站设置于厂房外？请明确项目评价范围，分析设置合理性；明确该公司的租赁范围（具体厂界范围）。                                                                                                  4.在生产工艺简介中补充对氧气、丙烷使用描述。                                                                                                                              5.附件未见具体监测数据报告，请补充。p26非甲烷总烃的两天最大排放浓度和颗粒物的最大排放速率有误，请更正。在现有工程生产工艺及产污环节中固废部分补充“废漆渣”。                                                                                          6.核实表4-1厂界颗粒物产生量；核实p50颗粒物、二氧化硫、氮氧化物排放浓度。                                                                                  7.扩建项目机加工工序有依托现有工程，应进一步明确“三本</w:t>
            </w:r>
            <w:r>
              <w:rPr>
                <w:rFonts w:hint="eastAsia" w:cs="Times New Roman"/>
                <w:i w:val="0"/>
                <w:iCs w:val="0"/>
                <w:color w:val="000000"/>
                <w:kern w:val="0"/>
                <w:sz w:val="24"/>
                <w:szCs w:val="24"/>
                <w:u w:val="none"/>
                <w:lang w:val="en-US" w:eastAsia="zh-CN" w:bidi="ar"/>
              </w:rPr>
              <w:t>账</w:t>
            </w:r>
            <w:r>
              <w:rPr>
                <w:rFonts w:hint="default" w:ascii="Times New Roman" w:hAnsi="Times New Roman" w:eastAsia="宋体" w:cs="Times New Roman"/>
                <w:i w:val="0"/>
                <w:iCs w:val="0"/>
                <w:color w:val="000000"/>
                <w:kern w:val="0"/>
                <w:sz w:val="24"/>
                <w:szCs w:val="24"/>
                <w:u w:val="none"/>
                <w:lang w:val="en-US" w:eastAsia="zh-CN" w:bidi="ar"/>
              </w:rPr>
              <w:t>”分析。                                                                                          8.表3-7和3-8排放标准遗漏单位；燃气辐射燃烧机数量前后不一致。                                                                       9.废活性炭吸附有机废气量有误，请核实并分析活性炭更换频次是否具有经济合理性。</w:t>
            </w:r>
          </w:p>
        </w:tc>
      </w:tr>
      <w:tr w14:paraId="6646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0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D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泉州芯车速科技有限公司年产空气滤芯60万只、旋装式滤清器300万只项目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4E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C3670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9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泉州芯车速科技有限公司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5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南安市码头镇美岭村美岭外330号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08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B4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泉南环评〔2025〕表123号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62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0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厦门毅协超环保科技有限公司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C8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朱瑞鑫</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3C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0D4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1.根据《国民经济行业分类注释》，新能源汽车水分离器、新能源汽车氢化纯化装置等列入3463，空气滤芯、滤清器作为汽车发动机维护保养的重要部件，应列入汽车零部件，即3670。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2.根据项目的生产工艺、产污情况，该项目落地位置的土地性质应为二类工业用地，项目分析及提供的附件仅提及项目用地性质为工业用地，未提及是否为二类工业用地。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3.未提及与《市场准入负面清单》（2025年版）的符合性分析。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4.完善所用产生VOCs原辅材料为低挥发性有机物含量的分析说明。</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5.重新核实项目的厂界范围以及与周边环境保护目标的距离。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6.补充《印刷行业挥发性有机物排放标准》表2内容，即厂区内非甲烷总烃的限值要求。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7.废丝网板的环境危险特性错误。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8.附图3生产车间平面布置图没有比例尺、指北针等。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9.场地租赁合同中场地建筑面积为11800平方米，与附件6的用地勘测定界图（10937平方米）不一致。</w:t>
            </w:r>
          </w:p>
        </w:tc>
      </w:tr>
      <w:tr w14:paraId="1B20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0A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2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福建泉盛电子有限公司年增产对讲机通讯设备及配件16万件、手机或移动电话及配件9万件项目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7C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C3922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7A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福建泉盛电子有限公司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37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福建省泉州市南安市霞美镇邱钟街82号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35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99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泉南环评〔2025〕表124号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565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53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福建拾全建设有限公司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41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马见波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9B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C6B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1.基本情况表中用地（用海）面积未按指南填写。                                                                                                                                                         2.区域环境质量现状未引用最新环境质量分析报告。                                                                                                                                                                                    3.“锡焊膏”和“焊锡膏”全文统一名称。补充焊锡膏的各成分比例，明确是否含铅？核实排放废气是否遗漏铅及其化合物，若是则需要设置大气专项评价。                                                                                                                    4.生产工艺流程说明有“焊锡丝”，原辅材料中未提及，并明确焊锡丝中是否含铅？                                                                                                             5.p35 排气筒高度有误、p53本次扩建和扩建后项目的治理设施出口污染物排放浓度有误、p54注塑废气排放口DA001处理能力前后不一致。                                                                                                                                        6.表2-13扩建前工程大气污染物有组织排放量核算表 G1排放速率取值不合理。                                                                                                7.表4-4废气污染物排放源信息汇总表（产污源强及治理设施）“限值”补充单位，核实该表DA002、DA003限值要求？                                                                                8.周边田地能否消纳全部生活废水？请进一步分析项目生活污水近期农灌可行性，并在附图中标注灌溉区域。                                                                                              9.污染物产生部分运用类比分析，请补充佐证材料。                                                                                                                                                                 10.固废遗漏焊接工序产生的废锡焊渣；《国家危险废物名录（2021年版）》已作废；核实项目的废次电子配件是否在《国家危险废物名录（2025年版）》内？                                                                                                                              11.二级活性炭装置总装载量未明确，请补充并核实更换周期。                                                                                                                  12.请在环境保护措施监督检查清单中列出具体执行标准数值。                                                                                                          13.补充排污口规范化建设内容；附图6补充排气筒位置。                                                                                           14.补充噪声监测计划、大气环境防护距离和卫生防护距离分析。</w:t>
            </w:r>
          </w:p>
        </w:tc>
      </w:tr>
      <w:tr w14:paraId="4CA8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34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7B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福建虎鼎机械有限公司年产专用机械设备（制砖机）30台迁建项目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B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C3515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7C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福建虎鼎机械有限公司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2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福建省泉州市南安市霞美镇金河大道16号1幢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E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4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泉南环评〔2025〕表125号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D7F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2E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福建泉州融创环保科技有限公司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D7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钱坤</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19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3A6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1.地理坐标偏差较多，请重新定位。                                                                                                                                     2.p9项目有新增VOCs，污染物排放管控分析有误。                                                                                                                                                            3.表2-4 迁扩建后产品产量（规模）有误。                                                                                                                                      4.p14“二级漆雾过滤装置（水帘柜+喷淋塔）”与表1-6“二级漆雾过滤装置（水帘柜+纸盒过滤）”冲突，核实项目是否使用纸盒过滤，若有请在4.1废气环境影响分析章节补充完善。                                                                             5.附件未见竣工验收报告具体的监测结果，请补充。表2-15 2020年11月18日乙酸乙酯厂界外浓度最高值有误。                                                                                                                                                                                  6.核实无组织废气监测频次。                                                                                                                                              7.核实固体废物部分是否遗漏氧气、丙烷空瓶，是否还产生过滤棉？                                                                                                                                                           8.未考虑项目配置的二级活性炭装置实际装载量，请重新核实，确定更换周期。                                                                                        9.请在环境保护措施监督检查清单中列出废水和噪声具体执行标准数值。</w:t>
            </w:r>
          </w:p>
        </w:tc>
      </w:tr>
      <w:tr w14:paraId="5065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72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泉州旺合厨卫科技有限公司年产不锈钢水暖卫浴配件1500吨项目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6C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C3443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CF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泉州旺合厨卫科技有限公司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52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南安市英都镇霞溪西塘街100号五矿高端阀门智造产业园A区1号楼一楼、二楼</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4C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2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泉南环评〔2025〕表126号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03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C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D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F7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710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1.文本分析机加工也产生了金属颗粒约0.4154t，完善文本中提及的物料平衡分析？图2.2中的产污环节图中应体现机加工产生废气。</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2.《石油化工工程防渗技术规范》适用石油化工以及煤化工工程防渗设计，与项目实际情况不符。</w:t>
            </w:r>
          </w:p>
        </w:tc>
      </w:tr>
      <w:tr w14:paraId="3A5A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91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3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泉州怡得模具有限公司年产光伏塑料配件50吨、电子元件塑料配件50吨项目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1C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C2929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1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泉州怡得模具有限公司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7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福建省泉州市南安市霞美镇顺兴路14号（泉州（南安）光电信息产业基地内）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6A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33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泉南环评〔2025〕表127号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6B9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1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福建泉州融创环保科技有限公司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1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赵文奎</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7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659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1.补充烘干粒料使用的干燥机能源。                                                                            2.请在环境保护措施监督检查清单中列出废水和噪声具体执行标准数值。</w:t>
            </w:r>
          </w:p>
        </w:tc>
      </w:tr>
      <w:tr w14:paraId="24A5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E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BD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南安培益石业有限公司年产花岗岩板材5万平方米、大理石板材4万平方米、异形石材1万平方米项目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95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C3032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E6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南安培益石业有限公司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6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南安市石井镇苏内村工业路6号（石井中泰石材加工集中区）</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72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31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泉南环评〔2025〕表128号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DCB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0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泉州环兴环保科技有限公司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FF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林芳淼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5F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C0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1.项目地理坐标错误。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2.该项目并不位于中泰石材加工集聚区内，规划环评情况应为无。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3.其他符合性分析中补充与《南安市建筑饰面石材加工集中区环境管理实施方案》附录A项目准入条件的符合性分析。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4.项目包含大切机及雕刻机等，重新核实工作制度为夜间不生产的合理性。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5.重新核实项目的水平衡分析。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6.重新核对项目生产工艺及产污环节示意图，磨光工序不会产生边角料。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7.沉淀池处理能力前后不一致。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8.产排污系数手册中废气有按是否包含涂胶工艺来区分，但是废水及固废未提及，建议废水及固废按照花岗岩、大理石（＜40万）的系数进行核算。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9.附图9建议重新调整厂区生产布局。</w:t>
            </w:r>
          </w:p>
        </w:tc>
      </w:tr>
      <w:tr w14:paraId="0B8F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A4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29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南安市水头金发石材厂年总产花岗岩石板材30万平方米、异形板材15000立方米项目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7F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C3032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06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南安市水头金发石材厂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EC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南安市水头镇邦吟村（水头复线石材加工集中区）</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27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E9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泉南环评〔2025〕表129号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BCF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9C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泉州市绿尚环保科技有限公司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C5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陈丹喜</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9B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6A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1.明确项目的工作制度。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2.附件9补充泉州久辉石业有限公司的环境空气监测报告监测数据。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3.建议手工加工产生的粉尘采用其他核算方法核算源强。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4.表4-4，手工加工以及喷砂工序有废气处理设施应体现废气处理能力。</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5.补充废水处理设施的处理能力。</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6.重新核实废水排放口的地理坐标。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7.根据文本分析内容，项目生活污水灌溉的农田种植水稻，应执行农田灌溉水质标准中的水田作物标准。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8.泉州市南翼污水处理厂已更名为南安市南翼污水处理厂，且完成了提标改造，请重新分析生活污水纳入处理的可行性。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9.根据《环境影响评价技术导则-声环境》8.5.2的要求重新评价项目厂界达标情况。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10.项目不产生危险废物，无需执行《危险废物贮存污染控制标准》。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11.项目不含废气排放口及危险废物，无需设置废气排放口标志牌及危险废物警示牌。</w:t>
            </w:r>
          </w:p>
        </w:tc>
      </w:tr>
      <w:tr w14:paraId="64A9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E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D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泉州仁泰卫浴有限公司年产金属水暖卫浴配件100万件、塑料卫浴配件100万件项目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16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C3352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C2927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BD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泉州仁泰卫浴有限公司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C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南安市仑苍镇高新技术园西路187号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8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0D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泉南环评〔2025〕表130号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8D5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2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3B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3A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CBC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1.环境质量数据发布单位错误；复核噪声排放标准。                                                                                                        2.建议补充提供模型预测结果，以确保数据的准确性；卫生防护距离内有无敏感目标未调查。                                                                                                             3.污染治理设施未采用污染防治可行技术指南、排污许可技术规范中可行技术或未明确规定为可行技术的，应简要分析其可行性。                                                                                                                                                           4.冲床存在振动影响，应优化调整布局。                                                                                                                                                               5.图例中存在打标区，文本均未分析，核实是否有打标区，如有明确原辅料及对应的污染因子产排量及防治措施。</w:t>
            </w:r>
          </w:p>
        </w:tc>
      </w:tr>
      <w:tr w14:paraId="27ED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66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F9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泉州伟腾特种设备检测有限公司年检验钢瓶50万个项目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A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C4310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C3360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0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泉州伟腾特种设备检测有限公司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5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福建省南安市成功街3403号车间7（对应出租方的房屋所有权证书地址为南安市柳城办事处帽山工业区19幢1层）</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E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1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泉南环评〔2025〕表131号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EB3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E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厦门毅协超环保科技有限公司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D5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朱瑞鑫</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1C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28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1.项目地理坐标错误。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2.《南安市中心城区声环境功能区划分》已将该区域列入2类声环境功能区，全文进行相应修改。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3.《市场准入负面清单》（2022年版）已废止。</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4.《南安市环境质量分析报告》（2024年度）已发布，请更新相应内容。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5.废水排放口的地理坐标错误。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6.表4.2-6废气排放口的地理坐标错误，抛丸废气与燃烧废气不同排气筒排放，烟气温度相同不符合常识。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7.参照《排污单位自行监测技术指南 涂装》表3要求，厂界监测频次为半年，涂装工段旁监测频次为季度。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8.行业存在多种有毒有害污染物时，污染物选择请参照《大气有害物质无组织排放卫生防护距离推导技术导则》第4点。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9.废活性炭产生量计算错误。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10.补充废活性炭环境危险特性。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11.液化石油气主要成分为丙烷跟丁烷，补充两种物质在风险评价技术导则附录B中的相应内容。</w:t>
            </w:r>
          </w:p>
        </w:tc>
      </w:tr>
      <w:tr w14:paraId="604F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6F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8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泉州双迪零塑环保科技有限公司年产改性生物基材料2500吨项目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B7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C2832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C2929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79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泉州双迪零塑环保科技有限公司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6D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南安市官桥镇周厝村田墘288号（官桥镇南部项目集中区）</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45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F4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泉南环评〔2025〕表132号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D95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05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福建泉州融创环保科技有限公司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7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钱坤</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5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0C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1.应明确该工业区的名称，并在文本描述中体现。更新三线一单图件，用地范围与文本分析不一致；与泉环保[2023]85号的符合性分析不完整。                                                                                                                                                            2.坐标偏差，同步核实文本涉及的所有坐标；建筑面积前后不一致；工程组成面积与租赁面积不一致。                                                                                                                      3.补充调查新污染物；调查区域管网的建设情况及接驳情况；核实所在区域的声环境等级、对应的噪声排放执行标准。                                                                                                                                                  4.复核涉及熔融挤出的产污系数的合理性、活性炭设施的可行性；复核VOCs产排量；进一步完善污染防治措施。                                                                                                                           5.声环境预测未分析保护目标的达标情况；核实噪声执行监测因子。                                                                                                                                          6.完善环境风险分析；完善附图。</w:t>
            </w:r>
          </w:p>
        </w:tc>
      </w:tr>
      <w:tr w14:paraId="2B07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A1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9A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福建徽洋工贸有限公司年产金属水暖配件4500吨、塑料卫浴配件1000吨、橡胶密封圈50吨项目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76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C3352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C3360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C2927</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C2913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2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福建徽洋工贸有限公司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41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南安市仑苍镇高新技术园南路288号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9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5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泉南环评〔2025〕表133号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D5A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D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89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3E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2C7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1.项目使用的涂料有两种，应明确是否满足国家标准，水性涂料质量占比低于10%的依据不足。                                                                                                                                                         2.废气源强分析不够完整，对应的污染防治措施分析不完善；复核天然气产排情况；大气防护距离估算遗漏部分污染因子。                                                                                                                                                   3.复核与敏感目标的距离；工程组成前后不一致。                                                                                                                                                        4.优化设施布局，避免对构筑物的影响。                                                                                                  5.文本多处前后不一致。</w:t>
            </w:r>
          </w:p>
        </w:tc>
      </w:tr>
      <w:tr w14:paraId="4199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1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A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泉州市锦侨消防科技有限公司年产消防器材75.5万件项目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C3353 C3443 C3595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C4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泉州市锦侨消防科技有限公司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D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南安市英都镇霞溪西塘街100号五矿高端阀门智造产业园A区9号楼-1幢（101室及401室）、10号楼（101室-401室）</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A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2025/9/30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83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泉南环评〔2025〕表134号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86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0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福建省朗洁环保科技有限公司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B7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黄文科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C5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200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1.附图3未标注与格林坊、洪塘内的距离。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2.此项目总量指标已由我局核定发函，请在附件中补充。</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3.含硫量建议以一类品质的天然气总硫（以硫计）限值计算，即20mg/m³。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4.表4.2.1-5，根据编制技术指南的要求，应补充废气产生浓度及排放浓度。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5.水性漆漆渣的危废属性描述有误，若无法从工艺分析等排除其危险性，建议也纳入危险废物管理。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6.《石油化工工程防渗技术规范》适用石油化工以及煤化工工程防渗设计，与项目实际情况不符。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7.项目夜间不生产，建议将监督检查清单中声环境部分的夜间噪声标准限值删除，同时在环境保护措施内加入夜间不生产。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8.用地面积在附件中没有体现（购买合同均体现为建筑面积），建议以购买合同为准。</w:t>
            </w:r>
          </w:p>
        </w:tc>
      </w:tr>
      <w:tr w14:paraId="0050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1A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18</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0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南安市外二环路南段延伸段（一期）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BA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C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南安市住房和城乡建设局</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南安市溪美街道</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4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39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泉环评〔2025〕表51号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6B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3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泉州市荣源水土保持科技咨询有限公司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6D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吴琳灵</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82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E0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1.报告表的评价对象与项目工可、初步设计批复不一致，应予以核实；进一步明确本次环评的评价对象及评价内容范围，并给出充分的理由依据。                                                                                  2.完善项目评价区声环境保护目标调查；补充说明不开展垂向设点监测的原因。                                                                                                                                                     3.完善项目区水环境现状调查，明确项目路面雨水排放去向，补充水系图；                                                              4.根据南政办〔2019〕4号文件修改完善声环境功能区；                                                                       5.核实土石方平衡。</w:t>
            </w:r>
          </w:p>
        </w:tc>
      </w:tr>
      <w:tr w14:paraId="5854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F59">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19</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9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南安市茂华西路工程（福飞北路至福金北路段）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1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2D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南安经济开发区投资有限公司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5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南安市省新镇、美林街道</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77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2025/9/15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13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泉环评〔2025〕表55号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9B1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泉州环兴环保科技有限公司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3C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林芳淼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52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BC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1.《环境影响评价技术导则 公路建设项目》（HJ 1358—2024）已于2024年7月1日实施，文本中还引用征求意见稿。                                                                                              2.声环境评价等级确定错误。                                                                                       3.未论证声环境保护措施的可行性。</w:t>
            </w:r>
          </w:p>
        </w:tc>
      </w:tr>
      <w:tr w14:paraId="4D61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259">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A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泉州南安西庄二110千伏输变电工程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4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49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国网福建省电力有限公司南安市供电公司</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南安市官桥镇、霞美镇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CE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2025/9/23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39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泉环评〔2025〕表58号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D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报告表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A0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福建亿兴电力设计院有限公司</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2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蔡燕如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A8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651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1.P3中“因此本工程建设符合南安市土地利用总体规划要求”，已经没有土地利用总体规划这一说法，多规合一了，就直接符合国土空间总体规划和园区控规即可，补充与园区控规的符合性的图件。                                                                                                          2.表2-1工程组成表下的注释写法不妥。项目子项豁免的多了，但是项目是作为整体进行评价，不能拆分，因为那部分内容影响很小，分析的时候简单说明即可。                                                                        3.表2-4中，架空线路注明一下单/双回路各架设几基塔。                                                                                                            4.余方量8000多立方米，建议明确其去向。                                                                                                                                              5.标准更新，如《福建省重点保护野生植物名录》2024年；                                                                                                6.埔当变属于相关工程，不叫依托工程。                                                                                                                                               7.表3-7 如福建鸿星尔克体育用品有限公司项目部、福建丰联新型材料有限公司项目部，企业的办公用房均无需列入声环境保护目标。完善噪声影响分析内容。                                                                                             8.核实电磁环境敏感目标。324国道工程拆迁的民房，只有拆迁进度早于本项目投运，才可以不列入电磁环境保护目标，才能确保民房不受输变电项目的影响，从目前的拆迁方案中看不出时序前后。而采用p40中“环评阶段，环境影响评价范围内明确属于工程拆迁的建筑物不列为环境敏感目标，不进行环境影响评价”做依据是错误的，这里的工程拆迁应是本输变电工程，而不是其他工程。你可以分析这几处民房是必须拆迁后电缆才能敷设，所以肯定拆迁进度先于输变电工程投运。                                                                                        9.补充线路跨越基本农田的图件。                                                                                                                                       10.4.2.3 电磁环境应摘取电磁环境影响专题的主要内容和评价结论。                                                                                                                       11.轴流风机的运行时段，不是事故通风。日常散热就常开，并非只是事故通风才使用。噪声源强的表内注释不对。                                                                                                                                                                         12.P65中雨水纳入市政雨水管网，本项目周边有市政雨污水管吗？如果有，核实一下污水是否要纳入市政污水管还是站内清掏利用？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13.应提出站内设置废铅酸蓄电池临时暂存场所的要求，并提出相应的设置要求。                                                                                                                                                          14.表A-17中类比电缆的可比性分析中“影响更大，更具有可比性 ”这措辞不当，影响更大，从环保上选取它做类比对象更为保守，所以可以选择。肯定是同样回数才是最有可比性。                                                                                                                                                   15.根据附件官桥园区开发有限公司的复函，路径没有按照规划路网布设，会影响地块的开发，开发有限公司提出应优化路径。线路环境可行性中应对此进行分析说明。</w:t>
            </w:r>
          </w:p>
        </w:tc>
      </w:tr>
    </w:tbl>
    <w:p w14:paraId="389D29EB">
      <w:pPr>
        <w:spacing w:line="600" w:lineRule="exact"/>
        <w:rPr>
          <w:rFonts w:eastAsia="仿宋_GB2312"/>
          <w:b/>
          <w:sz w:val="36"/>
          <w:szCs w:val="36"/>
        </w:rPr>
        <w:sectPr>
          <w:headerReference r:id="rId3" w:type="default"/>
          <w:footerReference r:id="rId5" w:type="default"/>
          <w:headerReference r:id="rId4" w:type="even"/>
          <w:footerReference r:id="rId6" w:type="even"/>
          <w:pgSz w:w="16838" w:h="11906" w:orient="landscape"/>
          <w:pgMar w:top="1474" w:right="249" w:bottom="1474" w:left="238" w:header="851" w:footer="992" w:gutter="0"/>
          <w:pgNumType w:fmt="decimal"/>
          <w:cols w:space="720" w:num="1"/>
          <w:docGrid w:type="lines" w:linePitch="315" w:charSpace="0"/>
        </w:sectPr>
      </w:pPr>
    </w:p>
    <w:p w14:paraId="30548ACB">
      <w:pPr>
        <w:spacing w:line="600" w:lineRule="exact"/>
        <w:rPr>
          <w:rFonts w:eastAsia="仿宋_GB2312"/>
          <w:b/>
          <w:sz w:val="36"/>
          <w:szCs w:val="36"/>
        </w:rPr>
      </w:pPr>
    </w:p>
    <w:p w14:paraId="46F749B7">
      <w:pPr>
        <w:spacing w:line="600" w:lineRule="exact"/>
        <w:rPr>
          <w:rFonts w:eastAsia="仿宋_GB2312"/>
          <w:b/>
          <w:sz w:val="36"/>
          <w:szCs w:val="36"/>
        </w:rPr>
      </w:pPr>
    </w:p>
    <w:p w14:paraId="6D02EC01">
      <w:pPr>
        <w:spacing w:line="600" w:lineRule="exact"/>
        <w:rPr>
          <w:rFonts w:eastAsia="仿宋_GB2312"/>
          <w:b/>
          <w:sz w:val="36"/>
          <w:szCs w:val="36"/>
        </w:rPr>
      </w:pPr>
    </w:p>
    <w:p w14:paraId="24961F3F">
      <w:pPr>
        <w:spacing w:line="600" w:lineRule="exact"/>
        <w:rPr>
          <w:rFonts w:eastAsia="仿宋_GB2312"/>
          <w:b/>
          <w:sz w:val="36"/>
          <w:szCs w:val="36"/>
        </w:rPr>
      </w:pPr>
    </w:p>
    <w:p w14:paraId="0B326A51">
      <w:pPr>
        <w:spacing w:line="600" w:lineRule="exact"/>
        <w:rPr>
          <w:rFonts w:eastAsia="仿宋_GB2312"/>
          <w:b/>
          <w:sz w:val="36"/>
          <w:szCs w:val="36"/>
        </w:rPr>
      </w:pPr>
    </w:p>
    <w:p w14:paraId="54E8C1A3">
      <w:pPr>
        <w:spacing w:line="600" w:lineRule="exact"/>
        <w:rPr>
          <w:rFonts w:eastAsia="仿宋_GB2312"/>
          <w:b/>
          <w:sz w:val="36"/>
          <w:szCs w:val="36"/>
        </w:rPr>
      </w:pPr>
    </w:p>
    <w:p w14:paraId="67183CDA">
      <w:pPr>
        <w:spacing w:line="600" w:lineRule="exact"/>
        <w:rPr>
          <w:rFonts w:eastAsia="仿宋_GB2312"/>
          <w:b/>
          <w:sz w:val="36"/>
          <w:szCs w:val="36"/>
        </w:rPr>
      </w:pPr>
    </w:p>
    <w:p w14:paraId="0A50F442">
      <w:pPr>
        <w:spacing w:line="600" w:lineRule="exact"/>
        <w:rPr>
          <w:rFonts w:eastAsia="仿宋_GB2312"/>
          <w:b/>
          <w:sz w:val="36"/>
          <w:szCs w:val="36"/>
        </w:rPr>
      </w:pPr>
    </w:p>
    <w:p w14:paraId="226DF9CD">
      <w:pPr>
        <w:spacing w:line="600" w:lineRule="exact"/>
        <w:rPr>
          <w:rFonts w:eastAsia="仿宋_GB2312"/>
          <w:b/>
          <w:sz w:val="36"/>
          <w:szCs w:val="36"/>
        </w:rPr>
      </w:pPr>
    </w:p>
    <w:p w14:paraId="24BF9FD2">
      <w:pPr>
        <w:spacing w:line="600" w:lineRule="exact"/>
        <w:rPr>
          <w:rFonts w:eastAsia="仿宋_GB2312"/>
          <w:b/>
          <w:sz w:val="36"/>
          <w:szCs w:val="36"/>
        </w:rPr>
      </w:pPr>
    </w:p>
    <w:p w14:paraId="064006BA">
      <w:pPr>
        <w:spacing w:line="600" w:lineRule="exact"/>
        <w:rPr>
          <w:rFonts w:eastAsia="仿宋_GB2312"/>
          <w:b/>
          <w:sz w:val="36"/>
          <w:szCs w:val="36"/>
        </w:rPr>
      </w:pPr>
    </w:p>
    <w:p w14:paraId="6B35993B">
      <w:pPr>
        <w:spacing w:line="600" w:lineRule="exact"/>
        <w:rPr>
          <w:rFonts w:eastAsia="仿宋_GB2312"/>
          <w:b/>
          <w:sz w:val="36"/>
          <w:szCs w:val="36"/>
        </w:rPr>
      </w:pPr>
    </w:p>
    <w:p w14:paraId="03E77774">
      <w:pPr>
        <w:spacing w:line="600" w:lineRule="exact"/>
        <w:rPr>
          <w:rFonts w:hint="eastAsia" w:eastAsia="仿宋_GB2312"/>
          <w:b/>
          <w:sz w:val="36"/>
          <w:szCs w:val="36"/>
          <w:lang w:val="en-US" w:eastAsia="zh-CN"/>
        </w:rPr>
      </w:pPr>
    </w:p>
    <w:p w14:paraId="3ECC2A62">
      <w:pPr>
        <w:spacing w:line="600" w:lineRule="exact"/>
        <w:rPr>
          <w:rFonts w:eastAsia="仿宋_GB2312"/>
          <w:b/>
          <w:sz w:val="36"/>
          <w:szCs w:val="36"/>
        </w:rPr>
      </w:pPr>
    </w:p>
    <w:p w14:paraId="67CFE170">
      <w:pPr>
        <w:spacing w:line="600" w:lineRule="exact"/>
        <w:rPr>
          <w:rFonts w:eastAsia="仿宋_GB2312"/>
          <w:b/>
          <w:sz w:val="36"/>
          <w:szCs w:val="36"/>
        </w:rPr>
      </w:pPr>
    </w:p>
    <w:p w14:paraId="777246E6">
      <w:pPr>
        <w:spacing w:line="600" w:lineRule="exact"/>
        <w:rPr>
          <w:rFonts w:eastAsia="仿宋_GB2312"/>
          <w:b/>
          <w:sz w:val="36"/>
          <w:szCs w:val="36"/>
        </w:rPr>
      </w:pPr>
    </w:p>
    <w:p w14:paraId="69C9B6EE">
      <w:pPr>
        <w:spacing w:line="600" w:lineRule="exact"/>
        <w:rPr>
          <w:rFonts w:eastAsia="仿宋_GB2312"/>
          <w:b/>
          <w:sz w:val="36"/>
          <w:szCs w:val="36"/>
        </w:rPr>
      </w:pPr>
    </w:p>
    <w:p w14:paraId="40CCDDC9">
      <w:pPr>
        <w:spacing w:line="600" w:lineRule="exact"/>
        <w:rPr>
          <w:rFonts w:eastAsia="仿宋_GB2312"/>
          <w:b/>
          <w:sz w:val="36"/>
          <w:szCs w:val="36"/>
        </w:rPr>
      </w:pPr>
    </w:p>
    <w:p w14:paraId="6969ECC1">
      <w:pPr>
        <w:spacing w:line="600" w:lineRule="exact"/>
        <w:rPr>
          <w:rFonts w:eastAsia="仿宋_GB2312"/>
          <w:b/>
          <w:sz w:val="36"/>
          <w:szCs w:val="36"/>
        </w:rPr>
      </w:pPr>
    </w:p>
    <w:p w14:paraId="247FBED0">
      <w:pPr>
        <w:spacing w:line="600" w:lineRule="exact"/>
        <w:rPr>
          <w:rFonts w:eastAsia="仿宋_GB2312"/>
          <w:b/>
          <w:sz w:val="36"/>
          <w:szCs w:val="36"/>
        </w:rPr>
      </w:pPr>
      <w:bookmarkStart w:id="0" w:name="_GoBack"/>
      <w:bookmarkEnd w:id="0"/>
    </w:p>
    <w:p w14:paraId="7C8226D0">
      <w:pPr>
        <w:spacing w:line="500" w:lineRule="exact"/>
        <w:ind w:firstLine="210" w:firstLineChars="100"/>
        <w:rPr>
          <w:rFonts w:ascii="Times New Roman" w:hAnsi="Times New Roman" w:eastAsia="宋体" w:cs="Times New Roman"/>
          <w:kern w:val="2"/>
          <w:sz w:val="21"/>
          <w:szCs w:val="24"/>
          <w:lang w:val="en-US" w:eastAsia="zh-CN" w:bidi="ar-SA"/>
        </w:rPr>
      </w:pPr>
    </w:p>
    <w:sectPr>
      <w:headerReference r:id="rId9" w:type="first"/>
      <w:headerReference r:id="rId7" w:type="default"/>
      <w:footerReference r:id="rId10" w:type="default"/>
      <w:headerReference r:id="rId8" w:type="even"/>
      <w:footerReference r:id="rId11" w:type="even"/>
      <w:type w:val="evenPage"/>
      <w:pgSz w:w="11906" w:h="16838"/>
      <w:pgMar w:top="249" w:right="1474" w:bottom="238" w:left="1474" w:header="851" w:footer="992" w:gutter="0"/>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1D94F4-E3CC-4D9A-9174-28E8DC6605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5D155F5-E449-40B0-A61F-9140277911BD}"/>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14EA4C2-4B70-4056-A766-7BEDDA252ACA}"/>
  </w:font>
  <w:font w:name="仿宋_GB2312">
    <w:panose1 w:val="02010609030101010101"/>
    <w:charset w:val="86"/>
    <w:family w:val="modern"/>
    <w:pitch w:val="default"/>
    <w:sig w:usb0="00000001" w:usb1="080E0000" w:usb2="00000000" w:usb3="00000000" w:csb0="00040000" w:csb1="00000000"/>
    <w:embedRegular r:id="rId4" w:fontKey="{8DD94DF5-BF71-4C99-8795-BC2D7C3658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7A5B">
    <w:pPr>
      <w:pStyle w:val="2"/>
      <w:tabs>
        <w:tab w:val="left" w:pos="328"/>
        <w:tab w:val="right" w:pos="16471"/>
      </w:tabs>
      <w:jc w:val="left"/>
    </w:pPr>
    <w:r>
      <w:rPr>
        <w:sz w:val="28"/>
      </w:rPr>
      <mc:AlternateContent>
        <mc:Choice Requires="wps">
          <w:drawing>
            <wp:anchor distT="0" distB="0" distL="114300" distR="114300" simplePos="0" relativeHeight="251663360" behindDoc="0" locked="0" layoutInCell="1" allowOverlap="1">
              <wp:simplePos x="0" y="0"/>
              <wp:positionH relativeFrom="margin">
                <wp:posOffset>9418955</wp:posOffset>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8A45E">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41.65pt;margin-top:0pt;height:144pt;width:144pt;mso-position-horizontal-relative:margin;mso-wrap-style:none;z-index:251663360;mso-width-relative:page;mso-height-relative:page;" filled="f" stroked="f" coordsize="21600,21600" o:gfxdata="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H6N1QAAAAoBAAAPAAAAAAAAAAEAIAAAACIAAABkcnMvZG93bnJldi54bWxQ&#10;SwECFAAUAAAACACHTuJACMWOmTMCAABjBAAADgAAAAAAAAABACAAAAAkAQAAZHJzL2Uyb0RvYy54&#10;bWxQSwUGAAAAAAYABgBZAQAAyQUAAAAA&#10;">
              <v:fill on="f" focussize="0,0"/>
              <v:stroke on="f" weight="0.5pt"/>
              <v:imagedata o:title=""/>
              <o:lock v:ext="edit" aspectratio="f"/>
              <v:textbox inset="0mm,0mm,0mm,0mm" style="mso-fit-shape-to-text:t;">
                <w:txbxContent>
                  <w:p w14:paraId="7E68A45E">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FDE134">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6FDE134">
                    <w:pPr>
                      <w:pStyle w:val="2"/>
                    </w:pPr>
                  </w:p>
                </w:txbxContent>
              </v:textbox>
            </v:shape>
          </w:pict>
        </mc:Fallback>
      </mc:AlternateContent>
    </w:r>
    <w:r>
      <w:rPr>
        <w:rFonts w:hint="eastAsia"/>
      </w:rPr>
      <w:tab/>
    </w:r>
    <w:r>
      <w:rPr>
        <w:rFonts w:hint="eastAsia"/>
      </w:rPr>
      <w:tab/>
    </w:r>
    <w:r>
      <w:rPr>
        <w:rFonts w:hint="eastAsia"/>
      </w:rPr>
      <w:tab/>
    </w:r>
    <w:r>
      <w:rPr>
        <w:rFonts w:hint="eastAsia"/>
      </w:rPr>
      <w:tab/>
    </w:r>
  </w:p>
  <w:p w14:paraId="6C8E6525">
    <w:pPr>
      <w:pStyle w:val="2"/>
      <w:ind w:right="1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11A5">
    <w:pPr>
      <w:pStyle w:val="2"/>
      <w:jc w:val="center"/>
    </w:pPr>
    <w:r>
      <w:rPr>
        <w:sz w:val="28"/>
      </w:rPr>
      <mc:AlternateContent>
        <mc:Choice Requires="wps">
          <w:drawing>
            <wp:anchor distT="0" distB="0" distL="114300" distR="114300" simplePos="0" relativeHeight="251664384" behindDoc="0" locked="0" layoutInCell="1" allowOverlap="1">
              <wp:simplePos x="0" y="0"/>
              <wp:positionH relativeFrom="margin">
                <wp:posOffset>360045</wp:posOffset>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D1858">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35pt;margin-top:0pt;height:144pt;width:144pt;mso-position-horizontal-relative:margin;mso-wrap-style:none;z-index:251664384;mso-width-relative:page;mso-height-relative:page;" filled="f" stroked="f" coordsize="21600,21600" o:gfxdata="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LUIPHUAAAABwEAAA8AAAAAAAAAAQAgAAAAIgAAAGRycy9kb3ducmV2LnhtbFBL&#10;AQIUABQAAAAIAIdO4kCPO0dyMwIAAGMEAAAOAAAAAAAAAAEAIAAAACMBAABkcnMvZTJvRG9jLnht&#10;bFBLBQYAAAAABgAGAFkBAADIBQAAAAA=&#10;">
              <v:fill on="f" focussize="0,0"/>
              <v:stroke on="f" weight="0.5pt"/>
              <v:imagedata o:title=""/>
              <o:lock v:ext="edit" aspectratio="f"/>
              <v:textbox inset="0mm,0mm,0mm,0mm" style="mso-fit-shape-to-text:t;">
                <w:txbxContent>
                  <w:p w14:paraId="1B2D1858">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8B85C7">
                          <w:pPr>
                            <w:pStyle w:val="2"/>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038B85C7">
                    <w:pPr>
                      <w:pStyle w:val="2"/>
                      <w:jc w:val="cente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5B6976">
                          <w:pPr>
                            <w:pStyle w:val="2"/>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A5B6976">
                    <w:pPr>
                      <w:pStyle w:val="2"/>
                      <w:jc w:val="center"/>
                    </w:pPr>
                  </w:p>
                </w:txbxContent>
              </v:textbox>
            </v:shape>
          </w:pict>
        </mc:Fallback>
      </mc:AlternateContent>
    </w:r>
  </w:p>
  <w:p w14:paraId="3452FA2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4769">
    <w:pPr>
      <w:pStyle w:val="2"/>
      <w:ind w:right="14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D5A3">
    <w:pPr>
      <w:pStyle w:val="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87F9FE">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14:paraId="3187F9FE">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E9F6">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E0D6">
    <w:pPr>
      <w:pStyle w:val="3"/>
      <w:pBdr>
        <w:bottom w:val="none" w:color="auto" w:sz="0" w:space="1"/>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E71F">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A633">
    <w:pPr>
      <w:pStyle w:val="3"/>
      <w:pBdr>
        <w:bottom w:val="none" w:color="auto" w:sz="0" w:space="1"/>
      </w:pBd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442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YWY2M2JhZWVjNGQ3NjMwZTkyMWZkOTA5MWI5NTgifQ=="/>
  </w:docVars>
  <w:rsids>
    <w:rsidRoot w:val="00FE2CC9"/>
    <w:rsid w:val="000163B3"/>
    <w:rsid w:val="000175C0"/>
    <w:rsid w:val="00030F22"/>
    <w:rsid w:val="00043FD1"/>
    <w:rsid w:val="0005264A"/>
    <w:rsid w:val="00052E87"/>
    <w:rsid w:val="000726E6"/>
    <w:rsid w:val="00075FD5"/>
    <w:rsid w:val="0008215C"/>
    <w:rsid w:val="00082B52"/>
    <w:rsid w:val="000856F4"/>
    <w:rsid w:val="00090328"/>
    <w:rsid w:val="0009154A"/>
    <w:rsid w:val="00092B9F"/>
    <w:rsid w:val="000A6092"/>
    <w:rsid w:val="000B1F88"/>
    <w:rsid w:val="000C0F27"/>
    <w:rsid w:val="000C182F"/>
    <w:rsid w:val="000D0FD3"/>
    <w:rsid w:val="000D3C5F"/>
    <w:rsid w:val="000D4DE3"/>
    <w:rsid w:val="000D7D3E"/>
    <w:rsid w:val="000E3B7E"/>
    <w:rsid w:val="000E5EA1"/>
    <w:rsid w:val="000F40D6"/>
    <w:rsid w:val="000F4D9B"/>
    <w:rsid w:val="001057C6"/>
    <w:rsid w:val="00110681"/>
    <w:rsid w:val="00110B66"/>
    <w:rsid w:val="00115C0A"/>
    <w:rsid w:val="001163AD"/>
    <w:rsid w:val="001204F4"/>
    <w:rsid w:val="001408FC"/>
    <w:rsid w:val="001646DC"/>
    <w:rsid w:val="00165AED"/>
    <w:rsid w:val="00165DC2"/>
    <w:rsid w:val="00183BAA"/>
    <w:rsid w:val="00187176"/>
    <w:rsid w:val="001A4DC1"/>
    <w:rsid w:val="001B4658"/>
    <w:rsid w:val="001F49F0"/>
    <w:rsid w:val="00202B57"/>
    <w:rsid w:val="00203C49"/>
    <w:rsid w:val="0020445B"/>
    <w:rsid w:val="00205C3F"/>
    <w:rsid w:val="002165C2"/>
    <w:rsid w:val="002203D8"/>
    <w:rsid w:val="00247051"/>
    <w:rsid w:val="00263491"/>
    <w:rsid w:val="00270A27"/>
    <w:rsid w:val="00273450"/>
    <w:rsid w:val="00280AF4"/>
    <w:rsid w:val="002945E9"/>
    <w:rsid w:val="0029534C"/>
    <w:rsid w:val="002957D0"/>
    <w:rsid w:val="00296ACF"/>
    <w:rsid w:val="00296EA4"/>
    <w:rsid w:val="002A4327"/>
    <w:rsid w:val="002B0204"/>
    <w:rsid w:val="002B254B"/>
    <w:rsid w:val="002B27B2"/>
    <w:rsid w:val="002D116A"/>
    <w:rsid w:val="002D336E"/>
    <w:rsid w:val="002D4924"/>
    <w:rsid w:val="002F1480"/>
    <w:rsid w:val="002F2C0F"/>
    <w:rsid w:val="00312119"/>
    <w:rsid w:val="003453A4"/>
    <w:rsid w:val="00346973"/>
    <w:rsid w:val="0035407F"/>
    <w:rsid w:val="003634B7"/>
    <w:rsid w:val="003642BD"/>
    <w:rsid w:val="00366B11"/>
    <w:rsid w:val="00367F9A"/>
    <w:rsid w:val="003779B3"/>
    <w:rsid w:val="00382E24"/>
    <w:rsid w:val="00386E47"/>
    <w:rsid w:val="00394DE0"/>
    <w:rsid w:val="003959C1"/>
    <w:rsid w:val="003B085D"/>
    <w:rsid w:val="003C4C43"/>
    <w:rsid w:val="003C5B01"/>
    <w:rsid w:val="003C6FA4"/>
    <w:rsid w:val="003D54CC"/>
    <w:rsid w:val="003D557C"/>
    <w:rsid w:val="003D6220"/>
    <w:rsid w:val="003E1999"/>
    <w:rsid w:val="003E5B04"/>
    <w:rsid w:val="00417F7F"/>
    <w:rsid w:val="00421DD9"/>
    <w:rsid w:val="00424BFC"/>
    <w:rsid w:val="004300E7"/>
    <w:rsid w:val="00460595"/>
    <w:rsid w:val="0046083F"/>
    <w:rsid w:val="004716D1"/>
    <w:rsid w:val="00473BE1"/>
    <w:rsid w:val="004748A8"/>
    <w:rsid w:val="004966AF"/>
    <w:rsid w:val="004B62DC"/>
    <w:rsid w:val="004D686C"/>
    <w:rsid w:val="004E512C"/>
    <w:rsid w:val="004E5C44"/>
    <w:rsid w:val="004E5DC6"/>
    <w:rsid w:val="004E64D6"/>
    <w:rsid w:val="004E66B7"/>
    <w:rsid w:val="004F375B"/>
    <w:rsid w:val="00502CF9"/>
    <w:rsid w:val="00503804"/>
    <w:rsid w:val="00504266"/>
    <w:rsid w:val="005075DD"/>
    <w:rsid w:val="005177DA"/>
    <w:rsid w:val="00521120"/>
    <w:rsid w:val="005242AA"/>
    <w:rsid w:val="00524C8C"/>
    <w:rsid w:val="00526360"/>
    <w:rsid w:val="00531C78"/>
    <w:rsid w:val="00537F71"/>
    <w:rsid w:val="00542C62"/>
    <w:rsid w:val="005435CD"/>
    <w:rsid w:val="00567F38"/>
    <w:rsid w:val="00593818"/>
    <w:rsid w:val="005C3C2A"/>
    <w:rsid w:val="005F00A0"/>
    <w:rsid w:val="005F638E"/>
    <w:rsid w:val="00600E2F"/>
    <w:rsid w:val="006019CF"/>
    <w:rsid w:val="00611452"/>
    <w:rsid w:val="0061179E"/>
    <w:rsid w:val="00621651"/>
    <w:rsid w:val="00634D02"/>
    <w:rsid w:val="00637FDC"/>
    <w:rsid w:val="00640D7B"/>
    <w:rsid w:val="00651E2D"/>
    <w:rsid w:val="00651EE9"/>
    <w:rsid w:val="00652088"/>
    <w:rsid w:val="00660FEA"/>
    <w:rsid w:val="006A3A8F"/>
    <w:rsid w:val="006B106F"/>
    <w:rsid w:val="006B3DA0"/>
    <w:rsid w:val="006C312A"/>
    <w:rsid w:val="006D4289"/>
    <w:rsid w:val="006D5723"/>
    <w:rsid w:val="006E72C2"/>
    <w:rsid w:val="006F12CC"/>
    <w:rsid w:val="00726BD2"/>
    <w:rsid w:val="00754F9B"/>
    <w:rsid w:val="00772132"/>
    <w:rsid w:val="00780679"/>
    <w:rsid w:val="0078321C"/>
    <w:rsid w:val="00784DA3"/>
    <w:rsid w:val="0079020A"/>
    <w:rsid w:val="00796347"/>
    <w:rsid w:val="00796BF4"/>
    <w:rsid w:val="007A6640"/>
    <w:rsid w:val="007B4997"/>
    <w:rsid w:val="007D0BEA"/>
    <w:rsid w:val="007D21CA"/>
    <w:rsid w:val="007E0DF8"/>
    <w:rsid w:val="007F0DE7"/>
    <w:rsid w:val="007F5620"/>
    <w:rsid w:val="00815CDB"/>
    <w:rsid w:val="0081620F"/>
    <w:rsid w:val="0081747F"/>
    <w:rsid w:val="00820A96"/>
    <w:rsid w:val="00820BA4"/>
    <w:rsid w:val="00822F0C"/>
    <w:rsid w:val="008252D3"/>
    <w:rsid w:val="0084565B"/>
    <w:rsid w:val="0085452A"/>
    <w:rsid w:val="00860BBF"/>
    <w:rsid w:val="00860CEF"/>
    <w:rsid w:val="008729AE"/>
    <w:rsid w:val="00882EAB"/>
    <w:rsid w:val="0089644E"/>
    <w:rsid w:val="008A7550"/>
    <w:rsid w:val="008B2C94"/>
    <w:rsid w:val="008C23CF"/>
    <w:rsid w:val="008C3D57"/>
    <w:rsid w:val="008D4E25"/>
    <w:rsid w:val="008F7F4A"/>
    <w:rsid w:val="009015FC"/>
    <w:rsid w:val="0090483A"/>
    <w:rsid w:val="00904D06"/>
    <w:rsid w:val="009301B7"/>
    <w:rsid w:val="00930A8C"/>
    <w:rsid w:val="00943FDF"/>
    <w:rsid w:val="0095410A"/>
    <w:rsid w:val="00962496"/>
    <w:rsid w:val="00965A04"/>
    <w:rsid w:val="00967BC8"/>
    <w:rsid w:val="009912F8"/>
    <w:rsid w:val="00992302"/>
    <w:rsid w:val="0099600C"/>
    <w:rsid w:val="00997264"/>
    <w:rsid w:val="00997C41"/>
    <w:rsid w:val="009A0F7A"/>
    <w:rsid w:val="009A3D8B"/>
    <w:rsid w:val="009B0B7B"/>
    <w:rsid w:val="009B36B0"/>
    <w:rsid w:val="009D0A99"/>
    <w:rsid w:val="009D7442"/>
    <w:rsid w:val="009E7037"/>
    <w:rsid w:val="009F1A4A"/>
    <w:rsid w:val="009F62A0"/>
    <w:rsid w:val="009F74F6"/>
    <w:rsid w:val="00A03C0F"/>
    <w:rsid w:val="00A051D7"/>
    <w:rsid w:val="00A14BFB"/>
    <w:rsid w:val="00A15E57"/>
    <w:rsid w:val="00A43041"/>
    <w:rsid w:val="00A51762"/>
    <w:rsid w:val="00A92FFC"/>
    <w:rsid w:val="00AB1D7E"/>
    <w:rsid w:val="00AB2E2E"/>
    <w:rsid w:val="00AC76D3"/>
    <w:rsid w:val="00AE0646"/>
    <w:rsid w:val="00AF3182"/>
    <w:rsid w:val="00B166C9"/>
    <w:rsid w:val="00B30FA4"/>
    <w:rsid w:val="00B33B3E"/>
    <w:rsid w:val="00B371E9"/>
    <w:rsid w:val="00B43DDF"/>
    <w:rsid w:val="00B51166"/>
    <w:rsid w:val="00B51548"/>
    <w:rsid w:val="00B64632"/>
    <w:rsid w:val="00B647F8"/>
    <w:rsid w:val="00B74EEC"/>
    <w:rsid w:val="00B93CB7"/>
    <w:rsid w:val="00BA243F"/>
    <w:rsid w:val="00BA6A33"/>
    <w:rsid w:val="00BB071C"/>
    <w:rsid w:val="00BE1D69"/>
    <w:rsid w:val="00BE5098"/>
    <w:rsid w:val="00BE5531"/>
    <w:rsid w:val="00BF0EEE"/>
    <w:rsid w:val="00C27B8B"/>
    <w:rsid w:val="00C41426"/>
    <w:rsid w:val="00C6097B"/>
    <w:rsid w:val="00C61387"/>
    <w:rsid w:val="00C73919"/>
    <w:rsid w:val="00C81A8E"/>
    <w:rsid w:val="00C81B8F"/>
    <w:rsid w:val="00C86AD4"/>
    <w:rsid w:val="00CB206E"/>
    <w:rsid w:val="00CC2EFE"/>
    <w:rsid w:val="00D0562C"/>
    <w:rsid w:val="00D106C6"/>
    <w:rsid w:val="00D16F24"/>
    <w:rsid w:val="00D21207"/>
    <w:rsid w:val="00D479D9"/>
    <w:rsid w:val="00D53CF8"/>
    <w:rsid w:val="00D56758"/>
    <w:rsid w:val="00D62B0C"/>
    <w:rsid w:val="00D64F69"/>
    <w:rsid w:val="00D75B5C"/>
    <w:rsid w:val="00D82E48"/>
    <w:rsid w:val="00DA0DD3"/>
    <w:rsid w:val="00DA2CF0"/>
    <w:rsid w:val="00DB65D8"/>
    <w:rsid w:val="00DC12A3"/>
    <w:rsid w:val="00DE4357"/>
    <w:rsid w:val="00E23585"/>
    <w:rsid w:val="00E25B70"/>
    <w:rsid w:val="00E3638D"/>
    <w:rsid w:val="00E40C68"/>
    <w:rsid w:val="00E651D1"/>
    <w:rsid w:val="00E778C3"/>
    <w:rsid w:val="00E816BB"/>
    <w:rsid w:val="00E841B3"/>
    <w:rsid w:val="00E873F1"/>
    <w:rsid w:val="00E87FC3"/>
    <w:rsid w:val="00E903E8"/>
    <w:rsid w:val="00E91F3A"/>
    <w:rsid w:val="00EA0C03"/>
    <w:rsid w:val="00EB6CE5"/>
    <w:rsid w:val="00EE141D"/>
    <w:rsid w:val="00F04A10"/>
    <w:rsid w:val="00F36282"/>
    <w:rsid w:val="00F43BA6"/>
    <w:rsid w:val="00F5253C"/>
    <w:rsid w:val="00F57B4D"/>
    <w:rsid w:val="00F57C71"/>
    <w:rsid w:val="00F60E98"/>
    <w:rsid w:val="00F6346D"/>
    <w:rsid w:val="00F65EE8"/>
    <w:rsid w:val="00F66ACA"/>
    <w:rsid w:val="00F706FA"/>
    <w:rsid w:val="00F7375E"/>
    <w:rsid w:val="00F75B84"/>
    <w:rsid w:val="00F7656F"/>
    <w:rsid w:val="00F83D6A"/>
    <w:rsid w:val="00F93903"/>
    <w:rsid w:val="00FA6B7D"/>
    <w:rsid w:val="00FB0361"/>
    <w:rsid w:val="00FB6DAA"/>
    <w:rsid w:val="00FE1285"/>
    <w:rsid w:val="00FE2CC9"/>
    <w:rsid w:val="00FE773B"/>
    <w:rsid w:val="00FF0B06"/>
    <w:rsid w:val="00FF41FE"/>
    <w:rsid w:val="00FF79C7"/>
    <w:rsid w:val="013A6BC4"/>
    <w:rsid w:val="01466B37"/>
    <w:rsid w:val="01CB767E"/>
    <w:rsid w:val="02100838"/>
    <w:rsid w:val="02F46924"/>
    <w:rsid w:val="04DF0F70"/>
    <w:rsid w:val="05B13578"/>
    <w:rsid w:val="07B156C8"/>
    <w:rsid w:val="09C06015"/>
    <w:rsid w:val="0B0D6E40"/>
    <w:rsid w:val="0BFE20BB"/>
    <w:rsid w:val="0D8F1D4B"/>
    <w:rsid w:val="0EAC606B"/>
    <w:rsid w:val="0F3A26DF"/>
    <w:rsid w:val="10D821AF"/>
    <w:rsid w:val="11A544DC"/>
    <w:rsid w:val="13EE1CEA"/>
    <w:rsid w:val="14000BA8"/>
    <w:rsid w:val="14F16387"/>
    <w:rsid w:val="158858A3"/>
    <w:rsid w:val="15A8025B"/>
    <w:rsid w:val="1D1E286E"/>
    <w:rsid w:val="1D530AAF"/>
    <w:rsid w:val="1DAC2BE5"/>
    <w:rsid w:val="1E3C465E"/>
    <w:rsid w:val="21577120"/>
    <w:rsid w:val="23030715"/>
    <w:rsid w:val="24D406FB"/>
    <w:rsid w:val="25757B75"/>
    <w:rsid w:val="267973E2"/>
    <w:rsid w:val="27814EF7"/>
    <w:rsid w:val="27FB0DEF"/>
    <w:rsid w:val="28B61AF9"/>
    <w:rsid w:val="29A17E8D"/>
    <w:rsid w:val="29F86FC6"/>
    <w:rsid w:val="2C895BD4"/>
    <w:rsid w:val="2E1A39A0"/>
    <w:rsid w:val="2E4C5B33"/>
    <w:rsid w:val="32B40116"/>
    <w:rsid w:val="36A858D0"/>
    <w:rsid w:val="3A465B2C"/>
    <w:rsid w:val="3B3140E6"/>
    <w:rsid w:val="3BFA60D7"/>
    <w:rsid w:val="3C8E62E9"/>
    <w:rsid w:val="3D8C334B"/>
    <w:rsid w:val="3EAA0082"/>
    <w:rsid w:val="3F9E5AC2"/>
    <w:rsid w:val="3FC419CD"/>
    <w:rsid w:val="3FD041D6"/>
    <w:rsid w:val="41F613C0"/>
    <w:rsid w:val="43E50164"/>
    <w:rsid w:val="454B17CE"/>
    <w:rsid w:val="472B021F"/>
    <w:rsid w:val="480909C2"/>
    <w:rsid w:val="487E245C"/>
    <w:rsid w:val="48F9109F"/>
    <w:rsid w:val="49A210B4"/>
    <w:rsid w:val="4C14566A"/>
    <w:rsid w:val="4DC07AE1"/>
    <w:rsid w:val="4DD17268"/>
    <w:rsid w:val="4F3D70A6"/>
    <w:rsid w:val="50834F8C"/>
    <w:rsid w:val="50FC7904"/>
    <w:rsid w:val="535343BC"/>
    <w:rsid w:val="55CE6CAA"/>
    <w:rsid w:val="570838F1"/>
    <w:rsid w:val="5BCD225E"/>
    <w:rsid w:val="5C5D6E1A"/>
    <w:rsid w:val="5CD915CA"/>
    <w:rsid w:val="5D914D1D"/>
    <w:rsid w:val="618D5C6B"/>
    <w:rsid w:val="64AF30A1"/>
    <w:rsid w:val="64F93617"/>
    <w:rsid w:val="691D5B26"/>
    <w:rsid w:val="693F5D59"/>
    <w:rsid w:val="6A011273"/>
    <w:rsid w:val="6B594E10"/>
    <w:rsid w:val="6BE35E98"/>
    <w:rsid w:val="6D527D69"/>
    <w:rsid w:val="6E5D7500"/>
    <w:rsid w:val="71DA42DA"/>
    <w:rsid w:val="778D20DB"/>
    <w:rsid w:val="78AE0AFB"/>
    <w:rsid w:val="794A1FE2"/>
    <w:rsid w:val="79833B25"/>
    <w:rsid w:val="79CB17D1"/>
    <w:rsid w:val="7B603B6D"/>
    <w:rsid w:val="7DDC7906"/>
    <w:rsid w:val="7EAB17B1"/>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right"/>
    </w:pPr>
    <w:rPr>
      <w:rFonts w:ascii="宋体" w:hAnsi="宋体"/>
      <w:sz w:val="28"/>
      <w:szCs w:val="2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default" w:ascii="Times New Roman" w:hAnsi="Times New Roman" w:cs="Times New Roman"/>
      <w:color w:val="000000"/>
      <w:sz w:val="24"/>
      <w:szCs w:val="24"/>
      <w:u w:val="none"/>
    </w:rPr>
  </w:style>
  <w:style w:type="character" w:customStyle="1" w:styleId="7">
    <w:name w:val="font31"/>
    <w:basedOn w:val="5"/>
    <w:qFormat/>
    <w:uiPriority w:val="0"/>
    <w:rPr>
      <w:rFonts w:hint="default" w:ascii="Times New Roman" w:hAnsi="Times New Roman" w:cs="Times New Roman"/>
      <w:color w:val="000000"/>
      <w:sz w:val="22"/>
      <w:szCs w:val="22"/>
      <w:u w:val="none"/>
    </w:rPr>
  </w:style>
  <w:style w:type="character" w:customStyle="1" w:styleId="8">
    <w:name w:val="font21"/>
    <w:basedOn w:val="5"/>
    <w:qFormat/>
    <w:uiPriority w:val="0"/>
    <w:rPr>
      <w:rFonts w:hint="default" w:ascii="Times New Roman" w:hAnsi="Times New Roman" w:cs="Times New Roman"/>
      <w:color w:val="000000"/>
      <w:sz w:val="18"/>
      <w:szCs w:val="18"/>
      <w:u w:val="none"/>
    </w:rPr>
  </w:style>
  <w:style w:type="character" w:customStyle="1" w:styleId="9">
    <w:name w:val="font61"/>
    <w:basedOn w:val="5"/>
    <w:qFormat/>
    <w:uiPriority w:val="0"/>
    <w:rPr>
      <w:rFonts w:hint="eastAsia" w:ascii="宋体" w:hAnsi="宋体" w:eastAsia="宋体" w:cs="宋体"/>
      <w:color w:val="000000"/>
      <w:sz w:val="18"/>
      <w:szCs w:val="18"/>
      <w:u w:val="none"/>
    </w:rPr>
  </w:style>
  <w:style w:type="character" w:customStyle="1" w:styleId="10">
    <w:name w:val="font81"/>
    <w:basedOn w:val="5"/>
    <w:qFormat/>
    <w:uiPriority w:val="0"/>
    <w:rPr>
      <w:rFonts w:hint="eastAsia" w:ascii="宋体" w:hAnsi="宋体" w:eastAsia="宋体" w:cs="宋体"/>
      <w:color w:val="000000"/>
      <w:sz w:val="22"/>
      <w:szCs w:val="22"/>
      <w:u w:val="none"/>
    </w:rPr>
  </w:style>
  <w:style w:type="character" w:customStyle="1" w:styleId="11">
    <w:name w:val="font91"/>
    <w:basedOn w:val="5"/>
    <w:qFormat/>
    <w:uiPriority w:val="0"/>
    <w:rPr>
      <w:rFonts w:hint="eastAsia" w:ascii="宋体" w:hAnsi="宋体" w:eastAsia="宋体" w:cs="宋体"/>
      <w:color w:val="000000"/>
      <w:sz w:val="22"/>
      <w:szCs w:val="22"/>
      <w:u w:val="none"/>
    </w:rPr>
  </w:style>
  <w:style w:type="character" w:customStyle="1" w:styleId="12">
    <w:name w:val="font101"/>
    <w:basedOn w:val="5"/>
    <w:qFormat/>
    <w:uiPriority w:val="0"/>
    <w:rPr>
      <w:rFonts w:hint="eastAsia" w:ascii="宋体" w:hAnsi="宋体" w:eastAsia="宋体" w:cs="宋体"/>
      <w:color w:val="FF0000"/>
      <w:sz w:val="22"/>
      <w:szCs w:val="22"/>
      <w:u w:val="none"/>
    </w:rPr>
  </w:style>
  <w:style w:type="character" w:customStyle="1" w:styleId="13">
    <w:name w:val="font01"/>
    <w:basedOn w:val="5"/>
    <w:qFormat/>
    <w:uiPriority w:val="0"/>
    <w:rPr>
      <w:rFonts w:hint="eastAsia" w:ascii="宋体" w:hAnsi="宋体" w:eastAsia="宋体" w:cs="宋体"/>
      <w:color w:val="000000"/>
      <w:sz w:val="24"/>
      <w:szCs w:val="24"/>
      <w:u w:val="none"/>
    </w:rPr>
  </w:style>
  <w:style w:type="character" w:customStyle="1" w:styleId="14">
    <w:name w:val="font51"/>
    <w:basedOn w:val="5"/>
    <w:qFormat/>
    <w:uiPriority w:val="0"/>
    <w:rPr>
      <w:rFonts w:hint="eastAsia" w:ascii="宋体" w:hAnsi="宋体" w:eastAsia="宋体" w:cs="宋体"/>
      <w:color w:val="000000"/>
      <w:sz w:val="22"/>
      <w:szCs w:val="22"/>
      <w:u w:val="none"/>
    </w:rPr>
  </w:style>
  <w:style w:type="character" w:customStyle="1" w:styleId="15">
    <w:name w:val="font71"/>
    <w:basedOn w:val="5"/>
    <w:qFormat/>
    <w:uiPriority w:val="0"/>
    <w:rPr>
      <w:rFonts w:hint="eastAsia" w:ascii="宋体" w:hAnsi="宋体" w:eastAsia="宋体" w:cs="宋体"/>
      <w:color w:val="000000"/>
      <w:sz w:val="22"/>
      <w:szCs w:val="22"/>
      <w:u w:val="none"/>
    </w:rPr>
  </w:style>
  <w:style w:type="character" w:customStyle="1" w:styleId="16">
    <w:name w:val="font4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none" lIns="0" tIns="0" rIns="0" bIns="0" numCol="1" spcCol="0" rtlCol="0" fromWordArt="0" anchor="t" anchorCtr="0" forceAA="0" upright="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8689</Words>
  <Characters>9651</Characters>
  <Lines>70</Lines>
  <Paragraphs>19</Paragraphs>
  <TotalTime>13</TotalTime>
  <ScaleCrop>false</ScaleCrop>
  <LinksUpToDate>false</LinksUpToDate>
  <CharactersWithSpaces>18461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2022-12-16T01:13:00Z</dcterms:created>
  <dc:creator>Administrator</dc:creator>
  <cp:lastModifiedBy>夜蓝</cp:lastModifiedBy>
  <cp:lastPrinted>2025-10-28T05:19:00Z</cp:lastPrinted>
  <dcterms:modified xsi:type="dcterms:W3CDTF">2025-11-03T01:07:01Z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0AE5D66D3C764D29A9D685A999F716EF_13</vt:lpwstr>
  </property>
  <property fmtid="{D5CDD505-2E9C-101B-9397-08002B2CF9AE}" pid="4" name="KSOTemplateDocerSaveRecord">
    <vt:lpwstr>eyJoZGlkIjoiMTUxYTExZTlkODAyNWI1ZTk4OTAyZTM3M2U0MmQyM2EiLCJ1c2VySWQiOiI1NjgzNDE3ODUifQ==</vt:lpwstr>
  </property>
</Properties>
</file>