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2F6B0" w14:textId="77777777" w:rsidR="00EB6ADA" w:rsidRDefault="00000000">
      <w:pPr>
        <w:spacing w:line="278" w:lineRule="auto"/>
        <w:rPr>
          <w:rFonts w:ascii="Times New Roman" w:eastAsia="宋体" w:hAnsi="Times New Roman" w:cs="Times New Roman"/>
          <w:b/>
          <w:sz w:val="48"/>
          <w:szCs w:val="48"/>
        </w:rPr>
      </w:pPr>
      <w:r>
        <w:rPr>
          <w:noProof/>
        </w:rPr>
        <w:drawing>
          <wp:anchor distT="0" distB="0" distL="114300" distR="114300" simplePos="0" relativeHeight="251660288" behindDoc="0" locked="0" layoutInCell="1" allowOverlap="1" wp14:anchorId="4A34B2FD" wp14:editId="6A7B4012">
            <wp:simplePos x="0" y="0"/>
            <wp:positionH relativeFrom="column">
              <wp:posOffset>-683895</wp:posOffset>
            </wp:positionH>
            <wp:positionV relativeFrom="paragraph">
              <wp:posOffset>-647700</wp:posOffset>
            </wp:positionV>
            <wp:extent cx="7468870" cy="10556875"/>
            <wp:effectExtent l="0" t="0" r="0" b="0"/>
            <wp:wrapNone/>
            <wp:docPr id="1770158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58844" name="图片 1"/>
                    <pic:cNvPicPr>
                      <a:picLocks noChangeAspect="1"/>
                    </pic:cNvPicPr>
                  </pic:nvPicPr>
                  <pic:blipFill>
                    <a:blip r:embed="rId8"/>
                    <a:stretch>
                      <a:fillRect/>
                    </a:stretch>
                  </pic:blipFill>
                  <pic:spPr>
                    <a:xfrm>
                      <a:off x="0" y="0"/>
                      <a:ext cx="7468870" cy="10556875"/>
                    </a:xfrm>
                    <a:prstGeom prst="rect">
                      <a:avLst/>
                    </a:prstGeom>
                  </pic:spPr>
                </pic:pic>
              </a:graphicData>
            </a:graphic>
          </wp:anchor>
        </w:drawing>
      </w:r>
    </w:p>
    <w:p w14:paraId="0ACEC0FE" w14:textId="77777777" w:rsidR="00EB6ADA" w:rsidRDefault="00EB6ADA">
      <w:pPr>
        <w:spacing w:line="278" w:lineRule="auto"/>
        <w:rPr>
          <w:rFonts w:ascii="Times New Roman" w:eastAsia="宋体" w:hAnsi="Times New Roman" w:cs="Times New Roman"/>
          <w:b/>
          <w:sz w:val="48"/>
          <w:szCs w:val="48"/>
        </w:rPr>
      </w:pPr>
    </w:p>
    <w:p w14:paraId="38CE77E9" w14:textId="77777777" w:rsidR="00EB6ADA" w:rsidRDefault="00EB6ADA">
      <w:pPr>
        <w:spacing w:line="278" w:lineRule="auto"/>
        <w:rPr>
          <w:rFonts w:ascii="Times New Roman" w:eastAsia="宋体" w:hAnsi="Times New Roman" w:cs="Times New Roman"/>
          <w:b/>
          <w:sz w:val="48"/>
          <w:szCs w:val="48"/>
        </w:rPr>
      </w:pPr>
    </w:p>
    <w:p w14:paraId="63DB02DA" w14:textId="77777777" w:rsidR="00EB6ADA" w:rsidRDefault="00000000">
      <w:pPr>
        <w:autoSpaceDE w:val="0"/>
        <w:autoSpaceDN w:val="0"/>
        <w:adjustRightInd w:val="0"/>
        <w:snapToGrid w:val="0"/>
        <w:spacing w:line="360" w:lineRule="auto"/>
        <w:jc w:val="center"/>
        <w:rPr>
          <w:rFonts w:ascii="Times New Roman" w:eastAsia="宋体" w:hAnsi="Times New Roman" w:cs="Times New Roman"/>
          <w:b/>
          <w:color w:val="000000"/>
          <w:sz w:val="44"/>
          <w:szCs w:val="44"/>
        </w:rPr>
      </w:pPr>
      <w:r>
        <w:rPr>
          <w:rFonts w:ascii="Times New Roman" w:eastAsia="宋体" w:hAnsi="Times New Roman" w:cs="Times New Roman"/>
          <w:b/>
          <w:color w:val="000000"/>
          <w:sz w:val="44"/>
          <w:szCs w:val="44"/>
        </w:rPr>
        <w:t>泉州围头湾石井航道二期工程</w:t>
      </w:r>
    </w:p>
    <w:p w14:paraId="640963E6" w14:textId="77777777" w:rsidR="00EB6ADA" w:rsidRDefault="00000000">
      <w:pPr>
        <w:autoSpaceDE w:val="0"/>
        <w:autoSpaceDN w:val="0"/>
        <w:adjustRightInd w:val="0"/>
        <w:snapToGrid w:val="0"/>
        <w:spacing w:line="360" w:lineRule="auto"/>
        <w:jc w:val="center"/>
        <w:rPr>
          <w:rFonts w:ascii="Times New Roman" w:eastAsia="宋体" w:hAnsi="Times New Roman" w:cs="Times New Roman"/>
          <w:b/>
          <w:sz w:val="44"/>
          <w:szCs w:val="44"/>
        </w:rPr>
      </w:pPr>
      <w:r>
        <w:rPr>
          <w:rFonts w:ascii="Times New Roman" w:eastAsia="宋体" w:hAnsi="Times New Roman" w:cs="Times New Roman"/>
          <w:b/>
          <w:color w:val="000000"/>
          <w:sz w:val="44"/>
          <w:szCs w:val="44"/>
        </w:rPr>
        <w:t>疏浚物综合处置配套项目</w:t>
      </w:r>
    </w:p>
    <w:p w14:paraId="574A4E50" w14:textId="77777777" w:rsidR="00EB6ADA" w:rsidRDefault="00000000">
      <w:pPr>
        <w:autoSpaceDE w:val="0"/>
        <w:autoSpaceDN w:val="0"/>
        <w:adjustRightInd w:val="0"/>
        <w:snapToGrid w:val="0"/>
        <w:spacing w:line="360" w:lineRule="auto"/>
        <w:jc w:val="center"/>
        <w:rPr>
          <w:rFonts w:ascii="Times New Roman" w:eastAsia="宋体" w:hAnsi="Times New Roman" w:cs="Times New Roman"/>
          <w:b/>
          <w:color w:val="000000"/>
          <w:sz w:val="44"/>
          <w:szCs w:val="44"/>
        </w:rPr>
      </w:pPr>
      <w:r>
        <w:rPr>
          <w:rFonts w:ascii="Times New Roman" w:eastAsia="宋体" w:hAnsi="Times New Roman" w:cs="Times New Roman"/>
          <w:b/>
          <w:color w:val="000000"/>
          <w:sz w:val="44"/>
          <w:szCs w:val="44"/>
        </w:rPr>
        <w:t>海域使用论证报告</w:t>
      </w:r>
      <w:r>
        <w:rPr>
          <w:rFonts w:ascii="Times New Roman" w:eastAsia="宋体" w:hAnsi="Times New Roman" w:cs="Times New Roman" w:hint="eastAsia"/>
          <w:b/>
          <w:color w:val="000000"/>
          <w:sz w:val="44"/>
          <w:szCs w:val="44"/>
        </w:rPr>
        <w:t>表</w:t>
      </w:r>
    </w:p>
    <w:p w14:paraId="58AB3225" w14:textId="77777777" w:rsidR="00EB6ADA" w:rsidRDefault="00000000">
      <w:pPr>
        <w:autoSpaceDE w:val="0"/>
        <w:autoSpaceDN w:val="0"/>
        <w:adjustRightInd w:val="0"/>
        <w:snapToGrid w:val="0"/>
        <w:spacing w:line="360" w:lineRule="auto"/>
        <w:jc w:val="center"/>
        <w:rPr>
          <w:rFonts w:ascii="Times New Roman" w:eastAsia="宋体" w:hAnsi="Times New Roman" w:cs="Times New Roman"/>
          <w:b/>
          <w:color w:val="000000"/>
          <w:sz w:val="44"/>
          <w:szCs w:val="44"/>
        </w:rPr>
      </w:pPr>
      <w:r>
        <w:rPr>
          <w:rFonts w:ascii="Times New Roman" w:eastAsia="宋体" w:hAnsi="Times New Roman" w:cs="Times New Roman"/>
          <w:b/>
          <w:color w:val="000000"/>
          <w:sz w:val="44"/>
          <w:szCs w:val="44"/>
        </w:rPr>
        <w:t>（</w:t>
      </w:r>
      <w:r>
        <w:rPr>
          <w:rFonts w:ascii="Times New Roman" w:eastAsia="宋体" w:hAnsi="Times New Roman" w:cs="Times New Roman" w:hint="eastAsia"/>
          <w:b/>
          <w:color w:val="000000"/>
          <w:sz w:val="44"/>
          <w:szCs w:val="44"/>
        </w:rPr>
        <w:t>公示</w:t>
      </w:r>
      <w:r>
        <w:rPr>
          <w:rFonts w:ascii="Times New Roman" w:eastAsia="宋体" w:hAnsi="Times New Roman" w:cs="Times New Roman"/>
          <w:b/>
          <w:color w:val="000000"/>
          <w:sz w:val="44"/>
          <w:szCs w:val="44"/>
        </w:rPr>
        <w:t>稿）</w:t>
      </w:r>
    </w:p>
    <w:p w14:paraId="3AAFA28A" w14:textId="77777777" w:rsidR="00EB6ADA" w:rsidRDefault="00EB6ADA">
      <w:pPr>
        <w:spacing w:line="278" w:lineRule="auto"/>
        <w:jc w:val="center"/>
        <w:rPr>
          <w:rFonts w:ascii="Times New Roman" w:eastAsia="宋体" w:hAnsi="Times New Roman" w:cs="Times New Roman"/>
          <w:szCs w:val="24"/>
        </w:rPr>
      </w:pPr>
    </w:p>
    <w:p w14:paraId="7EFB4D96" w14:textId="77777777" w:rsidR="00EB6ADA" w:rsidRDefault="00EB6ADA">
      <w:pPr>
        <w:spacing w:line="278" w:lineRule="auto"/>
        <w:jc w:val="center"/>
        <w:rPr>
          <w:rFonts w:ascii="Times New Roman" w:eastAsia="宋体" w:hAnsi="Times New Roman" w:cs="Times New Roman"/>
          <w:szCs w:val="24"/>
        </w:rPr>
      </w:pPr>
    </w:p>
    <w:p w14:paraId="09DC824F" w14:textId="77777777" w:rsidR="00EB6ADA" w:rsidRDefault="00EB6ADA">
      <w:pPr>
        <w:spacing w:line="278" w:lineRule="auto"/>
        <w:jc w:val="center"/>
        <w:rPr>
          <w:rFonts w:ascii="Times New Roman" w:eastAsia="宋体" w:hAnsi="Times New Roman" w:cs="Times New Roman"/>
          <w:szCs w:val="24"/>
        </w:rPr>
      </w:pPr>
    </w:p>
    <w:p w14:paraId="6B7FCC44" w14:textId="77777777" w:rsidR="00EB6ADA" w:rsidRDefault="00EB6ADA">
      <w:pPr>
        <w:spacing w:line="278" w:lineRule="auto"/>
        <w:jc w:val="center"/>
        <w:rPr>
          <w:rFonts w:ascii="Times New Roman" w:eastAsia="宋体" w:hAnsi="Times New Roman" w:cs="Times New Roman"/>
          <w:szCs w:val="24"/>
        </w:rPr>
      </w:pPr>
      <w:bookmarkStart w:id="0" w:name="_Hlk190896119"/>
      <w:bookmarkEnd w:id="0"/>
    </w:p>
    <w:p w14:paraId="20CC360E" w14:textId="77777777" w:rsidR="00EB6ADA" w:rsidRDefault="00EB6ADA">
      <w:pPr>
        <w:spacing w:line="278" w:lineRule="auto"/>
        <w:jc w:val="center"/>
        <w:rPr>
          <w:rFonts w:ascii="Times New Roman" w:eastAsia="宋体" w:hAnsi="Times New Roman" w:cs="Times New Roman"/>
          <w:szCs w:val="24"/>
        </w:rPr>
      </w:pPr>
    </w:p>
    <w:p w14:paraId="5542798C" w14:textId="77777777" w:rsidR="00EB6ADA" w:rsidRDefault="00EB6ADA">
      <w:pPr>
        <w:spacing w:line="278" w:lineRule="auto"/>
        <w:jc w:val="center"/>
        <w:rPr>
          <w:rFonts w:ascii="Times New Roman" w:eastAsia="宋体" w:hAnsi="Times New Roman" w:cs="Times New Roman"/>
          <w:szCs w:val="24"/>
        </w:rPr>
      </w:pPr>
    </w:p>
    <w:p w14:paraId="723DCE1E" w14:textId="77777777" w:rsidR="00EB6ADA" w:rsidRDefault="00EB6ADA">
      <w:pPr>
        <w:spacing w:line="278" w:lineRule="auto"/>
        <w:jc w:val="center"/>
        <w:rPr>
          <w:rFonts w:ascii="Times New Roman" w:eastAsia="宋体" w:hAnsi="Times New Roman" w:cs="Times New Roman"/>
          <w:szCs w:val="24"/>
        </w:rPr>
      </w:pPr>
    </w:p>
    <w:p w14:paraId="48194212" w14:textId="77777777" w:rsidR="00EB6ADA" w:rsidRDefault="00EB6ADA">
      <w:pPr>
        <w:spacing w:line="278" w:lineRule="auto"/>
        <w:jc w:val="center"/>
        <w:rPr>
          <w:rFonts w:ascii="Times New Roman" w:eastAsia="宋体" w:hAnsi="Times New Roman" w:cs="Times New Roman"/>
          <w:szCs w:val="24"/>
        </w:rPr>
      </w:pPr>
    </w:p>
    <w:p w14:paraId="0C08790B" w14:textId="77777777" w:rsidR="00EB6ADA" w:rsidRDefault="00EB6ADA">
      <w:pPr>
        <w:spacing w:line="278" w:lineRule="auto"/>
        <w:jc w:val="center"/>
        <w:rPr>
          <w:rFonts w:ascii="Times New Roman" w:eastAsia="宋体" w:hAnsi="Times New Roman" w:cs="Times New Roman"/>
          <w:szCs w:val="24"/>
        </w:rPr>
      </w:pPr>
    </w:p>
    <w:p w14:paraId="3C185FEE" w14:textId="77777777" w:rsidR="00EB6ADA" w:rsidRDefault="00EB6ADA">
      <w:pPr>
        <w:spacing w:line="278" w:lineRule="auto"/>
        <w:jc w:val="center"/>
        <w:rPr>
          <w:rFonts w:ascii="Times New Roman" w:eastAsia="宋体" w:hAnsi="Times New Roman" w:cs="Times New Roman"/>
          <w:szCs w:val="24"/>
        </w:rPr>
      </w:pPr>
    </w:p>
    <w:p w14:paraId="0E250B80" w14:textId="77777777" w:rsidR="00EB6ADA" w:rsidRDefault="00EB6ADA">
      <w:pPr>
        <w:spacing w:line="278" w:lineRule="auto"/>
        <w:jc w:val="center"/>
        <w:rPr>
          <w:rFonts w:ascii="Times New Roman" w:eastAsia="宋体" w:hAnsi="Times New Roman" w:cs="Times New Roman"/>
          <w:szCs w:val="24"/>
        </w:rPr>
      </w:pPr>
    </w:p>
    <w:p w14:paraId="3E36DF67" w14:textId="77777777" w:rsidR="00EB6ADA" w:rsidRDefault="00EB6ADA">
      <w:pPr>
        <w:spacing w:line="278" w:lineRule="auto"/>
        <w:jc w:val="center"/>
        <w:rPr>
          <w:rFonts w:ascii="Times New Roman" w:eastAsia="宋体" w:hAnsi="Times New Roman" w:cs="Times New Roman"/>
          <w:szCs w:val="24"/>
        </w:rPr>
      </w:pPr>
    </w:p>
    <w:p w14:paraId="5A254B35" w14:textId="77777777" w:rsidR="00EB6ADA" w:rsidRDefault="00EB6ADA">
      <w:pPr>
        <w:spacing w:line="278" w:lineRule="auto"/>
        <w:jc w:val="center"/>
        <w:rPr>
          <w:rFonts w:ascii="Times New Roman" w:eastAsia="宋体" w:hAnsi="Times New Roman" w:cs="Times New Roman"/>
          <w:szCs w:val="24"/>
        </w:rPr>
      </w:pPr>
    </w:p>
    <w:p w14:paraId="63C31375" w14:textId="77777777" w:rsidR="00EB6ADA" w:rsidRDefault="00EB6ADA">
      <w:pPr>
        <w:spacing w:line="278" w:lineRule="auto"/>
        <w:jc w:val="center"/>
        <w:rPr>
          <w:rFonts w:ascii="Times New Roman" w:eastAsia="宋体" w:hAnsi="Times New Roman" w:cs="Times New Roman"/>
          <w:szCs w:val="24"/>
        </w:rPr>
      </w:pPr>
    </w:p>
    <w:p w14:paraId="4DCE5C39" w14:textId="77777777" w:rsidR="00EB6ADA" w:rsidRDefault="00EB6ADA">
      <w:pPr>
        <w:spacing w:line="278" w:lineRule="auto"/>
        <w:jc w:val="center"/>
        <w:rPr>
          <w:rFonts w:ascii="Times New Roman" w:eastAsia="宋体" w:hAnsi="Times New Roman" w:cs="Times New Roman"/>
          <w:szCs w:val="24"/>
        </w:rPr>
      </w:pPr>
    </w:p>
    <w:p w14:paraId="00B4E60E" w14:textId="77777777" w:rsidR="00EB6ADA" w:rsidRDefault="00EB6ADA">
      <w:pPr>
        <w:spacing w:line="278" w:lineRule="auto"/>
        <w:jc w:val="center"/>
        <w:rPr>
          <w:rFonts w:ascii="Times New Roman" w:eastAsia="宋体" w:hAnsi="Times New Roman" w:cs="Times New Roman"/>
          <w:szCs w:val="24"/>
        </w:rPr>
      </w:pPr>
    </w:p>
    <w:p w14:paraId="36EA576A" w14:textId="77777777" w:rsidR="00EB6ADA" w:rsidRDefault="00EB6ADA">
      <w:pPr>
        <w:spacing w:line="278" w:lineRule="auto"/>
        <w:jc w:val="center"/>
        <w:rPr>
          <w:rFonts w:ascii="Times New Roman" w:eastAsia="宋体" w:hAnsi="Times New Roman" w:cs="Times New Roman"/>
          <w:szCs w:val="24"/>
        </w:rPr>
      </w:pPr>
    </w:p>
    <w:p w14:paraId="57285D6B" w14:textId="77777777" w:rsidR="00EB6ADA" w:rsidRDefault="00EB6ADA">
      <w:pPr>
        <w:spacing w:line="278" w:lineRule="auto"/>
        <w:jc w:val="center"/>
        <w:rPr>
          <w:rFonts w:ascii="Times New Roman" w:eastAsia="宋体" w:hAnsi="Times New Roman" w:cs="Times New Roman"/>
          <w:sz w:val="32"/>
          <w:szCs w:val="32"/>
        </w:rPr>
      </w:pPr>
    </w:p>
    <w:p w14:paraId="4294A3FE" w14:textId="77777777" w:rsidR="00EB6ADA" w:rsidRDefault="00000000">
      <w:pPr>
        <w:spacing w:line="360" w:lineRule="auto"/>
        <w:jc w:val="center"/>
        <w:rPr>
          <w:rFonts w:ascii="Times New Roman" w:eastAsia="宋体" w:hAnsi="Times New Roman" w:cs="Times New Roman"/>
          <w:b/>
          <w:sz w:val="36"/>
          <w:szCs w:val="36"/>
        </w:rPr>
      </w:pPr>
      <w:r>
        <w:rPr>
          <w:rFonts w:ascii="Times New Roman" w:eastAsia="宋体" w:hAnsi="Times New Roman" w:cs="Times New Roman"/>
          <w:b/>
          <w:sz w:val="36"/>
          <w:szCs w:val="36"/>
        </w:rPr>
        <w:t>自然资源部第三海洋研究所</w:t>
      </w:r>
    </w:p>
    <w:p w14:paraId="5B64241C" w14:textId="77777777" w:rsidR="00EB6ADA" w:rsidRDefault="00000000">
      <w:pPr>
        <w:spacing w:line="360" w:lineRule="auto"/>
        <w:jc w:val="center"/>
        <w:rPr>
          <w:rFonts w:ascii="Times New Roman" w:eastAsia="宋体" w:hAnsi="Times New Roman" w:cs="Times New Roman"/>
          <w:b/>
          <w:sz w:val="36"/>
          <w:szCs w:val="36"/>
        </w:rPr>
      </w:pPr>
      <w:r>
        <w:rPr>
          <w:rFonts w:ascii="Times New Roman" w:eastAsia="宋体" w:hAnsi="Times New Roman" w:cs="Times New Roman"/>
          <w:b/>
          <w:sz w:val="36"/>
          <w:szCs w:val="36"/>
        </w:rPr>
        <w:t>2026</w:t>
      </w:r>
      <w:r>
        <w:rPr>
          <w:rFonts w:ascii="Times New Roman" w:eastAsia="宋体" w:hAnsi="Times New Roman" w:cs="Times New Roman"/>
          <w:b/>
          <w:sz w:val="36"/>
          <w:szCs w:val="36"/>
        </w:rPr>
        <w:t>年</w:t>
      </w:r>
      <w:r>
        <w:rPr>
          <w:rFonts w:ascii="Times New Roman" w:eastAsia="宋体" w:hAnsi="Times New Roman" w:cs="Times New Roman" w:hint="eastAsia"/>
          <w:b/>
          <w:sz w:val="36"/>
          <w:szCs w:val="36"/>
        </w:rPr>
        <w:t>3</w:t>
      </w:r>
      <w:r>
        <w:rPr>
          <w:rFonts w:ascii="Times New Roman" w:eastAsia="宋体" w:hAnsi="Times New Roman" w:cs="Times New Roman"/>
          <w:b/>
          <w:sz w:val="36"/>
          <w:szCs w:val="36"/>
        </w:rPr>
        <w:t>月</w:t>
      </w:r>
    </w:p>
    <w:p w14:paraId="2BCA2209" w14:textId="77777777" w:rsidR="00EB6ADA" w:rsidRDefault="00EB6ADA">
      <w:pPr>
        <w:pStyle w:val="10"/>
        <w:ind w:firstLine="480"/>
        <w:rPr>
          <w:rFonts w:cs="Times New Roman"/>
        </w:rPr>
      </w:pPr>
    </w:p>
    <w:p w14:paraId="04888146" w14:textId="77777777" w:rsidR="00EB6ADA" w:rsidRDefault="00EB6ADA">
      <w:pPr>
        <w:pStyle w:val="10"/>
        <w:ind w:firstLine="480"/>
        <w:rPr>
          <w:rFonts w:cs="Times New Roman"/>
        </w:rPr>
        <w:sectPr w:rsidR="00EB6ADA">
          <w:pgSz w:w="11906" w:h="16838"/>
          <w:pgMar w:top="1134" w:right="1134" w:bottom="1134" w:left="1134" w:header="851" w:footer="992" w:gutter="0"/>
          <w:cols w:space="425"/>
          <w:docGrid w:type="lines" w:linePitch="312"/>
        </w:sectPr>
      </w:pPr>
    </w:p>
    <w:p w14:paraId="03D41148" w14:textId="77777777" w:rsidR="00EB6ADA" w:rsidRDefault="00000000">
      <w:pPr>
        <w:pStyle w:val="10"/>
        <w:ind w:firstLineChars="0" w:firstLine="0"/>
        <w:jc w:val="center"/>
        <w:rPr>
          <w:rFonts w:cs="Times New Roman"/>
          <w:b/>
          <w:bCs/>
          <w:sz w:val="40"/>
          <w:szCs w:val="36"/>
        </w:rPr>
      </w:pPr>
      <w:r>
        <w:rPr>
          <w:rFonts w:cs="Times New Roman"/>
          <w:b/>
          <w:bCs/>
          <w:sz w:val="40"/>
          <w:szCs w:val="36"/>
        </w:rPr>
        <w:lastRenderedPageBreak/>
        <w:t>目录</w:t>
      </w:r>
    </w:p>
    <w:p w14:paraId="79A7A921" w14:textId="412F637C" w:rsidR="00EB6ADA" w:rsidRDefault="00000000">
      <w:pPr>
        <w:pStyle w:val="TOC1"/>
        <w:rPr>
          <w:b w:val="0"/>
          <w:noProof/>
          <w14:ligatures w14:val="standardContextual"/>
        </w:rPr>
      </w:pPr>
      <w:r>
        <w:fldChar w:fldCharType="begin"/>
      </w:r>
      <w:r>
        <w:instrText xml:space="preserve"> TOC \o "1-2" \h \z \u </w:instrText>
      </w:r>
      <w:r>
        <w:fldChar w:fldCharType="separate"/>
      </w:r>
      <w:hyperlink w:anchor="_Toc224053277" w:history="1">
        <w:r w:rsidR="00EB6ADA">
          <w:rPr>
            <w:rStyle w:val="af"/>
            <w:noProof/>
          </w:rPr>
          <w:t xml:space="preserve">1 </w:t>
        </w:r>
        <w:r w:rsidR="00EB6ADA">
          <w:rPr>
            <w:rStyle w:val="af"/>
            <w:noProof/>
          </w:rPr>
          <w:t>项目用海基本情况</w:t>
        </w:r>
        <w:r w:rsidR="00EB6ADA">
          <w:rPr>
            <w:noProof/>
          </w:rPr>
          <w:tab/>
        </w:r>
        <w:r w:rsidR="00EB6ADA">
          <w:rPr>
            <w:noProof/>
          </w:rPr>
          <w:fldChar w:fldCharType="begin"/>
        </w:r>
        <w:r w:rsidR="00EB6ADA">
          <w:rPr>
            <w:noProof/>
          </w:rPr>
          <w:instrText xml:space="preserve"> PAGEREF _Toc224053277 \h </w:instrText>
        </w:r>
        <w:r w:rsidR="00EB6ADA">
          <w:rPr>
            <w:noProof/>
          </w:rPr>
        </w:r>
        <w:r w:rsidR="00EB6ADA">
          <w:rPr>
            <w:noProof/>
          </w:rPr>
          <w:fldChar w:fldCharType="separate"/>
        </w:r>
        <w:r w:rsidR="00EB6ADA">
          <w:rPr>
            <w:noProof/>
          </w:rPr>
          <w:t>1</w:t>
        </w:r>
        <w:r w:rsidR="00EB6ADA">
          <w:rPr>
            <w:noProof/>
          </w:rPr>
          <w:fldChar w:fldCharType="end"/>
        </w:r>
      </w:hyperlink>
    </w:p>
    <w:p w14:paraId="30105D1C" w14:textId="286FF92C"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78" w:history="1">
        <w:r>
          <w:rPr>
            <w:rStyle w:val="af"/>
            <w:rFonts w:ascii="Times New Roman" w:eastAsia="宋体" w:hAnsi="Times New Roman" w:cs="Times New Roman"/>
            <w:noProof/>
            <w:sz w:val="24"/>
            <w:szCs w:val="24"/>
          </w:rPr>
          <w:t>1.1</w:t>
        </w:r>
        <w:r>
          <w:rPr>
            <w:rStyle w:val="af"/>
            <w:rFonts w:ascii="Times New Roman" w:eastAsia="宋体" w:hAnsi="Times New Roman" w:cs="Times New Roman"/>
            <w:noProof/>
            <w:sz w:val="24"/>
            <w:szCs w:val="24"/>
          </w:rPr>
          <w:t>论证工作由来</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_Toc224053278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1</w:t>
        </w:r>
        <w:r>
          <w:rPr>
            <w:rFonts w:ascii="Times New Roman" w:eastAsia="宋体" w:hAnsi="Times New Roman" w:cs="Times New Roman"/>
            <w:noProof/>
            <w:sz w:val="24"/>
            <w:szCs w:val="24"/>
          </w:rPr>
          <w:fldChar w:fldCharType="end"/>
        </w:r>
      </w:hyperlink>
    </w:p>
    <w:p w14:paraId="7ED0DA67" w14:textId="023B66F0"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79" w:history="1">
        <w:r>
          <w:rPr>
            <w:rStyle w:val="af"/>
            <w:rFonts w:ascii="Times New Roman" w:eastAsia="宋体" w:hAnsi="Times New Roman" w:cs="Times New Roman"/>
            <w:noProof/>
            <w:sz w:val="24"/>
            <w:szCs w:val="24"/>
          </w:rPr>
          <w:t>1.2</w:t>
        </w:r>
        <w:r>
          <w:rPr>
            <w:rStyle w:val="af"/>
            <w:rFonts w:ascii="Times New Roman" w:eastAsia="宋体" w:hAnsi="Times New Roman" w:cs="Times New Roman"/>
            <w:noProof/>
            <w:sz w:val="24"/>
            <w:szCs w:val="24"/>
          </w:rPr>
          <w:t>项目用海基本情况</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_Toc224053279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w:t>
        </w:r>
        <w:r>
          <w:rPr>
            <w:rFonts w:ascii="Times New Roman" w:eastAsia="宋体" w:hAnsi="Times New Roman" w:cs="Times New Roman"/>
            <w:noProof/>
            <w:sz w:val="24"/>
            <w:szCs w:val="24"/>
          </w:rPr>
          <w:fldChar w:fldCharType="end"/>
        </w:r>
      </w:hyperlink>
    </w:p>
    <w:p w14:paraId="2D579C74" w14:textId="6863360E"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80" w:history="1">
        <w:r>
          <w:rPr>
            <w:rStyle w:val="af"/>
            <w:rFonts w:ascii="Times New Roman" w:eastAsia="宋体" w:hAnsi="Times New Roman" w:cs="Times New Roman"/>
            <w:noProof/>
            <w:sz w:val="24"/>
            <w:szCs w:val="24"/>
          </w:rPr>
          <w:t>1.3</w:t>
        </w:r>
        <w:r>
          <w:rPr>
            <w:rStyle w:val="af"/>
            <w:rFonts w:ascii="Times New Roman" w:eastAsia="宋体" w:hAnsi="Times New Roman" w:cs="Times New Roman"/>
            <w:noProof/>
            <w:sz w:val="24"/>
            <w:szCs w:val="24"/>
          </w:rPr>
          <w:t>论证工作等级和范围</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_Toc224053280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6</w:t>
        </w:r>
        <w:r>
          <w:rPr>
            <w:rFonts w:ascii="Times New Roman" w:eastAsia="宋体" w:hAnsi="Times New Roman" w:cs="Times New Roman"/>
            <w:noProof/>
            <w:sz w:val="24"/>
            <w:szCs w:val="24"/>
          </w:rPr>
          <w:fldChar w:fldCharType="end"/>
        </w:r>
      </w:hyperlink>
    </w:p>
    <w:p w14:paraId="1519CB83" w14:textId="26A10205"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81" w:history="1">
        <w:r>
          <w:rPr>
            <w:rStyle w:val="af"/>
            <w:rFonts w:ascii="Times New Roman" w:eastAsia="宋体" w:hAnsi="Times New Roman" w:cs="Times New Roman"/>
            <w:noProof/>
            <w:sz w:val="24"/>
            <w:szCs w:val="24"/>
          </w:rPr>
          <w:t>1.4</w:t>
        </w:r>
        <w:r>
          <w:rPr>
            <w:rStyle w:val="af"/>
            <w:rFonts w:ascii="Times New Roman" w:eastAsia="宋体" w:hAnsi="Times New Roman" w:cs="Times New Roman"/>
            <w:noProof/>
            <w:sz w:val="24"/>
            <w:szCs w:val="24"/>
          </w:rPr>
          <w:t>项目用海必要性</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_Toc224053281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6</w:t>
        </w:r>
        <w:r>
          <w:rPr>
            <w:rFonts w:ascii="Times New Roman" w:eastAsia="宋体" w:hAnsi="Times New Roman" w:cs="Times New Roman"/>
            <w:noProof/>
            <w:sz w:val="24"/>
            <w:szCs w:val="24"/>
          </w:rPr>
          <w:fldChar w:fldCharType="end"/>
        </w:r>
      </w:hyperlink>
    </w:p>
    <w:p w14:paraId="19A10B00" w14:textId="23F64E1C"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82" w:history="1">
        <w:r>
          <w:rPr>
            <w:rStyle w:val="af"/>
            <w:rFonts w:ascii="Times New Roman" w:eastAsia="宋体" w:hAnsi="Times New Roman" w:cs="Times New Roman"/>
            <w:noProof/>
            <w:sz w:val="24"/>
            <w:szCs w:val="24"/>
          </w:rPr>
          <w:t>1.5</w:t>
        </w:r>
        <w:r>
          <w:rPr>
            <w:rStyle w:val="af"/>
            <w:rFonts w:ascii="Times New Roman" w:eastAsia="宋体" w:hAnsi="Times New Roman" w:cs="Times New Roman"/>
            <w:noProof/>
            <w:sz w:val="24"/>
            <w:szCs w:val="24"/>
          </w:rPr>
          <w:t>论证重点</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_Toc224053282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7</w:t>
        </w:r>
        <w:r>
          <w:rPr>
            <w:rFonts w:ascii="Times New Roman" w:eastAsia="宋体" w:hAnsi="Times New Roman" w:cs="Times New Roman"/>
            <w:noProof/>
            <w:sz w:val="24"/>
            <w:szCs w:val="24"/>
          </w:rPr>
          <w:fldChar w:fldCharType="end"/>
        </w:r>
      </w:hyperlink>
    </w:p>
    <w:p w14:paraId="522FD17F" w14:textId="3DD4C0B4" w:rsidR="00EB6ADA" w:rsidRDefault="00EB6ADA">
      <w:pPr>
        <w:pStyle w:val="TOC1"/>
        <w:rPr>
          <w:b w:val="0"/>
          <w:noProof/>
          <w14:ligatures w14:val="standardContextual"/>
        </w:rPr>
      </w:pPr>
      <w:hyperlink w:anchor="_Toc224053283" w:history="1">
        <w:r>
          <w:rPr>
            <w:rStyle w:val="af"/>
            <w:noProof/>
          </w:rPr>
          <w:t>2</w:t>
        </w:r>
        <w:r>
          <w:rPr>
            <w:rStyle w:val="af"/>
            <w:noProof/>
          </w:rPr>
          <w:t>项目所在海域概况</w:t>
        </w:r>
        <w:r>
          <w:rPr>
            <w:noProof/>
          </w:rPr>
          <w:tab/>
        </w:r>
        <w:r>
          <w:rPr>
            <w:noProof/>
          </w:rPr>
          <w:fldChar w:fldCharType="begin"/>
        </w:r>
        <w:r>
          <w:rPr>
            <w:noProof/>
          </w:rPr>
          <w:instrText xml:space="preserve"> PAGEREF _Toc224053283 \h </w:instrText>
        </w:r>
        <w:r>
          <w:rPr>
            <w:noProof/>
          </w:rPr>
        </w:r>
        <w:r>
          <w:rPr>
            <w:noProof/>
          </w:rPr>
          <w:fldChar w:fldCharType="separate"/>
        </w:r>
        <w:r>
          <w:rPr>
            <w:noProof/>
          </w:rPr>
          <w:t>8</w:t>
        </w:r>
        <w:r>
          <w:rPr>
            <w:noProof/>
          </w:rPr>
          <w:fldChar w:fldCharType="end"/>
        </w:r>
      </w:hyperlink>
    </w:p>
    <w:p w14:paraId="0F84CE74" w14:textId="3D5CCA9E"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84" w:history="1">
        <w:r>
          <w:rPr>
            <w:rStyle w:val="af"/>
            <w:rFonts w:ascii="Times New Roman" w:eastAsia="宋体" w:hAnsi="Times New Roman" w:cs="Times New Roman"/>
            <w:noProof/>
            <w:sz w:val="24"/>
            <w:szCs w:val="24"/>
          </w:rPr>
          <w:t>2.1</w:t>
        </w:r>
        <w:r>
          <w:rPr>
            <w:rStyle w:val="af"/>
            <w:rFonts w:ascii="Times New Roman" w:eastAsia="宋体" w:hAnsi="Times New Roman" w:cs="Times New Roman"/>
            <w:noProof/>
            <w:sz w:val="24"/>
            <w:szCs w:val="24"/>
          </w:rPr>
          <w:t>海洋资源概况</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_Toc224053284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8</w:t>
        </w:r>
        <w:r>
          <w:rPr>
            <w:rFonts w:ascii="Times New Roman" w:eastAsia="宋体" w:hAnsi="Times New Roman" w:cs="Times New Roman"/>
            <w:noProof/>
            <w:sz w:val="24"/>
            <w:szCs w:val="24"/>
          </w:rPr>
          <w:fldChar w:fldCharType="end"/>
        </w:r>
      </w:hyperlink>
    </w:p>
    <w:p w14:paraId="74F0FF65" w14:textId="486FFA2F"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85" w:history="1">
        <w:r>
          <w:rPr>
            <w:rStyle w:val="af"/>
            <w:rFonts w:ascii="Times New Roman" w:eastAsia="宋体" w:hAnsi="Times New Roman" w:cs="Times New Roman"/>
            <w:noProof/>
            <w:sz w:val="24"/>
            <w:szCs w:val="24"/>
          </w:rPr>
          <w:t>2.2</w:t>
        </w:r>
        <w:r>
          <w:rPr>
            <w:rStyle w:val="af"/>
            <w:rFonts w:ascii="Times New Roman" w:eastAsia="宋体" w:hAnsi="Times New Roman" w:cs="Times New Roman"/>
            <w:noProof/>
            <w:sz w:val="24"/>
            <w:szCs w:val="24"/>
          </w:rPr>
          <w:t>海洋生态概况</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_Toc224053285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9</w:t>
        </w:r>
        <w:r>
          <w:rPr>
            <w:rFonts w:ascii="Times New Roman" w:eastAsia="宋体" w:hAnsi="Times New Roman" w:cs="Times New Roman"/>
            <w:noProof/>
            <w:sz w:val="24"/>
            <w:szCs w:val="24"/>
          </w:rPr>
          <w:fldChar w:fldCharType="end"/>
        </w:r>
      </w:hyperlink>
    </w:p>
    <w:p w14:paraId="5C82BBED" w14:textId="795702CD" w:rsidR="00EB6ADA" w:rsidRDefault="00EB6ADA">
      <w:pPr>
        <w:pStyle w:val="TOC1"/>
        <w:rPr>
          <w:b w:val="0"/>
          <w:noProof/>
          <w14:ligatures w14:val="standardContextual"/>
        </w:rPr>
      </w:pPr>
      <w:hyperlink w:anchor="_Toc224053286" w:history="1">
        <w:r>
          <w:rPr>
            <w:rStyle w:val="af"/>
            <w:noProof/>
          </w:rPr>
          <w:t>3</w:t>
        </w:r>
        <w:r>
          <w:rPr>
            <w:rStyle w:val="af"/>
            <w:noProof/>
          </w:rPr>
          <w:t>资源生态影响分析</w:t>
        </w:r>
        <w:r>
          <w:rPr>
            <w:noProof/>
          </w:rPr>
          <w:tab/>
        </w:r>
        <w:r>
          <w:rPr>
            <w:noProof/>
          </w:rPr>
          <w:fldChar w:fldCharType="begin"/>
        </w:r>
        <w:r>
          <w:rPr>
            <w:noProof/>
          </w:rPr>
          <w:instrText xml:space="preserve"> PAGEREF _Toc224053286 \h </w:instrText>
        </w:r>
        <w:r>
          <w:rPr>
            <w:noProof/>
          </w:rPr>
        </w:r>
        <w:r>
          <w:rPr>
            <w:noProof/>
          </w:rPr>
          <w:fldChar w:fldCharType="separate"/>
        </w:r>
        <w:r>
          <w:rPr>
            <w:noProof/>
          </w:rPr>
          <w:t>13</w:t>
        </w:r>
        <w:r>
          <w:rPr>
            <w:noProof/>
          </w:rPr>
          <w:fldChar w:fldCharType="end"/>
        </w:r>
      </w:hyperlink>
    </w:p>
    <w:p w14:paraId="1E706537" w14:textId="7822FD02"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87" w:history="1">
        <w:r>
          <w:rPr>
            <w:rStyle w:val="af"/>
            <w:rFonts w:ascii="Times New Roman" w:eastAsia="宋体" w:hAnsi="Times New Roman" w:cs="Times New Roman"/>
            <w:noProof/>
            <w:sz w:val="24"/>
            <w:szCs w:val="24"/>
          </w:rPr>
          <w:t>3.1</w:t>
        </w:r>
        <w:r>
          <w:rPr>
            <w:rStyle w:val="af"/>
            <w:rFonts w:ascii="Times New Roman" w:eastAsia="宋体" w:hAnsi="Times New Roman" w:cs="Times New Roman"/>
            <w:noProof/>
            <w:sz w:val="24"/>
            <w:szCs w:val="24"/>
          </w:rPr>
          <w:t>资源影响分析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_Toc224053287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13</w:t>
        </w:r>
        <w:r>
          <w:rPr>
            <w:rFonts w:ascii="Times New Roman" w:eastAsia="宋体" w:hAnsi="Times New Roman" w:cs="Times New Roman"/>
            <w:noProof/>
            <w:sz w:val="24"/>
            <w:szCs w:val="24"/>
          </w:rPr>
          <w:fldChar w:fldCharType="end"/>
        </w:r>
      </w:hyperlink>
    </w:p>
    <w:p w14:paraId="58E7BAF5" w14:textId="5044832D"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88" w:history="1">
        <w:r>
          <w:rPr>
            <w:rStyle w:val="af"/>
            <w:rFonts w:ascii="Times New Roman" w:eastAsia="宋体" w:hAnsi="Times New Roman" w:cs="Times New Roman"/>
            <w:noProof/>
            <w:sz w:val="24"/>
            <w:szCs w:val="24"/>
          </w:rPr>
          <w:t>3.2</w:t>
        </w:r>
        <w:r>
          <w:rPr>
            <w:rStyle w:val="af"/>
            <w:rFonts w:ascii="Times New Roman" w:eastAsia="宋体" w:hAnsi="Times New Roman" w:cs="Times New Roman"/>
            <w:noProof/>
            <w:sz w:val="24"/>
            <w:szCs w:val="24"/>
          </w:rPr>
          <w:t>生态影响分析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_Toc224053288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14</w:t>
        </w:r>
        <w:r>
          <w:rPr>
            <w:rFonts w:ascii="Times New Roman" w:eastAsia="宋体" w:hAnsi="Times New Roman" w:cs="Times New Roman"/>
            <w:noProof/>
            <w:sz w:val="24"/>
            <w:szCs w:val="24"/>
          </w:rPr>
          <w:fldChar w:fldCharType="end"/>
        </w:r>
      </w:hyperlink>
    </w:p>
    <w:p w14:paraId="4CFC29E3" w14:textId="3047217E" w:rsidR="00EB6ADA" w:rsidRDefault="00EB6ADA">
      <w:pPr>
        <w:pStyle w:val="TOC1"/>
        <w:rPr>
          <w:b w:val="0"/>
          <w:noProof/>
          <w14:ligatures w14:val="standardContextual"/>
        </w:rPr>
      </w:pPr>
      <w:hyperlink w:anchor="_Toc224053289" w:history="1">
        <w:r>
          <w:rPr>
            <w:rStyle w:val="af"/>
            <w:noProof/>
          </w:rPr>
          <w:t>4</w:t>
        </w:r>
        <w:r>
          <w:rPr>
            <w:rStyle w:val="af"/>
            <w:noProof/>
          </w:rPr>
          <w:t>海域开发利用协调分析</w:t>
        </w:r>
        <w:r>
          <w:rPr>
            <w:noProof/>
          </w:rPr>
          <w:tab/>
        </w:r>
        <w:r>
          <w:rPr>
            <w:noProof/>
          </w:rPr>
          <w:fldChar w:fldCharType="begin"/>
        </w:r>
        <w:r>
          <w:rPr>
            <w:noProof/>
          </w:rPr>
          <w:instrText xml:space="preserve"> PAGEREF _Toc224053289 \h </w:instrText>
        </w:r>
        <w:r>
          <w:rPr>
            <w:noProof/>
          </w:rPr>
        </w:r>
        <w:r>
          <w:rPr>
            <w:noProof/>
          </w:rPr>
          <w:fldChar w:fldCharType="separate"/>
        </w:r>
        <w:r>
          <w:rPr>
            <w:noProof/>
          </w:rPr>
          <w:t>20</w:t>
        </w:r>
        <w:r>
          <w:rPr>
            <w:noProof/>
          </w:rPr>
          <w:fldChar w:fldCharType="end"/>
        </w:r>
      </w:hyperlink>
    </w:p>
    <w:p w14:paraId="00DFBDFD" w14:textId="3272D570"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0" w:history="1">
        <w:r>
          <w:rPr>
            <w:rStyle w:val="af"/>
            <w:rFonts w:ascii="Times New Roman" w:eastAsia="宋体" w:hAnsi="Times New Roman" w:cs="Times New Roman"/>
            <w:noProof/>
            <w:sz w:val="24"/>
            <w:szCs w:val="24"/>
          </w:rPr>
          <w:t>4.1</w:t>
        </w:r>
        <w:r>
          <w:rPr>
            <w:rStyle w:val="af"/>
            <w:rFonts w:ascii="Times New Roman" w:eastAsia="宋体" w:hAnsi="Times New Roman" w:cs="Times New Roman"/>
            <w:noProof/>
            <w:sz w:val="24"/>
            <w:szCs w:val="24"/>
          </w:rPr>
          <w:t>海域开发利用现状</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_Toc224053290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20</w:t>
        </w:r>
        <w:r>
          <w:rPr>
            <w:rFonts w:ascii="Times New Roman" w:eastAsia="宋体" w:hAnsi="Times New Roman" w:cs="Times New Roman"/>
            <w:noProof/>
            <w:sz w:val="24"/>
            <w:szCs w:val="24"/>
          </w:rPr>
          <w:fldChar w:fldCharType="end"/>
        </w:r>
      </w:hyperlink>
    </w:p>
    <w:p w14:paraId="22884231" w14:textId="26758515"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1" w:history="1">
        <w:r>
          <w:rPr>
            <w:rStyle w:val="af"/>
            <w:rFonts w:ascii="Times New Roman" w:eastAsia="宋体" w:hAnsi="Times New Roman" w:cs="Times New Roman"/>
            <w:noProof/>
            <w:sz w:val="24"/>
            <w:szCs w:val="24"/>
          </w:rPr>
          <w:t>4.2</w:t>
        </w:r>
        <w:r>
          <w:rPr>
            <w:rStyle w:val="af"/>
            <w:rFonts w:ascii="Times New Roman" w:eastAsia="宋体" w:hAnsi="Times New Roman" w:cs="Times New Roman"/>
            <w:noProof/>
            <w:sz w:val="24"/>
            <w:szCs w:val="24"/>
          </w:rPr>
          <w:t>项目用海对海域开发活动的影响</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_Toc224053291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22</w:t>
        </w:r>
        <w:r>
          <w:rPr>
            <w:rFonts w:ascii="Times New Roman" w:eastAsia="宋体" w:hAnsi="Times New Roman" w:cs="Times New Roman"/>
            <w:noProof/>
            <w:sz w:val="24"/>
            <w:szCs w:val="24"/>
          </w:rPr>
          <w:fldChar w:fldCharType="end"/>
        </w:r>
      </w:hyperlink>
    </w:p>
    <w:p w14:paraId="60601CE1" w14:textId="7E89F0EB"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2" w:history="1">
        <w:r>
          <w:rPr>
            <w:rStyle w:val="af"/>
            <w:rFonts w:ascii="Times New Roman" w:eastAsia="宋体" w:hAnsi="Times New Roman" w:cs="Times New Roman"/>
            <w:noProof/>
            <w:sz w:val="24"/>
            <w:szCs w:val="24"/>
          </w:rPr>
          <w:t>4.3</w:t>
        </w:r>
        <w:r>
          <w:rPr>
            <w:rStyle w:val="af"/>
            <w:rFonts w:ascii="Times New Roman" w:eastAsia="宋体" w:hAnsi="Times New Roman" w:cs="Times New Roman"/>
            <w:noProof/>
            <w:sz w:val="24"/>
            <w:szCs w:val="24"/>
          </w:rPr>
          <w:t>利益相关者界定</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_Toc224053292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22</w:t>
        </w:r>
        <w:r>
          <w:rPr>
            <w:rFonts w:ascii="Times New Roman" w:eastAsia="宋体" w:hAnsi="Times New Roman" w:cs="Times New Roman"/>
            <w:noProof/>
            <w:sz w:val="24"/>
            <w:szCs w:val="24"/>
          </w:rPr>
          <w:fldChar w:fldCharType="end"/>
        </w:r>
      </w:hyperlink>
    </w:p>
    <w:p w14:paraId="6240C93A" w14:textId="661FEF32"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3" w:history="1">
        <w:r>
          <w:rPr>
            <w:rStyle w:val="af"/>
            <w:rFonts w:ascii="Times New Roman" w:eastAsia="宋体" w:hAnsi="Times New Roman" w:cs="Times New Roman"/>
            <w:noProof/>
            <w:sz w:val="24"/>
            <w:szCs w:val="24"/>
          </w:rPr>
          <w:t>4.4</w:t>
        </w:r>
        <w:r>
          <w:rPr>
            <w:rStyle w:val="af"/>
            <w:rFonts w:ascii="Times New Roman" w:eastAsia="宋体" w:hAnsi="Times New Roman" w:cs="Times New Roman"/>
            <w:noProof/>
            <w:sz w:val="24"/>
            <w:szCs w:val="24"/>
          </w:rPr>
          <w:t>相关利益协调分析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_Toc224053293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23</w:t>
        </w:r>
        <w:r>
          <w:rPr>
            <w:rFonts w:ascii="Times New Roman" w:eastAsia="宋体" w:hAnsi="Times New Roman" w:cs="Times New Roman"/>
            <w:noProof/>
            <w:sz w:val="24"/>
            <w:szCs w:val="24"/>
          </w:rPr>
          <w:fldChar w:fldCharType="end"/>
        </w:r>
      </w:hyperlink>
    </w:p>
    <w:p w14:paraId="6A74A45D" w14:textId="0E704437"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4" w:history="1">
        <w:r>
          <w:rPr>
            <w:rStyle w:val="af"/>
            <w:rFonts w:ascii="Times New Roman" w:eastAsia="宋体" w:hAnsi="Times New Roman" w:cs="Times New Roman"/>
            <w:noProof/>
            <w:sz w:val="24"/>
            <w:szCs w:val="24"/>
          </w:rPr>
          <w:t>4.5</w:t>
        </w:r>
        <w:r>
          <w:rPr>
            <w:rStyle w:val="af"/>
            <w:rFonts w:ascii="Times New Roman" w:eastAsia="宋体" w:hAnsi="Times New Roman" w:cs="Times New Roman"/>
            <w:noProof/>
            <w:sz w:val="24"/>
            <w:szCs w:val="24"/>
          </w:rPr>
          <w:t>项目用海与国防安全和国家海洋权益的协调性分析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_Toc224053294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23</w:t>
        </w:r>
        <w:r>
          <w:rPr>
            <w:rFonts w:ascii="Times New Roman" w:eastAsia="宋体" w:hAnsi="Times New Roman" w:cs="Times New Roman"/>
            <w:noProof/>
            <w:sz w:val="24"/>
            <w:szCs w:val="24"/>
          </w:rPr>
          <w:fldChar w:fldCharType="end"/>
        </w:r>
      </w:hyperlink>
    </w:p>
    <w:p w14:paraId="17D26C03" w14:textId="008BDA2F" w:rsidR="00EB6ADA" w:rsidRDefault="00EB6ADA">
      <w:pPr>
        <w:pStyle w:val="TOC1"/>
        <w:rPr>
          <w:b w:val="0"/>
          <w:noProof/>
          <w14:ligatures w14:val="standardContextual"/>
        </w:rPr>
      </w:pPr>
      <w:hyperlink w:anchor="_Toc224053295" w:history="1">
        <w:r>
          <w:rPr>
            <w:rStyle w:val="af"/>
            <w:noProof/>
          </w:rPr>
          <w:t>5</w:t>
        </w:r>
        <w:r>
          <w:rPr>
            <w:rStyle w:val="af"/>
            <w:noProof/>
          </w:rPr>
          <w:t>国土空间规划符合性分析</w:t>
        </w:r>
        <w:r>
          <w:rPr>
            <w:noProof/>
          </w:rPr>
          <w:tab/>
        </w:r>
        <w:r>
          <w:rPr>
            <w:noProof/>
          </w:rPr>
          <w:fldChar w:fldCharType="begin"/>
        </w:r>
        <w:r>
          <w:rPr>
            <w:noProof/>
          </w:rPr>
          <w:instrText xml:space="preserve"> PAGEREF _Toc224053295 \h </w:instrText>
        </w:r>
        <w:r>
          <w:rPr>
            <w:noProof/>
          </w:rPr>
        </w:r>
        <w:r>
          <w:rPr>
            <w:noProof/>
          </w:rPr>
          <w:fldChar w:fldCharType="separate"/>
        </w:r>
        <w:r>
          <w:rPr>
            <w:noProof/>
          </w:rPr>
          <w:t>24</w:t>
        </w:r>
        <w:r>
          <w:rPr>
            <w:noProof/>
          </w:rPr>
          <w:fldChar w:fldCharType="end"/>
        </w:r>
      </w:hyperlink>
    </w:p>
    <w:p w14:paraId="7E867BF6" w14:textId="3017875E"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6" w:history="1">
        <w:r>
          <w:rPr>
            <w:rStyle w:val="af"/>
            <w:rFonts w:ascii="Times New Roman" w:eastAsia="宋体" w:hAnsi="Times New Roman" w:cs="Times New Roman"/>
            <w:noProof/>
            <w:sz w:val="24"/>
            <w:szCs w:val="24"/>
          </w:rPr>
          <w:t>5.1</w:t>
        </w:r>
        <w:r>
          <w:rPr>
            <w:rStyle w:val="af"/>
            <w:rFonts w:ascii="Times New Roman" w:eastAsia="宋体" w:hAnsi="Times New Roman" w:cs="Times New Roman"/>
            <w:noProof/>
            <w:sz w:val="24"/>
            <w:szCs w:val="24"/>
          </w:rPr>
          <w:t>项目用海与国土空间规划的符合性分析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_Toc224053296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24</w:t>
        </w:r>
        <w:r>
          <w:rPr>
            <w:rFonts w:ascii="Times New Roman" w:eastAsia="宋体" w:hAnsi="Times New Roman" w:cs="Times New Roman"/>
            <w:noProof/>
            <w:sz w:val="24"/>
            <w:szCs w:val="24"/>
          </w:rPr>
          <w:fldChar w:fldCharType="end"/>
        </w:r>
      </w:hyperlink>
    </w:p>
    <w:p w14:paraId="084E9A83" w14:textId="4B30F952"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7" w:history="1">
        <w:r>
          <w:rPr>
            <w:rStyle w:val="af"/>
            <w:rFonts w:ascii="Times New Roman" w:eastAsia="宋体" w:hAnsi="Times New Roman" w:cs="Times New Roman"/>
            <w:noProof/>
            <w:sz w:val="24"/>
            <w:szCs w:val="24"/>
          </w:rPr>
          <w:t>5.2</w:t>
        </w:r>
        <w:r>
          <w:rPr>
            <w:rStyle w:val="af"/>
            <w:rFonts w:ascii="Times New Roman" w:eastAsia="宋体" w:hAnsi="Times New Roman" w:cs="Times New Roman"/>
            <w:noProof/>
            <w:sz w:val="24"/>
            <w:szCs w:val="24"/>
          </w:rPr>
          <w:t>项目用海与其他相关规划的符合性分析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_Toc224053297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26</w:t>
        </w:r>
        <w:r>
          <w:rPr>
            <w:rFonts w:ascii="Times New Roman" w:eastAsia="宋体" w:hAnsi="Times New Roman" w:cs="Times New Roman"/>
            <w:noProof/>
            <w:sz w:val="24"/>
            <w:szCs w:val="24"/>
          </w:rPr>
          <w:fldChar w:fldCharType="end"/>
        </w:r>
      </w:hyperlink>
    </w:p>
    <w:p w14:paraId="4A8A36BB" w14:textId="29CD9716" w:rsidR="00EB6ADA" w:rsidRDefault="00EB6ADA">
      <w:pPr>
        <w:pStyle w:val="TOC1"/>
        <w:rPr>
          <w:b w:val="0"/>
          <w:noProof/>
          <w14:ligatures w14:val="standardContextual"/>
        </w:rPr>
      </w:pPr>
      <w:hyperlink w:anchor="_Toc224053298" w:history="1">
        <w:r>
          <w:rPr>
            <w:rStyle w:val="af"/>
            <w:noProof/>
          </w:rPr>
          <w:t>6</w:t>
        </w:r>
        <w:r>
          <w:rPr>
            <w:rStyle w:val="af"/>
            <w:noProof/>
          </w:rPr>
          <w:t>项目用海合理性分析</w:t>
        </w:r>
        <w:r>
          <w:rPr>
            <w:noProof/>
          </w:rPr>
          <w:tab/>
        </w:r>
        <w:r>
          <w:rPr>
            <w:noProof/>
          </w:rPr>
          <w:fldChar w:fldCharType="begin"/>
        </w:r>
        <w:r>
          <w:rPr>
            <w:noProof/>
          </w:rPr>
          <w:instrText xml:space="preserve"> PAGEREF _Toc224053298 \h </w:instrText>
        </w:r>
        <w:r>
          <w:rPr>
            <w:noProof/>
          </w:rPr>
        </w:r>
        <w:r>
          <w:rPr>
            <w:noProof/>
          </w:rPr>
          <w:fldChar w:fldCharType="separate"/>
        </w:r>
        <w:r>
          <w:rPr>
            <w:noProof/>
          </w:rPr>
          <w:t>28</w:t>
        </w:r>
        <w:r>
          <w:rPr>
            <w:noProof/>
          </w:rPr>
          <w:fldChar w:fldCharType="end"/>
        </w:r>
      </w:hyperlink>
    </w:p>
    <w:p w14:paraId="3362850B" w14:textId="18F042BE"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299" w:history="1">
        <w:r>
          <w:rPr>
            <w:rStyle w:val="af"/>
            <w:rFonts w:ascii="Times New Roman" w:eastAsia="宋体" w:hAnsi="Times New Roman" w:cs="Times New Roman"/>
            <w:noProof/>
            <w:sz w:val="24"/>
            <w:szCs w:val="24"/>
          </w:rPr>
          <w:t>6.1</w:t>
        </w:r>
        <w:r>
          <w:rPr>
            <w:rStyle w:val="af"/>
            <w:rFonts w:ascii="Times New Roman" w:eastAsia="宋体" w:hAnsi="Times New Roman" w:cs="Times New Roman"/>
            <w:noProof/>
            <w:sz w:val="24"/>
            <w:szCs w:val="24"/>
          </w:rPr>
          <w:t>选址合理性分析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_Toc224053299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28</w:t>
        </w:r>
        <w:r>
          <w:rPr>
            <w:rFonts w:ascii="Times New Roman" w:eastAsia="宋体" w:hAnsi="Times New Roman" w:cs="Times New Roman"/>
            <w:noProof/>
            <w:sz w:val="24"/>
            <w:szCs w:val="24"/>
          </w:rPr>
          <w:fldChar w:fldCharType="end"/>
        </w:r>
      </w:hyperlink>
    </w:p>
    <w:p w14:paraId="6596BA0E" w14:textId="4D16DED7"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0" w:history="1">
        <w:r>
          <w:rPr>
            <w:rStyle w:val="af"/>
            <w:rFonts w:ascii="Times New Roman" w:eastAsia="宋体" w:hAnsi="Times New Roman" w:cs="Times New Roman"/>
            <w:noProof/>
            <w:sz w:val="24"/>
            <w:szCs w:val="24"/>
          </w:rPr>
          <w:t>6.2</w:t>
        </w:r>
        <w:r>
          <w:rPr>
            <w:rStyle w:val="af"/>
            <w:rFonts w:ascii="Times New Roman" w:eastAsia="宋体" w:hAnsi="Times New Roman" w:cs="Times New Roman"/>
            <w:noProof/>
            <w:sz w:val="24"/>
            <w:szCs w:val="24"/>
          </w:rPr>
          <w:t>用海平面布置合理性分析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_Toc224053300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28</w:t>
        </w:r>
        <w:r>
          <w:rPr>
            <w:rFonts w:ascii="Times New Roman" w:eastAsia="宋体" w:hAnsi="Times New Roman" w:cs="Times New Roman"/>
            <w:noProof/>
            <w:sz w:val="24"/>
            <w:szCs w:val="24"/>
          </w:rPr>
          <w:fldChar w:fldCharType="end"/>
        </w:r>
      </w:hyperlink>
    </w:p>
    <w:p w14:paraId="626C9ABA" w14:textId="340DA650"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1" w:history="1">
        <w:r>
          <w:rPr>
            <w:rStyle w:val="af"/>
            <w:rFonts w:ascii="Times New Roman" w:eastAsia="宋体" w:hAnsi="Times New Roman" w:cs="Times New Roman"/>
            <w:noProof/>
            <w:sz w:val="24"/>
            <w:szCs w:val="24"/>
          </w:rPr>
          <w:t>6.3</w:t>
        </w:r>
        <w:r>
          <w:rPr>
            <w:rStyle w:val="af"/>
            <w:rFonts w:ascii="Times New Roman" w:eastAsia="宋体" w:hAnsi="Times New Roman" w:cs="Times New Roman"/>
            <w:noProof/>
            <w:sz w:val="24"/>
            <w:szCs w:val="24"/>
          </w:rPr>
          <w:t>用海方式合理性分析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_Toc224053301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28</w:t>
        </w:r>
        <w:r>
          <w:rPr>
            <w:rFonts w:ascii="Times New Roman" w:eastAsia="宋体" w:hAnsi="Times New Roman" w:cs="Times New Roman"/>
            <w:noProof/>
            <w:sz w:val="24"/>
            <w:szCs w:val="24"/>
          </w:rPr>
          <w:fldChar w:fldCharType="end"/>
        </w:r>
      </w:hyperlink>
    </w:p>
    <w:p w14:paraId="7B78C422" w14:textId="6F724CC3"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2" w:history="1">
        <w:r>
          <w:rPr>
            <w:rStyle w:val="af"/>
            <w:rFonts w:ascii="Times New Roman" w:eastAsia="宋体" w:hAnsi="Times New Roman" w:cs="Times New Roman"/>
            <w:noProof/>
            <w:sz w:val="24"/>
            <w:szCs w:val="24"/>
          </w:rPr>
          <w:t>6.4</w:t>
        </w:r>
        <w:r>
          <w:rPr>
            <w:rStyle w:val="af"/>
            <w:rFonts w:ascii="Times New Roman" w:eastAsia="宋体" w:hAnsi="Times New Roman" w:cs="Times New Roman"/>
            <w:noProof/>
            <w:sz w:val="24"/>
            <w:szCs w:val="24"/>
          </w:rPr>
          <w:t>用海面积合理性分析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_Toc224053302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29</w:t>
        </w:r>
        <w:r>
          <w:rPr>
            <w:rFonts w:ascii="Times New Roman" w:eastAsia="宋体" w:hAnsi="Times New Roman" w:cs="Times New Roman"/>
            <w:noProof/>
            <w:sz w:val="24"/>
            <w:szCs w:val="24"/>
          </w:rPr>
          <w:fldChar w:fldCharType="end"/>
        </w:r>
      </w:hyperlink>
    </w:p>
    <w:p w14:paraId="63094223" w14:textId="51778E17"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3" w:history="1">
        <w:r>
          <w:rPr>
            <w:rStyle w:val="af"/>
            <w:rFonts w:ascii="Times New Roman" w:eastAsia="宋体" w:hAnsi="Times New Roman" w:cs="Times New Roman"/>
            <w:noProof/>
            <w:sz w:val="24"/>
            <w:szCs w:val="24"/>
          </w:rPr>
          <w:t>6.5</w:t>
        </w:r>
        <w:r>
          <w:rPr>
            <w:rStyle w:val="af"/>
            <w:rFonts w:ascii="Times New Roman" w:eastAsia="宋体" w:hAnsi="Times New Roman" w:cs="Times New Roman"/>
            <w:noProof/>
            <w:sz w:val="24"/>
            <w:szCs w:val="24"/>
          </w:rPr>
          <w:t>用海期限合理性分析</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_Toc224053303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29</w:t>
        </w:r>
        <w:r>
          <w:rPr>
            <w:rFonts w:ascii="Times New Roman" w:eastAsia="宋体" w:hAnsi="Times New Roman" w:cs="Times New Roman"/>
            <w:noProof/>
            <w:sz w:val="24"/>
            <w:szCs w:val="24"/>
          </w:rPr>
          <w:fldChar w:fldCharType="end"/>
        </w:r>
      </w:hyperlink>
    </w:p>
    <w:p w14:paraId="753B273B" w14:textId="096F3928" w:rsidR="00EB6ADA" w:rsidRDefault="00EB6ADA">
      <w:pPr>
        <w:pStyle w:val="TOC1"/>
        <w:rPr>
          <w:b w:val="0"/>
          <w:noProof/>
          <w14:ligatures w14:val="standardContextual"/>
        </w:rPr>
      </w:pPr>
      <w:hyperlink w:anchor="_Toc224053304" w:history="1">
        <w:r>
          <w:rPr>
            <w:rStyle w:val="af"/>
            <w:noProof/>
          </w:rPr>
          <w:t>7</w:t>
        </w:r>
        <w:r>
          <w:rPr>
            <w:rStyle w:val="af"/>
            <w:noProof/>
          </w:rPr>
          <w:t>生态用海对策措施</w:t>
        </w:r>
        <w:r>
          <w:rPr>
            <w:noProof/>
          </w:rPr>
          <w:tab/>
        </w:r>
        <w:r>
          <w:rPr>
            <w:noProof/>
          </w:rPr>
          <w:fldChar w:fldCharType="begin"/>
        </w:r>
        <w:r>
          <w:rPr>
            <w:noProof/>
          </w:rPr>
          <w:instrText xml:space="preserve"> PAGEREF _Toc224053304 \h </w:instrText>
        </w:r>
        <w:r>
          <w:rPr>
            <w:noProof/>
          </w:rPr>
        </w:r>
        <w:r>
          <w:rPr>
            <w:noProof/>
          </w:rPr>
          <w:fldChar w:fldCharType="separate"/>
        </w:r>
        <w:r>
          <w:rPr>
            <w:noProof/>
          </w:rPr>
          <w:t>30</w:t>
        </w:r>
        <w:r>
          <w:rPr>
            <w:noProof/>
          </w:rPr>
          <w:fldChar w:fldCharType="end"/>
        </w:r>
      </w:hyperlink>
    </w:p>
    <w:p w14:paraId="795CFF90" w14:textId="4470009B"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5" w:history="1">
        <w:r>
          <w:rPr>
            <w:rStyle w:val="af"/>
            <w:rFonts w:ascii="Times New Roman" w:eastAsia="宋体" w:hAnsi="Times New Roman" w:cs="Times New Roman"/>
            <w:noProof/>
            <w:sz w:val="24"/>
            <w:szCs w:val="24"/>
          </w:rPr>
          <w:t>7.1</w:t>
        </w:r>
        <w:r>
          <w:rPr>
            <w:rStyle w:val="af"/>
            <w:rFonts w:ascii="Times New Roman" w:eastAsia="宋体" w:hAnsi="Times New Roman" w:cs="Times New Roman"/>
            <w:noProof/>
            <w:sz w:val="24"/>
            <w:szCs w:val="24"/>
          </w:rPr>
          <w:t>生态用海对策</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_Toc224053305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30</w:t>
        </w:r>
        <w:r>
          <w:rPr>
            <w:rFonts w:ascii="Times New Roman" w:eastAsia="宋体" w:hAnsi="Times New Roman" w:cs="Times New Roman"/>
            <w:noProof/>
            <w:sz w:val="24"/>
            <w:szCs w:val="24"/>
          </w:rPr>
          <w:fldChar w:fldCharType="end"/>
        </w:r>
      </w:hyperlink>
    </w:p>
    <w:p w14:paraId="7FC51E56" w14:textId="3C441C6E"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6" w:history="1">
        <w:r>
          <w:rPr>
            <w:rStyle w:val="af"/>
            <w:rFonts w:ascii="Times New Roman" w:eastAsia="宋体" w:hAnsi="Times New Roman" w:cs="Times New Roman"/>
            <w:noProof/>
            <w:sz w:val="24"/>
            <w:szCs w:val="24"/>
          </w:rPr>
          <w:t>7.2</w:t>
        </w:r>
        <w:r>
          <w:rPr>
            <w:rStyle w:val="af"/>
            <w:rFonts w:ascii="Times New Roman" w:eastAsia="宋体" w:hAnsi="Times New Roman" w:cs="Times New Roman"/>
            <w:noProof/>
            <w:sz w:val="24"/>
            <w:szCs w:val="24"/>
          </w:rPr>
          <w:t>生态保护修复措施</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_Toc224053306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31</w:t>
        </w:r>
        <w:r>
          <w:rPr>
            <w:rFonts w:ascii="Times New Roman" w:eastAsia="宋体" w:hAnsi="Times New Roman" w:cs="Times New Roman"/>
            <w:noProof/>
            <w:sz w:val="24"/>
            <w:szCs w:val="24"/>
          </w:rPr>
          <w:fldChar w:fldCharType="end"/>
        </w:r>
      </w:hyperlink>
    </w:p>
    <w:p w14:paraId="4829C027" w14:textId="4A168F7E" w:rsidR="00EB6ADA" w:rsidRDefault="00EB6ADA">
      <w:pPr>
        <w:pStyle w:val="TOC1"/>
        <w:rPr>
          <w:b w:val="0"/>
          <w:noProof/>
          <w14:ligatures w14:val="standardContextual"/>
        </w:rPr>
      </w:pPr>
      <w:hyperlink w:anchor="_Toc224053307" w:history="1">
        <w:r>
          <w:rPr>
            <w:rStyle w:val="af"/>
            <w:noProof/>
          </w:rPr>
          <w:t>8</w:t>
        </w:r>
        <w:r>
          <w:rPr>
            <w:rStyle w:val="af"/>
            <w:noProof/>
          </w:rPr>
          <w:t>结论</w:t>
        </w:r>
        <w:r>
          <w:rPr>
            <w:noProof/>
          </w:rPr>
          <w:tab/>
        </w:r>
        <w:r>
          <w:rPr>
            <w:noProof/>
          </w:rPr>
          <w:fldChar w:fldCharType="begin"/>
        </w:r>
        <w:r>
          <w:rPr>
            <w:noProof/>
          </w:rPr>
          <w:instrText xml:space="preserve"> PAGEREF _Toc224053307 \h </w:instrText>
        </w:r>
        <w:r>
          <w:rPr>
            <w:noProof/>
          </w:rPr>
        </w:r>
        <w:r>
          <w:rPr>
            <w:noProof/>
          </w:rPr>
          <w:fldChar w:fldCharType="separate"/>
        </w:r>
        <w:r>
          <w:rPr>
            <w:noProof/>
          </w:rPr>
          <w:t>32</w:t>
        </w:r>
        <w:r>
          <w:rPr>
            <w:noProof/>
          </w:rPr>
          <w:fldChar w:fldCharType="end"/>
        </w:r>
      </w:hyperlink>
    </w:p>
    <w:p w14:paraId="04BD7C34" w14:textId="329C2D58"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8" w:history="1">
        <w:r>
          <w:rPr>
            <w:rStyle w:val="af"/>
            <w:rFonts w:ascii="Times New Roman" w:eastAsia="宋体" w:hAnsi="Times New Roman" w:cs="Times New Roman"/>
            <w:noProof/>
            <w:sz w:val="24"/>
            <w:szCs w:val="24"/>
          </w:rPr>
          <w:t>8.1</w:t>
        </w:r>
        <w:r>
          <w:rPr>
            <w:rStyle w:val="af"/>
            <w:rFonts w:ascii="Times New Roman" w:eastAsia="宋体" w:hAnsi="Times New Roman" w:cs="Times New Roman"/>
            <w:noProof/>
            <w:sz w:val="24"/>
            <w:szCs w:val="24"/>
          </w:rPr>
          <w:t>项目用海基本情况</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_Toc224053308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32</w:t>
        </w:r>
        <w:r>
          <w:rPr>
            <w:rFonts w:ascii="Times New Roman" w:eastAsia="宋体" w:hAnsi="Times New Roman" w:cs="Times New Roman"/>
            <w:noProof/>
            <w:sz w:val="24"/>
            <w:szCs w:val="24"/>
          </w:rPr>
          <w:fldChar w:fldCharType="end"/>
        </w:r>
      </w:hyperlink>
    </w:p>
    <w:p w14:paraId="745276CF" w14:textId="69A220FA"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09" w:history="1">
        <w:r>
          <w:rPr>
            <w:rStyle w:val="af"/>
            <w:rFonts w:ascii="Times New Roman" w:eastAsia="宋体" w:hAnsi="Times New Roman" w:cs="Times New Roman"/>
            <w:noProof/>
            <w:sz w:val="24"/>
            <w:szCs w:val="24"/>
          </w:rPr>
          <w:t>8.2</w:t>
        </w:r>
        <w:r>
          <w:rPr>
            <w:rStyle w:val="af"/>
            <w:rFonts w:ascii="Times New Roman" w:eastAsia="宋体" w:hAnsi="Times New Roman" w:cs="Times New Roman"/>
            <w:noProof/>
            <w:sz w:val="24"/>
            <w:szCs w:val="24"/>
          </w:rPr>
          <w:t>项目用海必要性结论</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_Toc224053309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32</w:t>
        </w:r>
        <w:r>
          <w:rPr>
            <w:rFonts w:ascii="Times New Roman" w:eastAsia="宋体" w:hAnsi="Times New Roman" w:cs="Times New Roman"/>
            <w:noProof/>
            <w:sz w:val="24"/>
            <w:szCs w:val="24"/>
          </w:rPr>
          <w:fldChar w:fldCharType="end"/>
        </w:r>
      </w:hyperlink>
    </w:p>
    <w:p w14:paraId="1AA4CB94" w14:textId="7BAD5636"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10" w:history="1">
        <w:r>
          <w:rPr>
            <w:rStyle w:val="af"/>
            <w:rFonts w:ascii="Times New Roman" w:eastAsia="宋体" w:hAnsi="Times New Roman" w:cs="Times New Roman"/>
            <w:noProof/>
            <w:sz w:val="24"/>
            <w:szCs w:val="24"/>
          </w:rPr>
          <w:t>8.3</w:t>
        </w:r>
        <w:r>
          <w:rPr>
            <w:rStyle w:val="af"/>
            <w:rFonts w:ascii="Times New Roman" w:eastAsia="宋体" w:hAnsi="Times New Roman" w:cs="Times New Roman"/>
            <w:noProof/>
            <w:sz w:val="24"/>
            <w:szCs w:val="24"/>
          </w:rPr>
          <w:t>项目用海资源生态影响分析结论</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_Toc224053310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32</w:t>
        </w:r>
        <w:r>
          <w:rPr>
            <w:rFonts w:ascii="Times New Roman" w:eastAsia="宋体" w:hAnsi="Times New Roman" w:cs="Times New Roman"/>
            <w:noProof/>
            <w:sz w:val="24"/>
            <w:szCs w:val="24"/>
          </w:rPr>
          <w:fldChar w:fldCharType="end"/>
        </w:r>
      </w:hyperlink>
    </w:p>
    <w:p w14:paraId="3F22A14A" w14:textId="4F943985"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11" w:history="1">
        <w:r>
          <w:rPr>
            <w:rStyle w:val="af"/>
            <w:rFonts w:ascii="Times New Roman" w:eastAsia="宋体" w:hAnsi="Times New Roman" w:cs="Times New Roman"/>
            <w:noProof/>
            <w:sz w:val="24"/>
            <w:szCs w:val="24"/>
          </w:rPr>
          <w:t>8.4</w:t>
        </w:r>
        <w:r>
          <w:rPr>
            <w:rStyle w:val="af"/>
            <w:rFonts w:ascii="Times New Roman" w:eastAsia="宋体" w:hAnsi="Times New Roman" w:cs="Times New Roman"/>
            <w:noProof/>
            <w:sz w:val="24"/>
            <w:szCs w:val="24"/>
          </w:rPr>
          <w:t>海域开发利用协调分析结论</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_Toc224053311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33</w:t>
        </w:r>
        <w:r>
          <w:rPr>
            <w:rFonts w:ascii="Times New Roman" w:eastAsia="宋体" w:hAnsi="Times New Roman" w:cs="Times New Roman"/>
            <w:noProof/>
            <w:sz w:val="24"/>
            <w:szCs w:val="24"/>
          </w:rPr>
          <w:fldChar w:fldCharType="end"/>
        </w:r>
      </w:hyperlink>
    </w:p>
    <w:p w14:paraId="2E927A63" w14:textId="45494BE2"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12" w:history="1">
        <w:r>
          <w:rPr>
            <w:rStyle w:val="af"/>
            <w:rFonts w:ascii="Times New Roman" w:eastAsia="宋体" w:hAnsi="Times New Roman" w:cs="Times New Roman"/>
            <w:noProof/>
            <w:sz w:val="24"/>
            <w:szCs w:val="24"/>
          </w:rPr>
          <w:t>8.5</w:t>
        </w:r>
        <w:r>
          <w:rPr>
            <w:rStyle w:val="af"/>
            <w:rFonts w:ascii="Times New Roman" w:eastAsia="宋体" w:hAnsi="Times New Roman" w:cs="Times New Roman"/>
            <w:noProof/>
            <w:sz w:val="24"/>
            <w:szCs w:val="24"/>
          </w:rPr>
          <w:t>项目用海与国土空间规划及相关规划符合性分析结论</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_Toc224053312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33</w:t>
        </w:r>
        <w:r>
          <w:rPr>
            <w:rFonts w:ascii="Times New Roman" w:eastAsia="宋体" w:hAnsi="Times New Roman" w:cs="Times New Roman"/>
            <w:noProof/>
            <w:sz w:val="24"/>
            <w:szCs w:val="24"/>
          </w:rPr>
          <w:fldChar w:fldCharType="end"/>
        </w:r>
      </w:hyperlink>
    </w:p>
    <w:p w14:paraId="446DEE06" w14:textId="61CE3244"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13" w:history="1">
        <w:r>
          <w:rPr>
            <w:rStyle w:val="af"/>
            <w:rFonts w:ascii="Times New Roman" w:eastAsia="宋体" w:hAnsi="Times New Roman" w:cs="Times New Roman"/>
            <w:noProof/>
            <w:sz w:val="24"/>
            <w:szCs w:val="24"/>
          </w:rPr>
          <w:t>8.6</w:t>
        </w:r>
        <w:r>
          <w:rPr>
            <w:rStyle w:val="af"/>
            <w:rFonts w:ascii="Times New Roman" w:eastAsia="宋体" w:hAnsi="Times New Roman" w:cs="Times New Roman"/>
            <w:noProof/>
            <w:sz w:val="24"/>
            <w:szCs w:val="24"/>
          </w:rPr>
          <w:t>项目用海合理性分析结论</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_Toc224053313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33</w:t>
        </w:r>
        <w:r>
          <w:rPr>
            <w:rFonts w:ascii="Times New Roman" w:eastAsia="宋体" w:hAnsi="Times New Roman" w:cs="Times New Roman"/>
            <w:noProof/>
            <w:sz w:val="24"/>
            <w:szCs w:val="24"/>
          </w:rPr>
          <w:fldChar w:fldCharType="end"/>
        </w:r>
      </w:hyperlink>
    </w:p>
    <w:p w14:paraId="48512FA6" w14:textId="32D11E67" w:rsidR="00EB6ADA" w:rsidRDefault="00EB6ADA">
      <w:pPr>
        <w:pStyle w:val="TOC2"/>
        <w:tabs>
          <w:tab w:val="right" w:leader="dot" w:pos="9628"/>
        </w:tabs>
        <w:spacing w:line="360" w:lineRule="auto"/>
        <w:rPr>
          <w:rFonts w:ascii="Times New Roman" w:eastAsia="宋体" w:hAnsi="Times New Roman" w:cs="Times New Roman"/>
          <w:noProof/>
          <w:sz w:val="24"/>
          <w:szCs w:val="24"/>
          <w14:ligatures w14:val="standardContextual"/>
        </w:rPr>
      </w:pPr>
      <w:hyperlink w:anchor="_Toc224053314" w:history="1">
        <w:r>
          <w:rPr>
            <w:rStyle w:val="af"/>
            <w:rFonts w:ascii="Times New Roman" w:eastAsia="宋体" w:hAnsi="Times New Roman" w:cs="Times New Roman"/>
            <w:noProof/>
            <w:sz w:val="24"/>
            <w:szCs w:val="24"/>
          </w:rPr>
          <w:t>8.7</w:t>
        </w:r>
        <w:r>
          <w:rPr>
            <w:rStyle w:val="af"/>
            <w:rFonts w:ascii="Times New Roman" w:eastAsia="宋体" w:hAnsi="Times New Roman" w:cs="Times New Roman"/>
            <w:noProof/>
            <w:sz w:val="24"/>
            <w:szCs w:val="24"/>
          </w:rPr>
          <w:t>项目用海可行性结论</w:t>
        </w:r>
        <w:r>
          <w:rPr>
            <w:rFonts w:ascii="Times New Roman" w:eastAsia="宋体" w:hAnsi="Times New Roman" w:cs="Times New Roman"/>
            <w:noProof/>
            <w:sz w:val="24"/>
            <w:szCs w:val="24"/>
          </w:rPr>
          <w:tab/>
        </w:r>
        <w:r>
          <w:rPr>
            <w:rFonts w:ascii="Times New Roman" w:eastAsia="宋体" w:hAnsi="Times New Roman" w:cs="Times New Roman"/>
            <w:noProof/>
            <w:sz w:val="24"/>
            <w:szCs w:val="24"/>
          </w:rPr>
          <w:fldChar w:fldCharType="begin"/>
        </w:r>
        <w:r>
          <w:rPr>
            <w:rFonts w:ascii="Times New Roman" w:eastAsia="宋体" w:hAnsi="Times New Roman" w:cs="Times New Roman"/>
            <w:noProof/>
            <w:sz w:val="24"/>
            <w:szCs w:val="24"/>
          </w:rPr>
          <w:instrText xml:space="preserve"> PAGEREF _Toc224053314 \h </w:instrText>
        </w:r>
        <w:r>
          <w:rPr>
            <w:rFonts w:ascii="Times New Roman" w:eastAsia="宋体" w:hAnsi="Times New Roman" w:cs="Times New Roman"/>
            <w:noProof/>
            <w:sz w:val="24"/>
            <w:szCs w:val="24"/>
          </w:rPr>
        </w:r>
        <w:r>
          <w:rPr>
            <w:rFonts w:ascii="Times New Roman" w:eastAsia="宋体" w:hAnsi="Times New Roman" w:cs="Times New Roman"/>
            <w:noProof/>
            <w:sz w:val="24"/>
            <w:szCs w:val="24"/>
          </w:rPr>
          <w:fldChar w:fldCharType="separate"/>
        </w:r>
        <w:r>
          <w:rPr>
            <w:rFonts w:ascii="Times New Roman" w:eastAsia="宋体" w:hAnsi="Times New Roman" w:cs="Times New Roman"/>
            <w:noProof/>
            <w:sz w:val="24"/>
            <w:szCs w:val="24"/>
          </w:rPr>
          <w:t>33</w:t>
        </w:r>
        <w:r>
          <w:rPr>
            <w:rFonts w:ascii="Times New Roman" w:eastAsia="宋体" w:hAnsi="Times New Roman" w:cs="Times New Roman"/>
            <w:noProof/>
            <w:sz w:val="24"/>
            <w:szCs w:val="24"/>
          </w:rPr>
          <w:fldChar w:fldCharType="end"/>
        </w:r>
      </w:hyperlink>
    </w:p>
    <w:p w14:paraId="66A86C96" w14:textId="77777777" w:rsidR="00EB6ADA" w:rsidRDefault="00000000" w:rsidP="00A3460E">
      <w:pPr>
        <w:pStyle w:val="10"/>
        <w:adjustRightInd w:val="0"/>
        <w:ind w:firstLineChars="0" w:firstLine="0"/>
        <w:rPr>
          <w:rFonts w:cs="Times New Roman"/>
        </w:rPr>
      </w:pPr>
      <w:r>
        <w:rPr>
          <w:rFonts w:cs="Times New Roman"/>
          <w:szCs w:val="24"/>
        </w:rPr>
        <w:fldChar w:fldCharType="end"/>
      </w:r>
    </w:p>
    <w:p w14:paraId="665A919A" w14:textId="77777777" w:rsidR="00EB6ADA" w:rsidRDefault="00EB6ADA">
      <w:pPr>
        <w:pStyle w:val="10"/>
        <w:ind w:firstLineChars="83" w:firstLine="199"/>
        <w:rPr>
          <w:rFonts w:cs="Times New Roman"/>
        </w:rPr>
        <w:sectPr w:rsidR="00EB6ADA">
          <w:footerReference w:type="default" r:id="rId9"/>
          <w:pgSz w:w="11906" w:h="16838"/>
          <w:pgMar w:top="1134" w:right="1134" w:bottom="1134" w:left="1134" w:header="851" w:footer="850" w:gutter="0"/>
          <w:pgNumType w:fmt="upperRoman" w:start="1"/>
          <w:cols w:space="425"/>
          <w:docGrid w:type="lines" w:linePitch="312"/>
        </w:sectPr>
      </w:pPr>
    </w:p>
    <w:p w14:paraId="3B90BC5A" w14:textId="77777777" w:rsidR="00EB6ADA" w:rsidRDefault="00EB6ADA">
      <w:pPr>
        <w:pStyle w:val="10"/>
        <w:ind w:firstLineChars="83" w:firstLine="199"/>
        <w:rPr>
          <w:rFonts w:cs="Times New Roman"/>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7"/>
        <w:gridCol w:w="1469"/>
        <w:gridCol w:w="1694"/>
        <w:gridCol w:w="621"/>
        <w:gridCol w:w="1262"/>
        <w:gridCol w:w="698"/>
        <w:gridCol w:w="1293"/>
        <w:gridCol w:w="418"/>
        <w:gridCol w:w="1312"/>
      </w:tblGrid>
      <w:tr w:rsidR="00EB6ADA" w14:paraId="1EC2711C" w14:textId="77777777" w:rsidTr="00A3460E">
        <w:trPr>
          <w:cantSplit/>
          <w:trHeight w:val="682"/>
          <w:jc w:val="center"/>
        </w:trPr>
        <w:tc>
          <w:tcPr>
            <w:tcW w:w="887" w:type="dxa"/>
            <w:vMerge w:val="restart"/>
            <w:vAlign w:val="center"/>
          </w:tcPr>
          <w:p w14:paraId="3A96A8C1" w14:textId="77777777" w:rsidR="00EB6ADA" w:rsidRDefault="00000000">
            <w:pPr>
              <w:snapToGrid w:val="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申请人</w:t>
            </w:r>
          </w:p>
        </w:tc>
        <w:tc>
          <w:tcPr>
            <w:tcW w:w="1469" w:type="dxa"/>
            <w:vAlign w:val="center"/>
          </w:tcPr>
          <w:p w14:paraId="40D4C8B5"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单位名称</w:t>
            </w:r>
          </w:p>
        </w:tc>
        <w:tc>
          <w:tcPr>
            <w:tcW w:w="7298" w:type="dxa"/>
            <w:gridSpan w:val="7"/>
            <w:vAlign w:val="center"/>
          </w:tcPr>
          <w:p w14:paraId="3E24A45E" w14:textId="2F9367F4" w:rsidR="00EB6ADA" w:rsidRDefault="00000000">
            <w:pPr>
              <w:spacing w:beforeLines="30" w:before="93" w:afterLines="30" w:after="93"/>
              <w:jc w:val="center"/>
              <w:rPr>
                <w:rFonts w:ascii="Times New Roman" w:eastAsia="宋体" w:hAnsi="Times New Roman" w:cs="Times New Roman"/>
                <w:sz w:val="24"/>
                <w:szCs w:val="24"/>
              </w:rPr>
            </w:pPr>
            <w:r>
              <w:rPr>
                <w:rFonts w:ascii="Times New Roman" w:eastAsia="宋体" w:hAnsi="Times New Roman" w:cs="Times New Roman" w:hint="eastAsia"/>
                <w:color w:val="000000"/>
                <w:sz w:val="24"/>
                <w:szCs w:val="24"/>
              </w:rPr>
              <w:t>泉州市南翼置业发展集团有限责任公司</w:t>
            </w:r>
          </w:p>
        </w:tc>
      </w:tr>
      <w:tr w:rsidR="00EB6ADA" w14:paraId="06B1DB8B" w14:textId="77777777" w:rsidTr="00A3460E">
        <w:trPr>
          <w:cantSplit/>
          <w:trHeight w:val="682"/>
          <w:jc w:val="center"/>
        </w:trPr>
        <w:tc>
          <w:tcPr>
            <w:tcW w:w="887" w:type="dxa"/>
            <w:vMerge/>
            <w:vAlign w:val="center"/>
          </w:tcPr>
          <w:p w14:paraId="2479F32D"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Align w:val="center"/>
          </w:tcPr>
          <w:p w14:paraId="7572BB1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法人代表</w:t>
            </w:r>
          </w:p>
        </w:tc>
        <w:tc>
          <w:tcPr>
            <w:tcW w:w="1694" w:type="dxa"/>
            <w:vAlign w:val="center"/>
          </w:tcPr>
          <w:p w14:paraId="4D7F8472"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姓名</w:t>
            </w:r>
          </w:p>
        </w:tc>
        <w:tc>
          <w:tcPr>
            <w:tcW w:w="1883" w:type="dxa"/>
            <w:gridSpan w:val="2"/>
            <w:vAlign w:val="center"/>
          </w:tcPr>
          <w:p w14:paraId="3008DA43"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黄伟军</w:t>
            </w:r>
          </w:p>
        </w:tc>
        <w:tc>
          <w:tcPr>
            <w:tcW w:w="1991" w:type="dxa"/>
            <w:gridSpan w:val="2"/>
            <w:vAlign w:val="center"/>
          </w:tcPr>
          <w:p w14:paraId="5EAA15CD"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职务</w:t>
            </w:r>
          </w:p>
        </w:tc>
        <w:tc>
          <w:tcPr>
            <w:tcW w:w="1728" w:type="dxa"/>
            <w:gridSpan w:val="2"/>
            <w:vAlign w:val="center"/>
          </w:tcPr>
          <w:p w14:paraId="3E135508"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董事长</w:t>
            </w:r>
          </w:p>
        </w:tc>
      </w:tr>
      <w:tr w:rsidR="00EB6ADA" w14:paraId="12C72980" w14:textId="77777777" w:rsidTr="00A3460E">
        <w:trPr>
          <w:cantSplit/>
          <w:trHeight w:val="682"/>
          <w:jc w:val="center"/>
        </w:trPr>
        <w:tc>
          <w:tcPr>
            <w:tcW w:w="887" w:type="dxa"/>
            <w:vMerge/>
            <w:vAlign w:val="center"/>
          </w:tcPr>
          <w:p w14:paraId="7040097B"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Merge w:val="restart"/>
            <w:vAlign w:val="center"/>
          </w:tcPr>
          <w:p w14:paraId="63B8B768"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联系人</w:t>
            </w:r>
          </w:p>
        </w:tc>
        <w:tc>
          <w:tcPr>
            <w:tcW w:w="1694" w:type="dxa"/>
            <w:vAlign w:val="center"/>
          </w:tcPr>
          <w:p w14:paraId="4060F735"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姓名</w:t>
            </w:r>
          </w:p>
        </w:tc>
        <w:tc>
          <w:tcPr>
            <w:tcW w:w="1883" w:type="dxa"/>
            <w:gridSpan w:val="2"/>
            <w:vAlign w:val="center"/>
          </w:tcPr>
          <w:p w14:paraId="62F891B4"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陈纬强</w:t>
            </w:r>
          </w:p>
        </w:tc>
        <w:tc>
          <w:tcPr>
            <w:tcW w:w="1991" w:type="dxa"/>
            <w:gridSpan w:val="2"/>
            <w:vAlign w:val="center"/>
          </w:tcPr>
          <w:p w14:paraId="74FAA458"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职务</w:t>
            </w:r>
          </w:p>
        </w:tc>
        <w:tc>
          <w:tcPr>
            <w:tcW w:w="1728" w:type="dxa"/>
            <w:gridSpan w:val="2"/>
            <w:vAlign w:val="center"/>
          </w:tcPr>
          <w:p w14:paraId="4E7FAAC5"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工程管理专员</w:t>
            </w:r>
          </w:p>
        </w:tc>
      </w:tr>
      <w:tr w:rsidR="00EB6ADA" w14:paraId="1258E613" w14:textId="77777777" w:rsidTr="00A3460E">
        <w:trPr>
          <w:cantSplit/>
          <w:trHeight w:val="682"/>
          <w:jc w:val="center"/>
        </w:trPr>
        <w:tc>
          <w:tcPr>
            <w:tcW w:w="887" w:type="dxa"/>
            <w:vMerge/>
            <w:vAlign w:val="center"/>
          </w:tcPr>
          <w:p w14:paraId="7D8FD67C"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Merge/>
            <w:vAlign w:val="center"/>
          </w:tcPr>
          <w:p w14:paraId="12243BBA"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c>
          <w:tcPr>
            <w:tcW w:w="1694" w:type="dxa"/>
            <w:vAlign w:val="center"/>
          </w:tcPr>
          <w:p w14:paraId="1313F89C"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通讯地址</w:t>
            </w:r>
          </w:p>
        </w:tc>
        <w:tc>
          <w:tcPr>
            <w:tcW w:w="5603" w:type="dxa"/>
            <w:gridSpan w:val="6"/>
            <w:vAlign w:val="center"/>
          </w:tcPr>
          <w:p w14:paraId="00352855" w14:textId="399F7FF1"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福建省南安市美林街道福新路</w:t>
            </w:r>
          </w:p>
        </w:tc>
      </w:tr>
      <w:tr w:rsidR="00EB6ADA" w14:paraId="6FB4F075" w14:textId="77777777" w:rsidTr="00A3460E">
        <w:trPr>
          <w:cantSplit/>
          <w:trHeight w:val="682"/>
          <w:jc w:val="center"/>
        </w:trPr>
        <w:tc>
          <w:tcPr>
            <w:tcW w:w="887" w:type="dxa"/>
            <w:vMerge w:val="restart"/>
            <w:vAlign w:val="center"/>
          </w:tcPr>
          <w:p w14:paraId="777F2C49" w14:textId="77777777" w:rsidR="00EB6ADA" w:rsidRDefault="00000000">
            <w:pPr>
              <w:spacing w:beforeLines="50" w:before="156" w:afterLines="50" w:after="156"/>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项目用海基本情况</w:t>
            </w:r>
          </w:p>
        </w:tc>
        <w:tc>
          <w:tcPr>
            <w:tcW w:w="1469" w:type="dxa"/>
            <w:vAlign w:val="center"/>
          </w:tcPr>
          <w:p w14:paraId="64D2DC5E"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项目名称</w:t>
            </w:r>
          </w:p>
        </w:tc>
        <w:tc>
          <w:tcPr>
            <w:tcW w:w="7298" w:type="dxa"/>
            <w:gridSpan w:val="7"/>
            <w:vAlign w:val="center"/>
          </w:tcPr>
          <w:p w14:paraId="085CEB20" w14:textId="77777777" w:rsidR="00EB6ADA" w:rsidRDefault="00000000">
            <w:pPr>
              <w:adjustRightInd w:val="0"/>
              <w:snapToGrid w:val="0"/>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泉州围头湾石井航道二期工程疏浚物综合处置配套项目</w:t>
            </w:r>
          </w:p>
        </w:tc>
      </w:tr>
      <w:tr w:rsidR="00EB6ADA" w14:paraId="1ECE9F39" w14:textId="77777777" w:rsidTr="00A3460E">
        <w:trPr>
          <w:cantSplit/>
          <w:trHeight w:val="682"/>
          <w:jc w:val="center"/>
        </w:trPr>
        <w:tc>
          <w:tcPr>
            <w:tcW w:w="887" w:type="dxa"/>
            <w:vMerge/>
            <w:vAlign w:val="center"/>
          </w:tcPr>
          <w:p w14:paraId="0B799D70"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Align w:val="center"/>
          </w:tcPr>
          <w:p w14:paraId="53997893"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项目地址</w:t>
            </w:r>
          </w:p>
        </w:tc>
        <w:tc>
          <w:tcPr>
            <w:tcW w:w="7298" w:type="dxa"/>
            <w:gridSpan w:val="7"/>
            <w:vAlign w:val="center"/>
          </w:tcPr>
          <w:p w14:paraId="41B383A8" w14:textId="4507B9AE"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sz w:val="24"/>
                <w:szCs w:val="24"/>
              </w:rPr>
              <w:t>福建省</w:t>
            </w:r>
            <w:r>
              <w:rPr>
                <w:rFonts w:ascii="Times New Roman" w:eastAsia="宋体" w:hAnsi="Times New Roman" w:cs="Times New Roman" w:hint="eastAsia"/>
                <w:sz w:val="24"/>
                <w:szCs w:val="24"/>
              </w:rPr>
              <w:t>南安市</w:t>
            </w:r>
            <w:r>
              <w:rPr>
                <w:rFonts w:ascii="Times New Roman" w:eastAsia="宋体" w:hAnsi="Times New Roman" w:cs="Times New Roman"/>
                <w:sz w:val="24"/>
                <w:szCs w:val="24"/>
              </w:rPr>
              <w:t>围头湾</w:t>
            </w:r>
            <w:r>
              <w:rPr>
                <w:rFonts w:ascii="Times New Roman" w:eastAsia="宋体" w:hAnsi="Times New Roman" w:cs="Times New Roman" w:hint="eastAsia"/>
                <w:sz w:val="24"/>
                <w:szCs w:val="24"/>
              </w:rPr>
              <w:t>海域</w:t>
            </w:r>
          </w:p>
        </w:tc>
      </w:tr>
      <w:tr w:rsidR="00EB6ADA" w14:paraId="109FDE89" w14:textId="77777777" w:rsidTr="00A3460E">
        <w:trPr>
          <w:cantSplit/>
          <w:trHeight w:val="682"/>
          <w:jc w:val="center"/>
        </w:trPr>
        <w:tc>
          <w:tcPr>
            <w:tcW w:w="887" w:type="dxa"/>
            <w:vMerge/>
            <w:vAlign w:val="center"/>
          </w:tcPr>
          <w:p w14:paraId="77BF035A"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Align w:val="center"/>
          </w:tcPr>
          <w:p w14:paraId="75F095FE"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项目性质</w:t>
            </w:r>
          </w:p>
        </w:tc>
        <w:tc>
          <w:tcPr>
            <w:tcW w:w="4275" w:type="dxa"/>
            <w:gridSpan w:val="4"/>
            <w:vAlign w:val="center"/>
          </w:tcPr>
          <w:p w14:paraId="29B72CAF"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公益性（√）</w:t>
            </w:r>
          </w:p>
        </w:tc>
        <w:tc>
          <w:tcPr>
            <w:tcW w:w="3022" w:type="dxa"/>
            <w:gridSpan w:val="3"/>
            <w:vAlign w:val="center"/>
          </w:tcPr>
          <w:p w14:paraId="7339EF57"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经营性（）</w:t>
            </w:r>
          </w:p>
        </w:tc>
      </w:tr>
      <w:tr w:rsidR="00EB6ADA" w14:paraId="7A0C91D3" w14:textId="77777777" w:rsidTr="00A3460E">
        <w:trPr>
          <w:cantSplit/>
          <w:trHeight w:val="682"/>
          <w:jc w:val="center"/>
        </w:trPr>
        <w:tc>
          <w:tcPr>
            <w:tcW w:w="887" w:type="dxa"/>
            <w:vMerge/>
            <w:vAlign w:val="center"/>
          </w:tcPr>
          <w:p w14:paraId="6028E00B"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Align w:val="center"/>
          </w:tcPr>
          <w:p w14:paraId="1B2801A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用海面积</w:t>
            </w:r>
          </w:p>
        </w:tc>
        <w:tc>
          <w:tcPr>
            <w:tcW w:w="4275" w:type="dxa"/>
            <w:gridSpan w:val="4"/>
            <w:vAlign w:val="center"/>
          </w:tcPr>
          <w:p w14:paraId="68D34C16" w14:textId="77777777" w:rsidR="00EB6ADA" w:rsidRDefault="00000000">
            <w:pPr>
              <w:spacing w:beforeLines="30" w:before="93" w:afterLines="30" w:after="93"/>
              <w:jc w:val="center"/>
              <w:rPr>
                <w:rFonts w:ascii="Times New Roman" w:eastAsia="宋体" w:hAnsi="Times New Roman" w:cs="Times New Roman"/>
                <w:sz w:val="28"/>
                <w:szCs w:val="20"/>
              </w:rPr>
            </w:pPr>
            <w:r>
              <w:rPr>
                <w:rFonts w:ascii="Times New Roman" w:eastAsia="宋体" w:hAnsi="Times New Roman" w:cs="Times New Roman"/>
                <w:sz w:val="24"/>
                <w:szCs w:val="24"/>
              </w:rPr>
              <w:t>21.9736</w:t>
            </w:r>
            <w:r>
              <w:rPr>
                <w:rFonts w:ascii="Times New Roman" w:eastAsia="宋体" w:hAnsi="Times New Roman" w:cs="Times New Roman"/>
                <w:sz w:val="24"/>
                <w:szCs w:val="24"/>
              </w:rPr>
              <w:t>公顷</w:t>
            </w:r>
          </w:p>
        </w:tc>
        <w:tc>
          <w:tcPr>
            <w:tcW w:w="1711" w:type="dxa"/>
            <w:gridSpan w:val="2"/>
            <w:vAlign w:val="center"/>
          </w:tcPr>
          <w:p w14:paraId="0D1AD697"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投资金额</w:t>
            </w:r>
          </w:p>
        </w:tc>
        <w:tc>
          <w:tcPr>
            <w:tcW w:w="1311" w:type="dxa"/>
            <w:vAlign w:val="center"/>
          </w:tcPr>
          <w:p w14:paraId="59A7163A"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14760.57</w:t>
            </w:r>
            <w:r>
              <w:rPr>
                <w:rFonts w:ascii="Times New Roman" w:eastAsia="宋体" w:hAnsi="Times New Roman" w:cs="Times New Roman" w:hint="eastAsia"/>
                <w:sz w:val="24"/>
                <w:szCs w:val="24"/>
              </w:rPr>
              <w:t>万</w:t>
            </w:r>
          </w:p>
        </w:tc>
      </w:tr>
      <w:tr w:rsidR="00EB6ADA" w14:paraId="509CE0C0" w14:textId="77777777" w:rsidTr="00A3460E">
        <w:trPr>
          <w:cantSplit/>
          <w:trHeight w:val="682"/>
          <w:jc w:val="center"/>
        </w:trPr>
        <w:tc>
          <w:tcPr>
            <w:tcW w:w="887" w:type="dxa"/>
            <w:vMerge/>
            <w:vAlign w:val="center"/>
          </w:tcPr>
          <w:p w14:paraId="4F4334ED"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Align w:val="center"/>
          </w:tcPr>
          <w:p w14:paraId="605249E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用海期限</w:t>
            </w:r>
          </w:p>
        </w:tc>
        <w:tc>
          <w:tcPr>
            <w:tcW w:w="4275" w:type="dxa"/>
            <w:gridSpan w:val="4"/>
            <w:vAlign w:val="center"/>
          </w:tcPr>
          <w:p w14:paraId="4FE91826"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12</w:t>
            </w:r>
            <w:r>
              <w:rPr>
                <w:rFonts w:ascii="Times New Roman" w:eastAsia="宋体" w:hAnsi="Times New Roman" w:cs="Times New Roman" w:hint="eastAsia"/>
                <w:color w:val="000000"/>
                <w:sz w:val="24"/>
                <w:szCs w:val="24"/>
              </w:rPr>
              <w:t>个月</w:t>
            </w:r>
          </w:p>
        </w:tc>
        <w:tc>
          <w:tcPr>
            <w:tcW w:w="1711" w:type="dxa"/>
            <w:gridSpan w:val="2"/>
            <w:vAlign w:val="center"/>
          </w:tcPr>
          <w:p w14:paraId="3C505AB9"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预计就业人数</w:t>
            </w:r>
          </w:p>
        </w:tc>
        <w:tc>
          <w:tcPr>
            <w:tcW w:w="1311" w:type="dxa"/>
            <w:vAlign w:val="center"/>
          </w:tcPr>
          <w:p w14:paraId="71B53AC7"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w:t>
            </w:r>
            <w:r>
              <w:rPr>
                <w:rFonts w:ascii="Times New Roman" w:eastAsia="宋体" w:hAnsi="Times New Roman" w:cs="Times New Roman" w:hint="eastAsia"/>
                <w:color w:val="000000"/>
                <w:sz w:val="24"/>
                <w:szCs w:val="24"/>
              </w:rPr>
              <w:t>人</w:t>
            </w:r>
          </w:p>
        </w:tc>
      </w:tr>
      <w:tr w:rsidR="00EB6ADA" w14:paraId="49D9F6B2" w14:textId="77777777" w:rsidTr="00A3460E">
        <w:trPr>
          <w:cantSplit/>
          <w:trHeight w:val="682"/>
          <w:jc w:val="center"/>
        </w:trPr>
        <w:tc>
          <w:tcPr>
            <w:tcW w:w="887" w:type="dxa"/>
            <w:vMerge/>
            <w:vAlign w:val="center"/>
          </w:tcPr>
          <w:p w14:paraId="2D66F45A"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Merge w:val="restart"/>
            <w:vAlign w:val="center"/>
          </w:tcPr>
          <w:p w14:paraId="61B8E8ED"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占用岸线</w:t>
            </w:r>
          </w:p>
        </w:tc>
        <w:tc>
          <w:tcPr>
            <w:tcW w:w="2314" w:type="dxa"/>
            <w:gridSpan w:val="2"/>
            <w:vAlign w:val="center"/>
          </w:tcPr>
          <w:p w14:paraId="0DCCA9D6"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总长度</w:t>
            </w:r>
          </w:p>
        </w:tc>
        <w:tc>
          <w:tcPr>
            <w:tcW w:w="1960" w:type="dxa"/>
            <w:gridSpan w:val="2"/>
            <w:vAlign w:val="center"/>
          </w:tcPr>
          <w:p w14:paraId="7F9C332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0 m</w:t>
            </w:r>
          </w:p>
        </w:tc>
        <w:tc>
          <w:tcPr>
            <w:tcW w:w="1711" w:type="dxa"/>
            <w:gridSpan w:val="2"/>
            <w:vAlign w:val="center"/>
          </w:tcPr>
          <w:p w14:paraId="266288A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预计拉动区域经济产值</w:t>
            </w:r>
          </w:p>
        </w:tc>
        <w:tc>
          <w:tcPr>
            <w:tcW w:w="1311" w:type="dxa"/>
            <w:vAlign w:val="center"/>
          </w:tcPr>
          <w:p w14:paraId="2D2043E8"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w:t>
            </w:r>
            <w:r>
              <w:rPr>
                <w:rFonts w:ascii="Times New Roman" w:eastAsia="宋体" w:hAnsi="Times New Roman" w:cs="Times New Roman" w:hint="eastAsia"/>
                <w:color w:val="000000"/>
                <w:sz w:val="24"/>
                <w:szCs w:val="24"/>
              </w:rPr>
              <w:t>万元</w:t>
            </w:r>
          </w:p>
        </w:tc>
      </w:tr>
      <w:tr w:rsidR="00EB6ADA" w14:paraId="5A3F0955" w14:textId="77777777" w:rsidTr="00A3460E">
        <w:trPr>
          <w:cantSplit/>
          <w:trHeight w:val="682"/>
          <w:jc w:val="center"/>
        </w:trPr>
        <w:tc>
          <w:tcPr>
            <w:tcW w:w="887" w:type="dxa"/>
            <w:vMerge/>
            <w:vAlign w:val="center"/>
          </w:tcPr>
          <w:p w14:paraId="49D9D538"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Merge/>
            <w:vAlign w:val="center"/>
          </w:tcPr>
          <w:p w14:paraId="44D594EB"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c>
          <w:tcPr>
            <w:tcW w:w="2314" w:type="dxa"/>
            <w:gridSpan w:val="2"/>
            <w:vAlign w:val="center"/>
          </w:tcPr>
          <w:p w14:paraId="50BED177"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自然岸线</w:t>
            </w:r>
          </w:p>
        </w:tc>
        <w:tc>
          <w:tcPr>
            <w:tcW w:w="1960" w:type="dxa"/>
            <w:gridSpan w:val="2"/>
            <w:vAlign w:val="center"/>
          </w:tcPr>
          <w:p w14:paraId="437690C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0 m</w:t>
            </w:r>
          </w:p>
        </w:tc>
        <w:tc>
          <w:tcPr>
            <w:tcW w:w="1711" w:type="dxa"/>
            <w:gridSpan w:val="2"/>
            <w:vAlign w:val="center"/>
          </w:tcPr>
          <w:p w14:paraId="369C23BD"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c>
          <w:tcPr>
            <w:tcW w:w="1311" w:type="dxa"/>
            <w:vAlign w:val="center"/>
          </w:tcPr>
          <w:p w14:paraId="1F13EB85"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r>
      <w:tr w:rsidR="00EB6ADA" w14:paraId="761B4E2E" w14:textId="77777777" w:rsidTr="00A3460E">
        <w:trPr>
          <w:cantSplit/>
          <w:trHeight w:val="682"/>
          <w:jc w:val="center"/>
        </w:trPr>
        <w:tc>
          <w:tcPr>
            <w:tcW w:w="887" w:type="dxa"/>
            <w:vMerge/>
            <w:vAlign w:val="center"/>
          </w:tcPr>
          <w:p w14:paraId="3F55EEAD"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Merge/>
            <w:vAlign w:val="center"/>
          </w:tcPr>
          <w:p w14:paraId="5EB232CB"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c>
          <w:tcPr>
            <w:tcW w:w="2314" w:type="dxa"/>
            <w:gridSpan w:val="2"/>
            <w:vAlign w:val="center"/>
          </w:tcPr>
          <w:p w14:paraId="75538EAD"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人工岸线</w:t>
            </w:r>
          </w:p>
        </w:tc>
        <w:tc>
          <w:tcPr>
            <w:tcW w:w="1960" w:type="dxa"/>
            <w:gridSpan w:val="2"/>
            <w:vAlign w:val="center"/>
          </w:tcPr>
          <w:p w14:paraId="2195897F"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0 m</w:t>
            </w:r>
          </w:p>
        </w:tc>
        <w:tc>
          <w:tcPr>
            <w:tcW w:w="1711" w:type="dxa"/>
            <w:gridSpan w:val="2"/>
            <w:vAlign w:val="center"/>
          </w:tcPr>
          <w:p w14:paraId="00C8905A"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c>
          <w:tcPr>
            <w:tcW w:w="1311" w:type="dxa"/>
            <w:vAlign w:val="center"/>
          </w:tcPr>
          <w:p w14:paraId="29567D8D"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r>
      <w:tr w:rsidR="00EB6ADA" w14:paraId="69592E13" w14:textId="77777777" w:rsidTr="00A3460E">
        <w:trPr>
          <w:cantSplit/>
          <w:trHeight w:val="682"/>
          <w:jc w:val="center"/>
        </w:trPr>
        <w:tc>
          <w:tcPr>
            <w:tcW w:w="887" w:type="dxa"/>
            <w:vMerge/>
            <w:vAlign w:val="center"/>
          </w:tcPr>
          <w:p w14:paraId="10933CC1"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1469" w:type="dxa"/>
            <w:vMerge/>
            <w:vAlign w:val="center"/>
          </w:tcPr>
          <w:p w14:paraId="7B8E618C"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c>
          <w:tcPr>
            <w:tcW w:w="2314" w:type="dxa"/>
            <w:gridSpan w:val="2"/>
            <w:vAlign w:val="center"/>
          </w:tcPr>
          <w:p w14:paraId="204122DC"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其他岸线</w:t>
            </w:r>
          </w:p>
        </w:tc>
        <w:tc>
          <w:tcPr>
            <w:tcW w:w="1960" w:type="dxa"/>
            <w:gridSpan w:val="2"/>
            <w:vAlign w:val="center"/>
          </w:tcPr>
          <w:p w14:paraId="7DE31415"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0 m</w:t>
            </w:r>
          </w:p>
        </w:tc>
        <w:tc>
          <w:tcPr>
            <w:tcW w:w="1711" w:type="dxa"/>
            <w:gridSpan w:val="2"/>
            <w:vAlign w:val="center"/>
          </w:tcPr>
          <w:p w14:paraId="0B865262"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c>
          <w:tcPr>
            <w:tcW w:w="1311" w:type="dxa"/>
            <w:vAlign w:val="center"/>
          </w:tcPr>
          <w:p w14:paraId="3B132AAE" w14:textId="77777777" w:rsidR="00EB6ADA" w:rsidRDefault="00EB6ADA">
            <w:pPr>
              <w:spacing w:beforeLines="30" w:before="93" w:afterLines="30" w:after="93"/>
              <w:jc w:val="center"/>
              <w:rPr>
                <w:rFonts w:ascii="Times New Roman" w:eastAsia="宋体" w:hAnsi="Times New Roman" w:cs="Times New Roman"/>
                <w:color w:val="000000"/>
                <w:sz w:val="24"/>
                <w:szCs w:val="24"/>
              </w:rPr>
            </w:pPr>
          </w:p>
        </w:tc>
      </w:tr>
      <w:tr w:rsidR="00EB6ADA" w14:paraId="79766E81" w14:textId="77777777" w:rsidTr="00A3460E">
        <w:trPr>
          <w:cantSplit/>
          <w:trHeight w:val="682"/>
          <w:jc w:val="center"/>
        </w:trPr>
        <w:tc>
          <w:tcPr>
            <w:tcW w:w="887" w:type="dxa"/>
            <w:vMerge/>
            <w:vAlign w:val="center"/>
          </w:tcPr>
          <w:p w14:paraId="1D497914"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3784" w:type="dxa"/>
            <w:gridSpan w:val="3"/>
            <w:vAlign w:val="center"/>
          </w:tcPr>
          <w:p w14:paraId="26B6B68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海域使用类型</w:t>
            </w:r>
          </w:p>
        </w:tc>
        <w:tc>
          <w:tcPr>
            <w:tcW w:w="1960" w:type="dxa"/>
            <w:gridSpan w:val="2"/>
            <w:vAlign w:val="center"/>
          </w:tcPr>
          <w:p w14:paraId="4A843C38"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其他用海</w:t>
            </w:r>
          </w:p>
        </w:tc>
        <w:tc>
          <w:tcPr>
            <w:tcW w:w="1711" w:type="dxa"/>
            <w:gridSpan w:val="2"/>
            <w:vAlign w:val="center"/>
          </w:tcPr>
          <w:p w14:paraId="4E070383"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新增岸线</w:t>
            </w:r>
          </w:p>
        </w:tc>
        <w:tc>
          <w:tcPr>
            <w:tcW w:w="1311" w:type="dxa"/>
            <w:vAlign w:val="center"/>
          </w:tcPr>
          <w:p w14:paraId="7E1EAA41"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0m</w:t>
            </w:r>
          </w:p>
        </w:tc>
      </w:tr>
      <w:tr w:rsidR="00EB6ADA" w14:paraId="7601B661" w14:textId="77777777" w:rsidTr="00A3460E">
        <w:trPr>
          <w:cantSplit/>
          <w:trHeight w:val="682"/>
          <w:jc w:val="center"/>
        </w:trPr>
        <w:tc>
          <w:tcPr>
            <w:tcW w:w="887" w:type="dxa"/>
            <w:vMerge/>
            <w:vAlign w:val="center"/>
          </w:tcPr>
          <w:p w14:paraId="4F7A4479"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3784" w:type="dxa"/>
            <w:gridSpan w:val="3"/>
            <w:vAlign w:val="center"/>
          </w:tcPr>
          <w:p w14:paraId="20A1A84E"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用海方式</w:t>
            </w:r>
          </w:p>
        </w:tc>
        <w:tc>
          <w:tcPr>
            <w:tcW w:w="1960" w:type="dxa"/>
            <w:gridSpan w:val="2"/>
            <w:vAlign w:val="center"/>
          </w:tcPr>
          <w:p w14:paraId="74C283B6"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面积</w:t>
            </w:r>
          </w:p>
        </w:tc>
        <w:tc>
          <w:tcPr>
            <w:tcW w:w="3022" w:type="dxa"/>
            <w:gridSpan w:val="3"/>
            <w:vAlign w:val="center"/>
          </w:tcPr>
          <w:p w14:paraId="6543D2FA"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具体用途</w:t>
            </w:r>
          </w:p>
        </w:tc>
      </w:tr>
      <w:tr w:rsidR="00EB6ADA" w14:paraId="7616F2D7" w14:textId="77777777" w:rsidTr="00A3460E">
        <w:trPr>
          <w:cantSplit/>
          <w:trHeight w:val="682"/>
          <w:jc w:val="center"/>
        </w:trPr>
        <w:tc>
          <w:tcPr>
            <w:tcW w:w="887" w:type="dxa"/>
            <w:vMerge/>
            <w:vAlign w:val="center"/>
          </w:tcPr>
          <w:p w14:paraId="3ABEA737" w14:textId="77777777" w:rsidR="00EB6ADA" w:rsidRDefault="00EB6ADA">
            <w:pPr>
              <w:spacing w:beforeLines="50" w:before="156" w:afterLines="50" w:after="156"/>
              <w:jc w:val="center"/>
              <w:rPr>
                <w:rFonts w:ascii="Times New Roman" w:eastAsia="宋体" w:hAnsi="Times New Roman" w:cs="Times New Roman"/>
                <w:color w:val="000000"/>
                <w:sz w:val="24"/>
                <w:szCs w:val="24"/>
              </w:rPr>
            </w:pPr>
          </w:p>
        </w:tc>
        <w:tc>
          <w:tcPr>
            <w:tcW w:w="3784" w:type="dxa"/>
            <w:gridSpan w:val="3"/>
            <w:vAlign w:val="center"/>
          </w:tcPr>
          <w:p w14:paraId="3F21CC1C"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sz w:val="24"/>
                <w:szCs w:val="24"/>
              </w:rPr>
              <w:t>专用航道、锚地及其他开放式</w:t>
            </w:r>
          </w:p>
        </w:tc>
        <w:tc>
          <w:tcPr>
            <w:tcW w:w="1960" w:type="dxa"/>
            <w:gridSpan w:val="2"/>
            <w:vAlign w:val="center"/>
          </w:tcPr>
          <w:p w14:paraId="0EA033EE"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sz w:val="24"/>
                <w:szCs w:val="24"/>
              </w:rPr>
              <w:t>21.9736</w:t>
            </w:r>
            <w:r>
              <w:rPr>
                <w:rFonts w:ascii="Times New Roman" w:eastAsia="宋体" w:hAnsi="Times New Roman" w:cs="Times New Roman"/>
                <w:sz w:val="24"/>
                <w:szCs w:val="24"/>
              </w:rPr>
              <w:t>公顷</w:t>
            </w:r>
          </w:p>
        </w:tc>
        <w:tc>
          <w:tcPr>
            <w:tcW w:w="3022" w:type="dxa"/>
            <w:gridSpan w:val="3"/>
            <w:vAlign w:val="center"/>
          </w:tcPr>
          <w:p w14:paraId="32F4D833" w14:textId="77777777" w:rsidR="00EB6ADA" w:rsidRDefault="00000000">
            <w:pPr>
              <w:spacing w:beforeLines="30" w:before="93" w:afterLines="30" w:after="93"/>
              <w:jc w:val="center"/>
              <w:rPr>
                <w:rFonts w:ascii="Times New Roman" w:eastAsia="宋体" w:hAnsi="Times New Roman" w:cs="Times New Roman"/>
                <w:color w:val="000000"/>
                <w:sz w:val="24"/>
                <w:szCs w:val="24"/>
              </w:rPr>
            </w:pPr>
            <w:r>
              <w:rPr>
                <w:rFonts w:ascii="Times New Roman" w:eastAsia="宋体" w:hAnsi="Times New Roman" w:cs="Times New Roman"/>
                <w:sz w:val="24"/>
                <w:szCs w:val="24"/>
              </w:rPr>
              <w:t>转运坑地形恢复</w:t>
            </w:r>
          </w:p>
        </w:tc>
      </w:tr>
    </w:tbl>
    <w:p w14:paraId="696F2BE5" w14:textId="77777777" w:rsidR="00EB6ADA" w:rsidRDefault="00EB6ADA">
      <w:pPr>
        <w:pStyle w:val="10"/>
        <w:ind w:firstLine="480"/>
        <w:rPr>
          <w:rFonts w:cs="Times New Roman"/>
        </w:rPr>
      </w:pPr>
    </w:p>
    <w:p w14:paraId="68F3F1E4" w14:textId="77777777" w:rsidR="00EB6ADA" w:rsidRDefault="00EB6ADA">
      <w:pPr>
        <w:pStyle w:val="10"/>
        <w:ind w:firstLine="480"/>
        <w:rPr>
          <w:rFonts w:cs="Times New Roman"/>
        </w:rPr>
        <w:sectPr w:rsidR="00EB6ADA" w:rsidSect="00A3460E">
          <w:footerReference w:type="default" r:id="rId10"/>
          <w:pgSz w:w="11906" w:h="16838"/>
          <w:pgMar w:top="1134" w:right="1134" w:bottom="1134" w:left="1134" w:header="851" w:footer="850" w:gutter="0"/>
          <w:pgNumType w:fmt="upperRoman" w:start="0"/>
          <w:cols w:space="425"/>
          <w:docGrid w:type="lines" w:linePitch="312"/>
        </w:sectPr>
      </w:pPr>
    </w:p>
    <w:p w14:paraId="7193A1C6" w14:textId="77777777" w:rsidR="00EB6ADA" w:rsidRDefault="00000000">
      <w:pPr>
        <w:pStyle w:val="1"/>
        <w:rPr>
          <w:rFonts w:cs="Times New Roman"/>
        </w:rPr>
      </w:pPr>
      <w:bookmarkStart w:id="1" w:name="_Toc224053277"/>
      <w:r>
        <w:rPr>
          <w:rFonts w:cs="Times New Roman"/>
        </w:rPr>
        <w:lastRenderedPageBreak/>
        <w:t xml:space="preserve">1 </w:t>
      </w:r>
      <w:r>
        <w:rPr>
          <w:rFonts w:cs="Times New Roman" w:hint="eastAsia"/>
        </w:rPr>
        <w:t>项目用海基本情况</w:t>
      </w:r>
      <w:bookmarkEnd w:id="1"/>
    </w:p>
    <w:p w14:paraId="47B222FD" w14:textId="77777777" w:rsidR="00EB6ADA" w:rsidRDefault="00000000">
      <w:pPr>
        <w:pStyle w:val="2"/>
      </w:pPr>
      <w:bookmarkStart w:id="2" w:name="_Toc224053278"/>
      <w:r>
        <w:t>1.1</w:t>
      </w:r>
      <w:r>
        <w:t>论证工作由来</w:t>
      </w:r>
      <w:bookmarkEnd w:id="2"/>
    </w:p>
    <w:p w14:paraId="17F519B5" w14:textId="1371B604" w:rsidR="00EB6ADA" w:rsidRDefault="00000000">
      <w:pPr>
        <w:spacing w:line="360" w:lineRule="auto"/>
        <w:ind w:firstLineChars="200" w:firstLine="480"/>
        <w:rPr>
          <w:rFonts w:ascii="Times New Roman" w:eastAsia="宋体" w:hAnsi="Times New Roman" w:cs="Times New Roman"/>
          <w:snapToGrid w:val="0"/>
          <w:sz w:val="24"/>
        </w:rPr>
      </w:pPr>
      <w:bookmarkStart w:id="3" w:name="_Hlk155948035"/>
      <w:r>
        <w:rPr>
          <w:rFonts w:ascii="Times New Roman" w:eastAsia="宋体" w:hAnsi="Times New Roman" w:cs="Times New Roman" w:hint="eastAsia"/>
          <w:snapToGrid w:val="0"/>
          <w:sz w:val="24"/>
        </w:rPr>
        <w:t>泉州围头湾石井航道位于围头湾海域，原为</w:t>
      </w:r>
      <w:r>
        <w:rPr>
          <w:rFonts w:ascii="Times New Roman" w:eastAsia="宋体" w:hAnsi="Times New Roman" w:cs="Times New Roman" w:hint="eastAsia"/>
          <w:snapToGrid w:val="0"/>
          <w:sz w:val="24"/>
        </w:rPr>
        <w:t>5000</w:t>
      </w:r>
      <w:r>
        <w:rPr>
          <w:rFonts w:ascii="Times New Roman" w:eastAsia="宋体" w:hAnsi="Times New Roman" w:cs="Times New Roman" w:hint="eastAsia"/>
          <w:snapToGrid w:val="0"/>
          <w:sz w:val="24"/>
        </w:rPr>
        <w:t>吨级通航航道，为改善石井作业港口基础设施条件，适应深水泊位建设需要，福建泉州港口发展中心提出建设围头湾石井通海航道二期工程。</w:t>
      </w:r>
      <w:r>
        <w:rPr>
          <w:rFonts w:ascii="Times New Roman" w:eastAsia="宋体" w:hAnsi="Times New Roman" w:cs="Times New Roman" w:hint="eastAsia"/>
          <w:snapToGrid w:val="0"/>
          <w:sz w:val="24"/>
        </w:rPr>
        <w:t>2017</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3</w:t>
      </w:r>
      <w:r>
        <w:rPr>
          <w:rFonts w:ascii="Times New Roman" w:eastAsia="宋体" w:hAnsi="Times New Roman" w:cs="Times New Roman" w:hint="eastAsia"/>
          <w:snapToGrid w:val="0"/>
          <w:sz w:val="24"/>
        </w:rPr>
        <w:t>月，福建省交通运输厅、福建省发展和改革委员会以“闽交港航</w:t>
      </w:r>
      <w:r>
        <w:rPr>
          <w:rFonts w:ascii="Times New Roman" w:eastAsia="宋体" w:hAnsi="Times New Roman" w:cs="Times New Roman" w:hint="eastAsia"/>
          <w:snapToGrid w:val="0"/>
          <w:sz w:val="24"/>
        </w:rPr>
        <w:t>[2017]10</w:t>
      </w:r>
      <w:r>
        <w:rPr>
          <w:rFonts w:ascii="Times New Roman" w:eastAsia="宋体" w:hAnsi="Times New Roman" w:cs="Times New Roman" w:hint="eastAsia"/>
          <w:snapToGrid w:val="0"/>
          <w:sz w:val="24"/>
        </w:rPr>
        <w:t>号”文出具该项目的初步设计批复意见。</w:t>
      </w:r>
      <w:r>
        <w:rPr>
          <w:rFonts w:ascii="Times New Roman" w:eastAsia="宋体" w:hAnsi="Times New Roman" w:cs="Times New Roman" w:hint="eastAsia"/>
          <w:snapToGrid w:val="0"/>
          <w:sz w:val="24"/>
        </w:rPr>
        <w:t>2019</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6</w:t>
      </w:r>
      <w:r>
        <w:rPr>
          <w:rFonts w:ascii="Times New Roman" w:eastAsia="宋体" w:hAnsi="Times New Roman" w:cs="Times New Roman" w:hint="eastAsia"/>
          <w:snapToGrid w:val="0"/>
          <w:sz w:val="24"/>
        </w:rPr>
        <w:t>月，福建省泉州港口管理局航道管理站对该项目施工图设计出具审查意见。</w:t>
      </w:r>
    </w:p>
    <w:p w14:paraId="30E7E768" w14:textId="4B3AD002" w:rsidR="00EB6ADA" w:rsidRDefault="00000000">
      <w:pPr>
        <w:spacing w:line="360" w:lineRule="auto"/>
        <w:ind w:firstLineChars="200" w:firstLine="480"/>
        <w:rPr>
          <w:rFonts w:ascii="Times New Roman" w:eastAsia="宋体" w:hAnsi="Times New Roman" w:cs="Times New Roman"/>
          <w:snapToGrid w:val="0"/>
          <w:sz w:val="24"/>
        </w:rPr>
      </w:pPr>
      <w:r>
        <w:rPr>
          <w:rFonts w:ascii="Times New Roman" w:eastAsia="宋体" w:hAnsi="Times New Roman" w:cs="Times New Roman" w:hint="eastAsia"/>
          <w:snapToGrid w:val="0"/>
          <w:sz w:val="24"/>
        </w:rPr>
        <w:t>根据工程设计资料，围头湾石井航道二期工程清淤量</w:t>
      </w:r>
      <w:r>
        <w:rPr>
          <w:rFonts w:ascii="Times New Roman" w:eastAsia="宋体" w:hAnsi="Times New Roman" w:cs="Times New Roman" w:hint="eastAsia"/>
          <w:snapToGrid w:val="0"/>
          <w:sz w:val="24"/>
        </w:rPr>
        <w:t>595.90</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hint="eastAsia"/>
          <w:snapToGrid w:val="0"/>
          <w:sz w:val="24"/>
        </w:rPr>
        <w:t>³（考虑超宽超深，下同），清渣量</w:t>
      </w:r>
      <w:r>
        <w:rPr>
          <w:rFonts w:ascii="Times New Roman" w:eastAsia="宋体" w:hAnsi="Times New Roman" w:cs="Times New Roman" w:hint="eastAsia"/>
          <w:snapToGrid w:val="0"/>
          <w:sz w:val="24"/>
        </w:rPr>
        <w:t>16.21</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hint="eastAsia"/>
          <w:snapToGrid w:val="0"/>
          <w:sz w:val="24"/>
        </w:rPr>
        <w:t>³。</w:t>
      </w:r>
      <w:r>
        <w:rPr>
          <w:rFonts w:ascii="Times New Roman" w:eastAsia="宋体" w:hAnsi="Times New Roman" w:cs="Times New Roman" w:hint="eastAsia"/>
          <w:snapToGrid w:val="0"/>
          <w:sz w:val="24"/>
        </w:rPr>
        <w:t>2019</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7</w:t>
      </w:r>
      <w:r>
        <w:rPr>
          <w:rFonts w:ascii="Times New Roman" w:eastAsia="宋体" w:hAnsi="Times New Roman" w:cs="Times New Roman" w:hint="eastAsia"/>
          <w:snapToGrid w:val="0"/>
          <w:sz w:val="24"/>
        </w:rPr>
        <w:t>月，南安市人民政府（南政办</w:t>
      </w:r>
      <w:r w:rsidR="004A55CE" w:rsidRPr="004A55CE">
        <w:rPr>
          <w:rFonts w:ascii="Times New Roman" w:eastAsia="宋体" w:hAnsi="Times New Roman" w:cs="Times New Roman" w:hint="eastAsia"/>
          <w:snapToGrid w:val="0"/>
          <w:sz w:val="24"/>
        </w:rPr>
        <w:t>〔</w:t>
      </w:r>
      <w:r>
        <w:rPr>
          <w:rFonts w:ascii="Times New Roman" w:eastAsia="宋体" w:hAnsi="Times New Roman" w:cs="Times New Roman" w:hint="eastAsia"/>
          <w:snapToGrid w:val="0"/>
          <w:sz w:val="24"/>
        </w:rPr>
        <w:t>2019</w:t>
      </w:r>
      <w:r w:rsidR="004A55CE" w:rsidRPr="004A55CE">
        <w:rPr>
          <w:rFonts w:ascii="Times New Roman" w:eastAsia="宋体" w:hAnsi="Times New Roman" w:cs="Times New Roman" w:hint="eastAsia"/>
          <w:snapToGrid w:val="0"/>
          <w:sz w:val="24"/>
        </w:rPr>
        <w:t>〕</w:t>
      </w:r>
      <w:r>
        <w:rPr>
          <w:rFonts w:ascii="Times New Roman" w:eastAsia="宋体" w:hAnsi="Times New Roman" w:cs="Times New Roman" w:hint="eastAsia"/>
          <w:snapToGrid w:val="0"/>
          <w:sz w:val="24"/>
        </w:rPr>
        <w:t>78</w:t>
      </w:r>
      <w:r>
        <w:rPr>
          <w:rFonts w:ascii="Times New Roman" w:eastAsia="宋体" w:hAnsi="Times New Roman" w:cs="Times New Roman" w:hint="eastAsia"/>
          <w:snapToGrid w:val="0"/>
          <w:sz w:val="24"/>
        </w:rPr>
        <w:t>号）研究同意围头湾石井航道二期工程疏浚物由泉州市南翼港区发展有限公司（</w:t>
      </w:r>
      <w:r>
        <w:rPr>
          <w:rFonts w:ascii="Times New Roman" w:eastAsia="宋体" w:hAnsi="Times New Roman" w:cs="Times New Roman" w:hint="eastAsia"/>
          <w:snapToGrid w:val="0"/>
          <w:sz w:val="24"/>
        </w:rPr>
        <w:t>2020</w:t>
      </w:r>
      <w:r>
        <w:rPr>
          <w:rFonts w:ascii="Times New Roman" w:eastAsia="宋体" w:hAnsi="Times New Roman" w:cs="Times New Roman" w:hint="eastAsia"/>
          <w:snapToGrid w:val="0"/>
          <w:sz w:val="24"/>
        </w:rPr>
        <w:t>年更名为“泉州市南翼置业发展集团有限责任公司”）依法依规处置。</w:t>
      </w:r>
    </w:p>
    <w:p w14:paraId="4BA55287" w14:textId="2CDA54C0" w:rsidR="00EB6ADA" w:rsidRDefault="00000000">
      <w:pPr>
        <w:spacing w:line="360" w:lineRule="auto"/>
        <w:ind w:firstLineChars="200" w:firstLine="480"/>
        <w:rPr>
          <w:rFonts w:ascii="Times New Roman" w:eastAsia="宋体" w:hAnsi="Times New Roman" w:cs="Times New Roman"/>
          <w:snapToGrid w:val="0"/>
          <w:sz w:val="24"/>
        </w:rPr>
      </w:pPr>
      <w:r>
        <w:rPr>
          <w:rFonts w:ascii="Times New Roman" w:eastAsia="宋体" w:hAnsi="Times New Roman" w:cs="Times New Roman" w:hint="eastAsia"/>
          <w:snapToGrid w:val="0"/>
          <w:sz w:val="24"/>
        </w:rPr>
        <w:t>2019</w:t>
      </w:r>
      <w:r>
        <w:rPr>
          <w:rFonts w:ascii="Times New Roman" w:eastAsia="宋体" w:hAnsi="Times New Roman" w:cs="Times New Roman" w:hint="eastAsia"/>
          <w:snapToGrid w:val="0"/>
          <w:sz w:val="24"/>
        </w:rPr>
        <w:t>年，泉州市南翼港区发展有限公司着手实施“泉州围头湾石井航道二期工程疏浚物综合处置配套项目”，委托中交上海航道勘察设计研究院有限公司编制《泉州围头湾石井航道二期工程疏浚物综合利用工程方案设计》，提出将泉州围头湾石井航道二期工程疏浚物经石井航道、菊江航道运至转运坑，再采用沉管方式吹填至海峡科技生态城</w:t>
      </w:r>
      <w:r>
        <w:rPr>
          <w:rFonts w:ascii="Times New Roman" w:eastAsia="宋体" w:hAnsi="Times New Roman" w:cs="Times New Roman" w:hint="eastAsia"/>
          <w:snapToGrid w:val="0"/>
          <w:sz w:val="24"/>
        </w:rPr>
        <w:t>A</w:t>
      </w:r>
      <w:r>
        <w:rPr>
          <w:rFonts w:ascii="Times New Roman" w:eastAsia="宋体" w:hAnsi="Times New Roman" w:cs="Times New Roman" w:hint="eastAsia"/>
          <w:snapToGrid w:val="0"/>
          <w:sz w:val="24"/>
        </w:rPr>
        <w:t>片区。</w:t>
      </w:r>
      <w:r>
        <w:rPr>
          <w:rFonts w:ascii="Times New Roman" w:eastAsia="宋体" w:hAnsi="Times New Roman" w:cs="Times New Roman" w:hint="eastAsia"/>
          <w:snapToGrid w:val="0"/>
          <w:sz w:val="24"/>
        </w:rPr>
        <w:t>2020</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1</w:t>
      </w:r>
      <w:r>
        <w:rPr>
          <w:rFonts w:ascii="Times New Roman" w:eastAsia="宋体" w:hAnsi="Times New Roman" w:cs="Times New Roman" w:hint="eastAsia"/>
          <w:snapToGrid w:val="0"/>
          <w:sz w:val="24"/>
        </w:rPr>
        <w:t>月，泉州市南翼置业发展集团有限责任公司取得了“泉州围头湾石井航道二期工程疏浚物综合处置配套项目”不动产权证，用海方式为“专用航道、锚地用海及其他开放式”，用海面积</w:t>
      </w:r>
      <w:r>
        <w:rPr>
          <w:rFonts w:ascii="Times New Roman" w:eastAsia="宋体" w:hAnsi="Times New Roman" w:cs="Times New Roman" w:hint="eastAsia"/>
          <w:snapToGrid w:val="0"/>
          <w:sz w:val="24"/>
        </w:rPr>
        <w:t>34.5277</w:t>
      </w:r>
      <w:r>
        <w:rPr>
          <w:rFonts w:ascii="Times New Roman" w:eastAsia="宋体" w:hAnsi="Times New Roman" w:cs="Times New Roman" w:hint="eastAsia"/>
          <w:snapToGrid w:val="0"/>
          <w:sz w:val="24"/>
        </w:rPr>
        <w:t>公顷，用海期限至</w:t>
      </w:r>
      <w:r>
        <w:rPr>
          <w:rFonts w:ascii="Times New Roman" w:eastAsia="宋体" w:hAnsi="Times New Roman" w:cs="Times New Roman" w:hint="eastAsia"/>
          <w:snapToGrid w:val="0"/>
          <w:sz w:val="24"/>
        </w:rPr>
        <w:t>2022</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1</w:t>
      </w:r>
      <w:r>
        <w:rPr>
          <w:rFonts w:ascii="Times New Roman" w:eastAsia="宋体" w:hAnsi="Times New Roman" w:cs="Times New Roman" w:hint="eastAsia"/>
          <w:snapToGrid w:val="0"/>
          <w:sz w:val="24"/>
        </w:rPr>
        <w:t>月</w:t>
      </w:r>
      <w:r>
        <w:rPr>
          <w:rFonts w:ascii="Times New Roman" w:eastAsia="宋体" w:hAnsi="Times New Roman" w:cs="Times New Roman" w:hint="eastAsia"/>
          <w:snapToGrid w:val="0"/>
          <w:sz w:val="24"/>
        </w:rPr>
        <w:t>15</w:t>
      </w:r>
      <w:r>
        <w:rPr>
          <w:rFonts w:ascii="Times New Roman" w:eastAsia="宋体" w:hAnsi="Times New Roman" w:cs="Times New Roman" w:hint="eastAsia"/>
          <w:snapToGrid w:val="0"/>
          <w:sz w:val="24"/>
        </w:rPr>
        <w:t>日。</w:t>
      </w:r>
      <w:r>
        <w:rPr>
          <w:rFonts w:ascii="Times New Roman" w:eastAsia="宋体" w:hAnsi="Times New Roman" w:cs="Times New Roman" w:hint="eastAsia"/>
          <w:snapToGrid w:val="0"/>
          <w:sz w:val="24"/>
        </w:rPr>
        <w:t>2020</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4</w:t>
      </w:r>
      <w:r>
        <w:rPr>
          <w:rFonts w:ascii="Times New Roman" w:eastAsia="宋体" w:hAnsi="Times New Roman" w:cs="Times New Roman" w:hint="eastAsia"/>
          <w:snapToGrid w:val="0"/>
          <w:sz w:val="24"/>
        </w:rPr>
        <w:t>月，项目环境影响报告书取得泉州市生态环境局的批复。</w:t>
      </w:r>
    </w:p>
    <w:p w14:paraId="205BE567" w14:textId="502DD375" w:rsidR="00EB6ADA" w:rsidRDefault="00000000">
      <w:pPr>
        <w:spacing w:line="360" w:lineRule="auto"/>
        <w:ind w:firstLineChars="200" w:firstLine="480"/>
        <w:rPr>
          <w:rFonts w:ascii="Times New Roman" w:eastAsia="宋体" w:hAnsi="Times New Roman" w:cs="Times New Roman"/>
          <w:snapToGrid w:val="0"/>
          <w:sz w:val="24"/>
        </w:rPr>
      </w:pPr>
      <w:r>
        <w:rPr>
          <w:rFonts w:ascii="Times New Roman" w:eastAsia="宋体" w:hAnsi="Times New Roman" w:cs="Times New Roman" w:hint="eastAsia"/>
          <w:snapToGrid w:val="0"/>
          <w:sz w:val="24"/>
        </w:rPr>
        <w:t>2020</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3</w:t>
      </w:r>
      <w:r>
        <w:rPr>
          <w:rFonts w:ascii="Times New Roman" w:eastAsia="宋体" w:hAnsi="Times New Roman" w:cs="Times New Roman" w:hint="eastAsia"/>
          <w:snapToGrid w:val="0"/>
          <w:sz w:val="24"/>
        </w:rPr>
        <w:t>月，南安市授权泉州市南翼置业发展集团有限责任公司与泉州交发集团下属的泉州交发建筑材料有限责任公司，成立合资公司泉州南翼交发建材有限责任公司，具体承担航道二期工程疏浚物的处置工作。围头湾石井航道二期工程自</w:t>
      </w:r>
      <w:r>
        <w:rPr>
          <w:rFonts w:ascii="Times New Roman" w:eastAsia="宋体" w:hAnsi="Times New Roman" w:cs="Times New Roman" w:hint="eastAsia"/>
          <w:snapToGrid w:val="0"/>
          <w:sz w:val="24"/>
        </w:rPr>
        <w:t>2021</w:t>
      </w:r>
      <w:r>
        <w:rPr>
          <w:rFonts w:ascii="Times New Roman" w:eastAsia="宋体" w:hAnsi="Times New Roman" w:cs="Times New Roman" w:hint="eastAsia"/>
          <w:snapToGrid w:val="0"/>
          <w:sz w:val="24"/>
        </w:rPr>
        <w:t>年开工以来，因疏浚物和礁渣无法接收、炸礁区域新增、新冠疫情等问题，航道疏浚及炸礁施工未按照原计划推进。转运坑是泉州围头湾石井航道二期工程的配套项目，其使用需求与航道工程的施工进度相匹配，因此，泉州市南翼置业发展集团有限责任公司分别于</w:t>
      </w:r>
      <w:r>
        <w:rPr>
          <w:rFonts w:ascii="Times New Roman" w:eastAsia="宋体" w:hAnsi="Times New Roman" w:cs="Times New Roman" w:hint="eastAsia"/>
          <w:snapToGrid w:val="0"/>
          <w:sz w:val="24"/>
        </w:rPr>
        <w:t>2022</w:t>
      </w:r>
      <w:r>
        <w:rPr>
          <w:rFonts w:ascii="Times New Roman" w:eastAsia="宋体" w:hAnsi="Times New Roman" w:cs="Times New Roman" w:hint="eastAsia"/>
          <w:snapToGrid w:val="0"/>
          <w:sz w:val="24"/>
        </w:rPr>
        <w:t>年和</w:t>
      </w:r>
      <w:r>
        <w:rPr>
          <w:rFonts w:ascii="Times New Roman" w:eastAsia="宋体" w:hAnsi="Times New Roman" w:cs="Times New Roman" w:hint="eastAsia"/>
          <w:snapToGrid w:val="0"/>
          <w:sz w:val="24"/>
        </w:rPr>
        <w:t>2024</w:t>
      </w:r>
      <w:r>
        <w:rPr>
          <w:rFonts w:ascii="Times New Roman" w:eastAsia="宋体" w:hAnsi="Times New Roman" w:cs="Times New Roman" w:hint="eastAsia"/>
          <w:snapToGrid w:val="0"/>
          <w:sz w:val="24"/>
        </w:rPr>
        <w:t>年两次提出“泉州围头湾石井航道二期工程疏浚物综合处置配套项目”用海续期申请，并换发了不动产权证，续期用海面积均为</w:t>
      </w:r>
      <w:r>
        <w:rPr>
          <w:rFonts w:ascii="Times New Roman" w:eastAsia="宋体" w:hAnsi="Times New Roman" w:cs="Times New Roman" w:hint="eastAsia"/>
          <w:snapToGrid w:val="0"/>
          <w:sz w:val="24"/>
        </w:rPr>
        <w:t>34.5064</w:t>
      </w:r>
      <w:r>
        <w:rPr>
          <w:rFonts w:ascii="Times New Roman" w:eastAsia="宋体" w:hAnsi="Times New Roman" w:cs="Times New Roman" w:hint="eastAsia"/>
          <w:snapToGrid w:val="0"/>
          <w:sz w:val="24"/>
        </w:rPr>
        <w:t>公顷，用海期限分别至</w:t>
      </w:r>
      <w:r>
        <w:rPr>
          <w:rFonts w:ascii="Times New Roman" w:eastAsia="宋体" w:hAnsi="Times New Roman" w:cs="Times New Roman" w:hint="eastAsia"/>
          <w:snapToGrid w:val="0"/>
          <w:sz w:val="24"/>
        </w:rPr>
        <w:t>2024</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1</w:t>
      </w:r>
      <w:r>
        <w:rPr>
          <w:rFonts w:ascii="Times New Roman" w:eastAsia="宋体" w:hAnsi="Times New Roman" w:cs="Times New Roman" w:hint="eastAsia"/>
          <w:snapToGrid w:val="0"/>
          <w:sz w:val="24"/>
        </w:rPr>
        <w:t>月</w:t>
      </w:r>
      <w:r>
        <w:rPr>
          <w:rFonts w:ascii="Times New Roman" w:eastAsia="宋体" w:hAnsi="Times New Roman" w:cs="Times New Roman" w:hint="eastAsia"/>
          <w:snapToGrid w:val="0"/>
          <w:sz w:val="24"/>
        </w:rPr>
        <w:t>16</w:t>
      </w:r>
      <w:r>
        <w:rPr>
          <w:rFonts w:ascii="Times New Roman" w:eastAsia="宋体" w:hAnsi="Times New Roman" w:cs="Times New Roman" w:hint="eastAsia"/>
          <w:snapToGrid w:val="0"/>
          <w:sz w:val="24"/>
        </w:rPr>
        <w:t>日和</w:t>
      </w:r>
      <w:r>
        <w:rPr>
          <w:rFonts w:ascii="Times New Roman" w:eastAsia="宋体" w:hAnsi="Times New Roman" w:cs="Times New Roman" w:hint="eastAsia"/>
          <w:snapToGrid w:val="0"/>
          <w:sz w:val="24"/>
        </w:rPr>
        <w:t>2026</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1</w:t>
      </w:r>
      <w:r>
        <w:rPr>
          <w:rFonts w:ascii="Times New Roman" w:eastAsia="宋体" w:hAnsi="Times New Roman" w:cs="Times New Roman" w:hint="eastAsia"/>
          <w:snapToGrid w:val="0"/>
          <w:sz w:val="24"/>
        </w:rPr>
        <w:t>月</w:t>
      </w:r>
      <w:r>
        <w:rPr>
          <w:rFonts w:ascii="Times New Roman" w:eastAsia="宋体" w:hAnsi="Times New Roman" w:cs="Times New Roman" w:hint="eastAsia"/>
          <w:snapToGrid w:val="0"/>
          <w:sz w:val="24"/>
        </w:rPr>
        <w:t>16</w:t>
      </w:r>
      <w:r>
        <w:rPr>
          <w:rFonts w:ascii="Times New Roman" w:eastAsia="宋体" w:hAnsi="Times New Roman" w:cs="Times New Roman" w:hint="eastAsia"/>
          <w:snapToGrid w:val="0"/>
          <w:sz w:val="24"/>
        </w:rPr>
        <w:t>日。</w:t>
      </w:r>
    </w:p>
    <w:p w14:paraId="007C6A87" w14:textId="78543C93" w:rsidR="00EB6ADA" w:rsidRDefault="00000000">
      <w:pPr>
        <w:spacing w:line="360" w:lineRule="auto"/>
        <w:ind w:firstLineChars="200" w:firstLine="480"/>
        <w:rPr>
          <w:rFonts w:ascii="Times New Roman" w:eastAsia="宋体" w:hAnsi="Times New Roman" w:cs="Times New Roman"/>
          <w:snapToGrid w:val="0"/>
          <w:sz w:val="24"/>
        </w:rPr>
      </w:pPr>
      <w:r>
        <w:rPr>
          <w:rFonts w:ascii="Times New Roman" w:eastAsia="宋体" w:hAnsi="Times New Roman" w:cs="Times New Roman" w:hint="eastAsia"/>
          <w:snapToGrid w:val="0"/>
          <w:sz w:val="24"/>
        </w:rPr>
        <w:t>2025</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11</w:t>
      </w:r>
      <w:r>
        <w:rPr>
          <w:rFonts w:ascii="Times New Roman" w:eastAsia="宋体" w:hAnsi="Times New Roman" w:cs="Times New Roman" w:hint="eastAsia"/>
          <w:snapToGrid w:val="0"/>
          <w:sz w:val="24"/>
        </w:rPr>
        <w:t>月，福建省港航勘察科技有限公司对航道二期工程进行扫测，发现航道北段尚未达到设计标高，局部区域存在浅点和残留礁石区，仍需进一步开展疏浚和清礁工作。经设计单位核算，石井航道二期工程剩余疏浚工程量约</w:t>
      </w:r>
      <w:r>
        <w:rPr>
          <w:rFonts w:ascii="Times New Roman" w:eastAsia="宋体" w:hAnsi="Times New Roman" w:cs="Times New Roman" w:hint="eastAsia"/>
          <w:snapToGrid w:val="0"/>
          <w:sz w:val="24"/>
        </w:rPr>
        <w:t>30.9</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snapToGrid w:val="0"/>
          <w:sz w:val="24"/>
          <w:vertAlign w:val="superscript"/>
        </w:rPr>
        <w:t>3</w:t>
      </w:r>
      <w:r>
        <w:rPr>
          <w:rFonts w:ascii="Times New Roman" w:eastAsia="宋体" w:hAnsi="Times New Roman" w:cs="Times New Roman" w:hint="eastAsia"/>
          <w:snapToGrid w:val="0"/>
          <w:sz w:val="24"/>
        </w:rPr>
        <w:t>，剩余清礁工程量约</w:t>
      </w:r>
      <w:r>
        <w:rPr>
          <w:rFonts w:ascii="Times New Roman" w:eastAsia="宋体" w:hAnsi="Times New Roman" w:cs="Times New Roman" w:hint="eastAsia"/>
          <w:snapToGrid w:val="0"/>
          <w:sz w:val="24"/>
        </w:rPr>
        <w:t>1.17</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lastRenderedPageBreak/>
        <w:t>m</w:t>
      </w:r>
      <w:r>
        <w:rPr>
          <w:rFonts w:ascii="Times New Roman" w:eastAsia="宋体" w:hAnsi="Times New Roman" w:cs="Times New Roman" w:hint="eastAsia"/>
          <w:snapToGrid w:val="0"/>
          <w:sz w:val="24"/>
        </w:rPr>
        <w:t>³，后续施工</w:t>
      </w:r>
      <w:r>
        <w:rPr>
          <w:rFonts w:ascii="Times New Roman" w:eastAsia="宋体" w:hAnsi="Times New Roman" w:cs="Times New Roman" w:hint="eastAsia"/>
          <w:snapToGrid w:val="0"/>
          <w:sz w:val="24"/>
        </w:rPr>
        <w:t>30.9</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snapToGrid w:val="0"/>
          <w:sz w:val="24"/>
          <w:vertAlign w:val="superscript"/>
        </w:rPr>
        <w:t>3</w:t>
      </w:r>
      <w:r>
        <w:rPr>
          <w:rFonts w:ascii="Times New Roman" w:eastAsia="宋体" w:hAnsi="Times New Roman" w:cs="Times New Roman" w:hint="eastAsia"/>
          <w:snapToGrid w:val="0"/>
          <w:sz w:val="24"/>
        </w:rPr>
        <w:t>的疏浚物拟由现有转运坑接收，疏浚物已通过综合处置公开转让，由“南安市翼丰投资开发有限公司”竞得；</w:t>
      </w:r>
      <w:r>
        <w:rPr>
          <w:rFonts w:ascii="Times New Roman" w:eastAsia="宋体" w:hAnsi="Times New Roman" w:cs="Times New Roman" w:hint="eastAsia"/>
          <w:snapToGrid w:val="0"/>
          <w:sz w:val="24"/>
        </w:rPr>
        <w:t>1.17</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snapToGrid w:val="0"/>
          <w:sz w:val="24"/>
          <w:vertAlign w:val="superscript"/>
        </w:rPr>
        <w:t>3</w:t>
      </w:r>
      <w:r>
        <w:rPr>
          <w:rFonts w:ascii="Times New Roman" w:eastAsia="宋体" w:hAnsi="Times New Roman" w:cs="Times New Roman" w:hint="eastAsia"/>
          <w:snapToGrid w:val="0"/>
          <w:sz w:val="24"/>
        </w:rPr>
        <w:t>的礁渣拟由石井作业区</w:t>
      </w:r>
      <w:r>
        <w:rPr>
          <w:rFonts w:ascii="Times New Roman" w:eastAsia="宋体" w:hAnsi="Times New Roman" w:cs="Times New Roman" w:hint="eastAsia"/>
          <w:snapToGrid w:val="0"/>
          <w:sz w:val="24"/>
        </w:rPr>
        <w:t>11#-12#</w:t>
      </w:r>
      <w:r>
        <w:rPr>
          <w:rFonts w:ascii="Times New Roman" w:eastAsia="宋体" w:hAnsi="Times New Roman" w:cs="Times New Roman" w:hint="eastAsia"/>
          <w:snapToGrid w:val="0"/>
          <w:sz w:val="24"/>
        </w:rPr>
        <w:t>泊位接收，礁渣已通过有偿处置公开转让，由“福建省壹米新材料科技有限公司”竞得。围头湾石井航道二期工程用海已于</w:t>
      </w:r>
      <w:r>
        <w:rPr>
          <w:rFonts w:ascii="Times New Roman" w:eastAsia="宋体" w:hAnsi="Times New Roman" w:cs="Times New Roman" w:hint="eastAsia"/>
          <w:snapToGrid w:val="0"/>
          <w:sz w:val="24"/>
        </w:rPr>
        <w:t>2025</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10</w:t>
      </w:r>
      <w:r>
        <w:rPr>
          <w:rFonts w:ascii="Times New Roman" w:eastAsia="宋体" w:hAnsi="Times New Roman" w:cs="Times New Roman" w:hint="eastAsia"/>
          <w:snapToGrid w:val="0"/>
          <w:sz w:val="24"/>
        </w:rPr>
        <w:t>月</w:t>
      </w:r>
      <w:r>
        <w:rPr>
          <w:rFonts w:ascii="Times New Roman" w:eastAsia="宋体" w:hAnsi="Times New Roman" w:cs="Times New Roman" w:hint="eastAsia"/>
          <w:snapToGrid w:val="0"/>
          <w:sz w:val="24"/>
        </w:rPr>
        <w:t>14</w:t>
      </w:r>
      <w:r>
        <w:rPr>
          <w:rFonts w:ascii="Times New Roman" w:eastAsia="宋体" w:hAnsi="Times New Roman" w:cs="Times New Roman" w:hint="eastAsia"/>
          <w:snapToGrid w:val="0"/>
          <w:sz w:val="24"/>
        </w:rPr>
        <w:t>日到期，为满足后续施工的用海需求、保障航道清淤项目顺利实施，泉州市港口发展股份有限公司正在办理后续施工用海相关工作，目前已经取得用海预审意见。</w:t>
      </w:r>
    </w:p>
    <w:p w14:paraId="400F62CF" w14:textId="77777777" w:rsidR="00EB6ADA" w:rsidRDefault="00000000">
      <w:pPr>
        <w:spacing w:line="360" w:lineRule="auto"/>
        <w:ind w:firstLineChars="200" w:firstLine="480"/>
        <w:rPr>
          <w:rFonts w:ascii="Times New Roman" w:eastAsia="宋体" w:hAnsi="Times New Roman" w:cs="Times New Roman"/>
          <w:snapToGrid w:val="0"/>
          <w:color w:val="000000"/>
          <w:sz w:val="24"/>
          <w:szCs w:val="24"/>
        </w:rPr>
      </w:pPr>
      <w:r>
        <w:rPr>
          <w:rFonts w:ascii="Times New Roman" w:eastAsia="宋体" w:hAnsi="Times New Roman" w:cs="Times New Roman" w:hint="eastAsia"/>
          <w:snapToGrid w:val="0"/>
          <w:color w:val="000000"/>
          <w:sz w:val="24"/>
          <w:szCs w:val="24"/>
        </w:rPr>
        <w:t>本项目作为围头湾石井航道二期工程配套的疏浚物综合处置项目，将继续接纳航道后续施工所产生的</w:t>
      </w:r>
      <w:r>
        <w:rPr>
          <w:rFonts w:ascii="Times New Roman" w:eastAsia="宋体" w:hAnsi="Times New Roman" w:cs="Times New Roman" w:hint="eastAsia"/>
          <w:snapToGrid w:val="0"/>
          <w:color w:val="000000"/>
          <w:sz w:val="24"/>
          <w:szCs w:val="24"/>
        </w:rPr>
        <w:t>30.9</w:t>
      </w:r>
      <w:r>
        <w:rPr>
          <w:rFonts w:ascii="Times New Roman" w:eastAsia="宋体" w:hAnsi="Times New Roman" w:cs="Times New Roman" w:hint="eastAsia"/>
          <w:snapToGrid w:val="0"/>
          <w:color w:val="000000"/>
          <w:sz w:val="24"/>
          <w:szCs w:val="24"/>
        </w:rPr>
        <w:t>万</w:t>
      </w:r>
      <w:r>
        <w:rPr>
          <w:rFonts w:ascii="Times New Roman" w:eastAsia="宋体" w:hAnsi="Times New Roman" w:cs="Times New Roman" w:hint="eastAsia"/>
          <w:snapToGrid w:val="0"/>
          <w:color w:val="000000"/>
          <w:sz w:val="24"/>
          <w:szCs w:val="24"/>
        </w:rPr>
        <w:t>m</w:t>
      </w:r>
      <w:r>
        <w:rPr>
          <w:rFonts w:ascii="Times New Roman" w:eastAsia="宋体" w:hAnsi="Times New Roman" w:cs="Times New Roman" w:hint="eastAsia"/>
          <w:snapToGrid w:val="0"/>
          <w:color w:val="000000"/>
          <w:sz w:val="24"/>
          <w:szCs w:val="24"/>
        </w:rPr>
        <w:t>³的疏浚物，以恢复转运坑的地形。项目已确权用海期限至</w:t>
      </w:r>
      <w:r>
        <w:rPr>
          <w:rFonts w:ascii="Times New Roman" w:eastAsia="宋体" w:hAnsi="Times New Roman" w:cs="Times New Roman" w:hint="eastAsia"/>
          <w:snapToGrid w:val="0"/>
          <w:color w:val="000000"/>
          <w:sz w:val="24"/>
          <w:szCs w:val="24"/>
        </w:rPr>
        <w:t>2026</w:t>
      </w:r>
      <w:r>
        <w:rPr>
          <w:rFonts w:ascii="Times New Roman" w:eastAsia="宋体" w:hAnsi="Times New Roman" w:cs="Times New Roman" w:hint="eastAsia"/>
          <w:snapToGrid w:val="0"/>
          <w:color w:val="000000"/>
          <w:sz w:val="24"/>
          <w:szCs w:val="24"/>
        </w:rPr>
        <w:t>年</w:t>
      </w:r>
      <w:r>
        <w:rPr>
          <w:rFonts w:ascii="Times New Roman" w:eastAsia="宋体" w:hAnsi="Times New Roman" w:cs="Times New Roman" w:hint="eastAsia"/>
          <w:snapToGrid w:val="0"/>
          <w:color w:val="000000"/>
          <w:sz w:val="24"/>
          <w:szCs w:val="24"/>
        </w:rPr>
        <w:t>1</w:t>
      </w:r>
      <w:r>
        <w:rPr>
          <w:rFonts w:ascii="Times New Roman" w:eastAsia="宋体" w:hAnsi="Times New Roman" w:cs="Times New Roman" w:hint="eastAsia"/>
          <w:snapToGrid w:val="0"/>
          <w:color w:val="000000"/>
          <w:sz w:val="24"/>
          <w:szCs w:val="24"/>
        </w:rPr>
        <w:t>月</w:t>
      </w:r>
      <w:r>
        <w:rPr>
          <w:rFonts w:ascii="Times New Roman" w:eastAsia="宋体" w:hAnsi="Times New Roman" w:cs="Times New Roman" w:hint="eastAsia"/>
          <w:snapToGrid w:val="0"/>
          <w:color w:val="000000"/>
          <w:sz w:val="24"/>
          <w:szCs w:val="24"/>
        </w:rPr>
        <w:t>16</w:t>
      </w:r>
      <w:r>
        <w:rPr>
          <w:rFonts w:ascii="Times New Roman" w:eastAsia="宋体" w:hAnsi="Times New Roman" w:cs="Times New Roman" w:hint="eastAsia"/>
          <w:snapToGrid w:val="0"/>
          <w:color w:val="000000"/>
          <w:sz w:val="24"/>
          <w:szCs w:val="24"/>
        </w:rPr>
        <w:t>日，根据《中华人民共和国海域使用管理法》和《海域使用权管理规定》等相关规定，需重新申请用海。</w:t>
      </w:r>
    </w:p>
    <w:p w14:paraId="294E67A8" w14:textId="52A4DC72" w:rsidR="00EB6ADA"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color w:val="000000"/>
          <w:sz w:val="24"/>
        </w:rPr>
        <w:t>本项目</w:t>
      </w:r>
      <w:r>
        <w:rPr>
          <w:rFonts w:ascii="Times New Roman" w:eastAsia="宋体" w:hAnsi="Times New Roman" w:cs="Times New Roman" w:hint="eastAsia"/>
          <w:color w:val="000000"/>
          <w:sz w:val="24"/>
        </w:rPr>
        <w:t>2020</w:t>
      </w:r>
      <w:r>
        <w:rPr>
          <w:rFonts w:ascii="Times New Roman" w:eastAsia="宋体" w:hAnsi="Times New Roman" w:cs="Times New Roman" w:hint="eastAsia"/>
          <w:color w:val="000000"/>
          <w:sz w:val="24"/>
        </w:rPr>
        <w:t>年</w:t>
      </w:r>
      <w:r>
        <w:rPr>
          <w:rFonts w:ascii="Times New Roman" w:eastAsia="宋体" w:hAnsi="Times New Roman" w:cs="Times New Roman" w:hint="eastAsia"/>
          <w:color w:val="000000"/>
          <w:sz w:val="24"/>
        </w:rPr>
        <w:t>1</w:t>
      </w:r>
      <w:r>
        <w:rPr>
          <w:rFonts w:ascii="Times New Roman" w:eastAsia="宋体" w:hAnsi="Times New Roman" w:cs="Times New Roman" w:hint="eastAsia"/>
          <w:color w:val="000000"/>
          <w:sz w:val="24"/>
        </w:rPr>
        <w:t>月确权用海面积共</w:t>
      </w:r>
      <w:r>
        <w:rPr>
          <w:rFonts w:ascii="Times New Roman" w:eastAsia="宋体" w:hAnsi="Times New Roman" w:cs="Times New Roman" w:hint="eastAsia"/>
          <w:color w:val="000000"/>
          <w:sz w:val="24"/>
        </w:rPr>
        <w:t>34.5277</w:t>
      </w:r>
      <w:r>
        <w:rPr>
          <w:rFonts w:ascii="Times New Roman" w:eastAsia="宋体" w:hAnsi="Times New Roman" w:cs="Times New Roman" w:hint="eastAsia"/>
          <w:color w:val="000000"/>
          <w:sz w:val="24"/>
        </w:rPr>
        <w:t>公顷，包括转运坑、连接通道、吹填管线用海。根据</w:t>
      </w:r>
      <w:r>
        <w:rPr>
          <w:rFonts w:ascii="Times New Roman" w:eastAsia="宋体" w:hAnsi="Times New Roman" w:cs="Times New Roman" w:hint="eastAsia"/>
          <w:color w:val="000000"/>
          <w:sz w:val="24"/>
        </w:rPr>
        <w:t>2019</w:t>
      </w:r>
      <w:r>
        <w:rPr>
          <w:rFonts w:ascii="Times New Roman" w:eastAsia="宋体" w:hAnsi="Times New Roman" w:cs="Times New Roman" w:hint="eastAsia"/>
          <w:color w:val="000000"/>
          <w:sz w:val="24"/>
        </w:rPr>
        <w:t>年</w:t>
      </w:r>
      <w:r>
        <w:rPr>
          <w:rFonts w:ascii="Times New Roman" w:eastAsia="宋体" w:hAnsi="Times New Roman" w:cs="Times New Roman" w:hint="eastAsia"/>
          <w:color w:val="000000"/>
          <w:sz w:val="24"/>
        </w:rPr>
        <w:t>12</w:t>
      </w:r>
      <w:r>
        <w:rPr>
          <w:rFonts w:ascii="Times New Roman" w:eastAsia="宋体" w:hAnsi="Times New Roman" w:cs="Times New Roman" w:hint="eastAsia"/>
          <w:color w:val="000000"/>
          <w:sz w:val="24"/>
        </w:rPr>
        <w:t>月厦门蓝海绿洲科技有限公司编制的《泉州围头湾石井航道二期工程疏浚物综合处置配套项目海域使用论证报告书（报批稿）》，项目先对转运坑和连接通道进行疏浚挖深，以满足船舶通行和卸泥需要，航道疏浚土由挖泥船运至转运坑卸载后，再通过吹泥管道吹填至海峡科技生态城</w:t>
      </w:r>
      <w:r>
        <w:rPr>
          <w:rFonts w:ascii="Times New Roman" w:eastAsia="宋体" w:hAnsi="Times New Roman" w:cs="Times New Roman" w:hint="eastAsia"/>
          <w:color w:val="000000"/>
          <w:sz w:val="24"/>
        </w:rPr>
        <w:t>A</w:t>
      </w:r>
      <w:r>
        <w:rPr>
          <w:rFonts w:ascii="Times New Roman" w:eastAsia="宋体" w:hAnsi="Times New Roman" w:cs="Times New Roman" w:hint="eastAsia"/>
          <w:color w:val="000000"/>
          <w:sz w:val="24"/>
        </w:rPr>
        <w:t>片区，最后施工完后拟将转运坑恢复原状。</w:t>
      </w:r>
    </w:p>
    <w:p w14:paraId="3FEB6FC6" w14:textId="251BA993" w:rsidR="00EB6ADA" w:rsidRDefault="00000000">
      <w:pPr>
        <w:spacing w:line="360" w:lineRule="auto"/>
        <w:ind w:firstLineChars="200" w:firstLine="480"/>
        <w:rPr>
          <w:rFonts w:ascii="Times New Roman" w:eastAsia="宋体" w:hAnsi="Times New Roman" w:cs="Times New Roman"/>
          <w:snapToGrid w:val="0"/>
          <w:color w:val="000000"/>
          <w:sz w:val="24"/>
          <w:szCs w:val="24"/>
        </w:rPr>
      </w:pPr>
      <w:r>
        <w:rPr>
          <w:rFonts w:ascii="Times New Roman" w:eastAsia="宋体" w:hAnsi="Times New Roman" w:cs="Times New Roman"/>
          <w:sz w:val="24"/>
        </w:rPr>
        <w:t>截止</w:t>
      </w:r>
      <w:r w:rsidR="004002F0">
        <w:rPr>
          <w:rFonts w:ascii="Times New Roman" w:eastAsia="宋体" w:hAnsi="Times New Roman" w:cs="Times New Roman" w:hint="eastAsia"/>
          <w:sz w:val="24"/>
        </w:rPr>
        <w:t>到</w:t>
      </w:r>
      <w:r>
        <w:rPr>
          <w:rFonts w:ascii="Times New Roman" w:eastAsia="宋体" w:hAnsi="Times New Roman" w:cs="Times New Roman"/>
          <w:sz w:val="24"/>
        </w:rPr>
        <w:t>2025</w:t>
      </w:r>
      <w:r>
        <w:rPr>
          <w:rFonts w:ascii="Times New Roman" w:eastAsia="宋体" w:hAnsi="Times New Roman" w:cs="Times New Roman"/>
          <w:sz w:val="24"/>
        </w:rPr>
        <w:t>年</w:t>
      </w:r>
      <w:r>
        <w:rPr>
          <w:rFonts w:ascii="Times New Roman" w:eastAsia="宋体" w:hAnsi="Times New Roman" w:cs="Times New Roman"/>
          <w:sz w:val="24"/>
        </w:rPr>
        <w:t>10</w:t>
      </w:r>
      <w:r>
        <w:rPr>
          <w:rFonts w:ascii="Times New Roman" w:eastAsia="宋体" w:hAnsi="Times New Roman" w:cs="Times New Roman"/>
          <w:sz w:val="24"/>
        </w:rPr>
        <w:t>月</w:t>
      </w:r>
      <w:r>
        <w:rPr>
          <w:rFonts w:ascii="Times New Roman" w:eastAsia="宋体" w:hAnsi="Times New Roman" w:cs="Times New Roman"/>
          <w:sz w:val="24"/>
        </w:rPr>
        <w:t>14</w:t>
      </w:r>
      <w:r>
        <w:rPr>
          <w:rFonts w:ascii="Times New Roman" w:eastAsia="宋体" w:hAnsi="Times New Roman" w:cs="Times New Roman"/>
          <w:sz w:val="24"/>
        </w:rPr>
        <w:t>日</w:t>
      </w:r>
      <w:r>
        <w:rPr>
          <w:rFonts w:ascii="Times New Roman" w:eastAsia="宋体" w:hAnsi="Times New Roman" w:cs="Times New Roman" w:hint="eastAsia"/>
          <w:sz w:val="24"/>
        </w:rPr>
        <w:t>，石井航道二期工程</w:t>
      </w:r>
      <w:r>
        <w:rPr>
          <w:rFonts w:ascii="Times New Roman" w:eastAsia="宋体" w:hAnsi="Times New Roman" w:cs="Times New Roman"/>
          <w:sz w:val="24"/>
          <w:szCs w:val="24"/>
        </w:rPr>
        <w:t>共完成疏浚</w:t>
      </w:r>
      <w:r>
        <w:rPr>
          <w:rFonts w:ascii="Times New Roman" w:eastAsia="宋体" w:hAnsi="Times New Roman" w:cs="Times New Roman"/>
          <w:color w:val="000000"/>
          <w:sz w:val="24"/>
          <w:szCs w:val="24"/>
        </w:rPr>
        <w:t>56</w:t>
      </w:r>
      <w:r>
        <w:rPr>
          <w:rFonts w:ascii="Times New Roman" w:eastAsia="宋体" w:hAnsi="Times New Roman" w:cs="Times New Roman" w:hint="eastAsia"/>
          <w:color w:val="000000"/>
          <w:sz w:val="24"/>
          <w:szCs w:val="24"/>
        </w:rPr>
        <w:t>5.0</w:t>
      </w:r>
      <w:r>
        <w:rPr>
          <w:rFonts w:ascii="Times New Roman" w:eastAsia="宋体" w:hAnsi="Times New Roman" w:cs="Times New Roman"/>
          <w:color w:val="000000"/>
          <w:sz w:val="24"/>
          <w:szCs w:val="24"/>
        </w:rPr>
        <w:t>万</w:t>
      </w:r>
      <w:r>
        <w:rPr>
          <w:rFonts w:ascii="Times New Roman" w:eastAsia="宋体" w:hAnsi="Times New Roman" w:cs="Times New Roman"/>
          <w:color w:val="000000"/>
          <w:sz w:val="24"/>
          <w:szCs w:val="24"/>
        </w:rPr>
        <w:t>m³</w:t>
      </w:r>
      <w:r>
        <w:rPr>
          <w:rFonts w:ascii="Times New Roman" w:eastAsia="宋体" w:hAnsi="Times New Roman" w:cs="Times New Roman"/>
          <w:sz w:val="24"/>
        </w:rPr>
        <w:t>（含超宽超深，下同）</w:t>
      </w:r>
      <w:r>
        <w:rPr>
          <w:rFonts w:ascii="Times New Roman" w:eastAsia="宋体" w:hAnsi="Times New Roman" w:cs="Times New Roman"/>
          <w:color w:val="000000"/>
          <w:sz w:val="24"/>
          <w:szCs w:val="24"/>
        </w:rPr>
        <w:t>，疏浚物均运送至</w:t>
      </w:r>
      <w:r>
        <w:rPr>
          <w:rFonts w:ascii="Times New Roman" w:eastAsia="宋体" w:hAnsi="Times New Roman" w:cs="Times New Roman"/>
          <w:sz w:val="24"/>
          <w:szCs w:val="24"/>
        </w:rPr>
        <w:t>本项目的转运坑，其中</w:t>
      </w:r>
      <w:r>
        <w:rPr>
          <w:rFonts w:ascii="Times New Roman" w:eastAsia="宋体" w:hAnsi="Times New Roman" w:cs="Times New Roman"/>
          <w:sz w:val="24"/>
          <w:szCs w:val="24"/>
        </w:rPr>
        <w:t>527.95</w:t>
      </w:r>
      <w:r>
        <w:rPr>
          <w:rFonts w:ascii="Times New Roman" w:eastAsia="宋体" w:hAnsi="Times New Roman" w:cs="Times New Roman"/>
          <w:sz w:val="24"/>
          <w:szCs w:val="24"/>
        </w:rPr>
        <w:t>万</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（不含流失量，下同）</w:t>
      </w:r>
      <w:r>
        <w:rPr>
          <w:rFonts w:ascii="Times New Roman" w:eastAsia="宋体" w:hAnsi="Times New Roman" w:cs="Times New Roman"/>
          <w:sz w:val="24"/>
          <w:szCs w:val="24"/>
        </w:rPr>
        <w:t>已由转运坑吹填至南安市海峡科技生态城</w:t>
      </w:r>
      <w:r>
        <w:rPr>
          <w:rFonts w:ascii="Times New Roman" w:eastAsia="宋体" w:hAnsi="Times New Roman" w:cs="Times New Roman"/>
          <w:sz w:val="24"/>
          <w:szCs w:val="24"/>
        </w:rPr>
        <w:t>A6</w:t>
      </w:r>
      <w:r>
        <w:rPr>
          <w:rFonts w:ascii="Times New Roman" w:eastAsia="宋体" w:hAnsi="Times New Roman" w:cs="Times New Roman"/>
          <w:sz w:val="24"/>
          <w:szCs w:val="24"/>
        </w:rPr>
        <w:t>、</w:t>
      </w:r>
      <w:r>
        <w:rPr>
          <w:rFonts w:ascii="Times New Roman" w:eastAsia="宋体" w:hAnsi="Times New Roman" w:cs="Times New Roman"/>
          <w:sz w:val="24"/>
          <w:szCs w:val="24"/>
        </w:rPr>
        <w:t>A7</w:t>
      </w:r>
      <w:r>
        <w:rPr>
          <w:rFonts w:ascii="Times New Roman" w:eastAsia="宋体" w:hAnsi="Times New Roman" w:cs="Times New Roman"/>
          <w:sz w:val="24"/>
          <w:szCs w:val="24"/>
        </w:rPr>
        <w:t>片区综合利用，</w:t>
      </w:r>
      <w:r>
        <w:rPr>
          <w:rFonts w:ascii="Times New Roman" w:eastAsia="宋体" w:hAnsi="Times New Roman" w:cs="Times New Roman"/>
          <w:sz w:val="24"/>
          <w:szCs w:val="24"/>
        </w:rPr>
        <w:t>3</w:t>
      </w:r>
      <w:r>
        <w:rPr>
          <w:rFonts w:ascii="Times New Roman" w:eastAsia="宋体" w:hAnsi="Times New Roman" w:cs="Times New Roman" w:hint="eastAsia"/>
          <w:sz w:val="24"/>
          <w:szCs w:val="24"/>
        </w:rPr>
        <w:t>7.05</w:t>
      </w:r>
      <w:r>
        <w:rPr>
          <w:rFonts w:ascii="Times New Roman" w:eastAsia="宋体" w:hAnsi="Times New Roman" w:cs="Times New Roman"/>
          <w:sz w:val="24"/>
          <w:szCs w:val="24"/>
        </w:rPr>
        <w:t>万</w:t>
      </w:r>
      <w:r>
        <w:rPr>
          <w:rFonts w:ascii="Times New Roman" w:eastAsia="宋体" w:hAnsi="Times New Roman" w:cs="Times New Roman"/>
          <w:sz w:val="24"/>
          <w:szCs w:val="24"/>
        </w:rPr>
        <w:t>m</w:t>
      </w:r>
      <w:r>
        <w:rPr>
          <w:rFonts w:ascii="Times New Roman" w:eastAsia="宋体" w:hAnsi="Times New Roman" w:cs="Times New Roman"/>
          <w:color w:val="000000"/>
          <w:sz w:val="24"/>
          <w:szCs w:val="24"/>
        </w:rPr>
        <w:t>³</w:t>
      </w:r>
      <w:r w:rsidRPr="00A3460E">
        <w:rPr>
          <w:rFonts w:ascii="Times New Roman" w:eastAsia="宋体" w:hAnsi="Times New Roman" w:cs="Times New Roman" w:hint="eastAsia"/>
          <w:sz w:val="24"/>
          <w:szCs w:val="24"/>
        </w:rPr>
        <w:t>已</w:t>
      </w:r>
      <w:r>
        <w:rPr>
          <w:rFonts w:ascii="Times New Roman" w:eastAsia="宋体" w:hAnsi="Times New Roman" w:cs="Times New Roman"/>
          <w:sz w:val="24"/>
          <w:szCs w:val="24"/>
        </w:rPr>
        <w:t>堆存于转运坑内，作为恢复转运坑原有地形的物料</w:t>
      </w:r>
      <w:r>
        <w:rPr>
          <w:rFonts w:ascii="Times New Roman" w:eastAsia="宋体" w:hAnsi="Times New Roman" w:cs="Times New Roman" w:hint="eastAsia"/>
          <w:color w:val="000000"/>
          <w:sz w:val="24"/>
          <w:szCs w:val="24"/>
        </w:rPr>
        <w:t>。</w:t>
      </w:r>
      <w:bookmarkStart w:id="4" w:name="_Hlk219986211"/>
      <w:r>
        <w:rPr>
          <w:rFonts w:ascii="Times New Roman" w:eastAsia="宋体" w:hAnsi="Times New Roman" w:cs="Times New Roman" w:hint="eastAsia"/>
          <w:snapToGrid w:val="0"/>
          <w:color w:val="000000"/>
          <w:sz w:val="24"/>
          <w:szCs w:val="24"/>
        </w:rPr>
        <w:t>根据中交水利水电建设有限公司</w:t>
      </w:r>
      <w:r>
        <w:rPr>
          <w:rFonts w:ascii="Times New Roman" w:eastAsia="宋体" w:hAnsi="Times New Roman" w:cs="Times New Roman" w:hint="eastAsia"/>
          <w:color w:val="000000"/>
          <w:sz w:val="24"/>
          <w:szCs w:val="24"/>
        </w:rPr>
        <w:t>《转运坑纳泥量和航道二期主航道剩余疏浚量匹配说明》，转运坑尚有</w:t>
      </w:r>
      <w:r>
        <w:rPr>
          <w:rFonts w:ascii="Times New Roman" w:eastAsia="宋体" w:hAnsi="Times New Roman" w:cs="Times New Roman"/>
          <w:color w:val="000000"/>
          <w:sz w:val="24"/>
          <w:szCs w:val="24"/>
        </w:rPr>
        <w:t>91.3</w:t>
      </w:r>
      <w:r>
        <w:rPr>
          <w:rFonts w:ascii="Times New Roman" w:eastAsia="宋体" w:hAnsi="Times New Roman" w:cs="Times New Roman" w:hint="eastAsia"/>
          <w:color w:val="000000"/>
          <w:sz w:val="24"/>
          <w:szCs w:val="24"/>
        </w:rPr>
        <w:t>万</w:t>
      </w:r>
      <w:r>
        <w:rPr>
          <w:rFonts w:ascii="Times New Roman" w:eastAsia="宋体" w:hAnsi="Times New Roman" w:cs="Times New Roman"/>
          <w:color w:val="000000"/>
          <w:sz w:val="24"/>
          <w:szCs w:val="24"/>
        </w:rPr>
        <w:t>m³</w:t>
      </w:r>
      <w:r>
        <w:rPr>
          <w:rFonts w:ascii="Times New Roman" w:eastAsia="宋体" w:hAnsi="Times New Roman" w:cs="Times New Roman" w:hint="eastAsia"/>
          <w:color w:val="000000"/>
          <w:sz w:val="24"/>
          <w:szCs w:val="24"/>
        </w:rPr>
        <w:t>的纳泥空间，足够接纳</w:t>
      </w:r>
      <w:r>
        <w:rPr>
          <w:rFonts w:ascii="Times New Roman" w:eastAsia="宋体" w:hAnsi="Times New Roman" w:cs="Times New Roman"/>
          <w:color w:val="000000"/>
          <w:sz w:val="24"/>
          <w:szCs w:val="24"/>
        </w:rPr>
        <w:t>围头湾石井航道二期工程</w:t>
      </w:r>
      <w:r>
        <w:rPr>
          <w:rFonts w:ascii="Times New Roman" w:eastAsia="宋体" w:hAnsi="Times New Roman" w:cs="Times New Roman" w:hint="eastAsia"/>
          <w:color w:val="000000"/>
          <w:sz w:val="24"/>
          <w:szCs w:val="24"/>
        </w:rPr>
        <w:t>主航道</w:t>
      </w:r>
      <w:r>
        <w:rPr>
          <w:rFonts w:ascii="Times New Roman" w:eastAsia="宋体" w:hAnsi="Times New Roman" w:cs="Times New Roman"/>
          <w:color w:val="000000"/>
          <w:sz w:val="24"/>
          <w:szCs w:val="24"/>
        </w:rPr>
        <w:t>约</w:t>
      </w:r>
      <w:r>
        <w:rPr>
          <w:rFonts w:ascii="Times New Roman" w:eastAsia="宋体" w:hAnsi="Times New Roman" w:cs="Times New Roman"/>
          <w:color w:val="000000"/>
          <w:sz w:val="24"/>
          <w:szCs w:val="24"/>
        </w:rPr>
        <w:t>30.9</w:t>
      </w:r>
      <w:r>
        <w:rPr>
          <w:rFonts w:ascii="Times New Roman" w:eastAsia="宋体" w:hAnsi="Times New Roman" w:cs="Times New Roman"/>
          <w:color w:val="000000"/>
          <w:sz w:val="24"/>
          <w:szCs w:val="24"/>
        </w:rPr>
        <w:t>万</w:t>
      </w:r>
      <w:r>
        <w:rPr>
          <w:rFonts w:ascii="Times New Roman" w:eastAsia="宋体" w:hAnsi="Times New Roman" w:cs="Times New Roman"/>
          <w:color w:val="000000"/>
          <w:sz w:val="24"/>
          <w:szCs w:val="24"/>
        </w:rPr>
        <w:t>m</w:t>
      </w:r>
      <w:r>
        <w:rPr>
          <w:rFonts w:ascii="Times New Roman" w:eastAsia="宋体" w:hAnsi="Times New Roman" w:cs="Times New Roman"/>
          <w:color w:val="000000"/>
          <w:sz w:val="24"/>
          <w:szCs w:val="24"/>
          <w:vertAlign w:val="superscript"/>
        </w:rPr>
        <w:t>3</w:t>
      </w:r>
      <w:r>
        <w:rPr>
          <w:rFonts w:ascii="Times New Roman" w:eastAsia="宋体" w:hAnsi="Times New Roman" w:cs="Times New Roman"/>
          <w:color w:val="000000"/>
          <w:sz w:val="24"/>
          <w:szCs w:val="24"/>
        </w:rPr>
        <w:t>的剩余疏浚物（考虑松散膨胀系数后所需容积量</w:t>
      </w:r>
      <w:r>
        <w:rPr>
          <w:rFonts w:ascii="Times New Roman" w:eastAsia="宋体" w:hAnsi="Times New Roman" w:cs="Times New Roman"/>
          <w:color w:val="000000"/>
          <w:sz w:val="24"/>
          <w:szCs w:val="24"/>
        </w:rPr>
        <w:t>34</w:t>
      </w:r>
      <w:r>
        <w:rPr>
          <w:rFonts w:ascii="Times New Roman" w:eastAsia="宋体" w:hAnsi="Times New Roman" w:cs="Times New Roman"/>
          <w:color w:val="000000"/>
          <w:sz w:val="24"/>
          <w:szCs w:val="24"/>
        </w:rPr>
        <w:t>万</w:t>
      </w:r>
      <w:r>
        <w:rPr>
          <w:rFonts w:ascii="Times New Roman" w:eastAsia="宋体" w:hAnsi="Times New Roman" w:cs="Times New Roman"/>
          <w:color w:val="000000"/>
          <w:sz w:val="24"/>
          <w:szCs w:val="24"/>
        </w:rPr>
        <w:t>m³</w:t>
      </w:r>
      <w:r>
        <w:rPr>
          <w:rFonts w:ascii="Times New Roman" w:eastAsia="宋体" w:hAnsi="Times New Roman" w:cs="Times New Roman"/>
          <w:color w:val="000000"/>
          <w:sz w:val="24"/>
          <w:szCs w:val="24"/>
        </w:rPr>
        <w:t>），</w:t>
      </w:r>
      <w:r>
        <w:rPr>
          <w:rFonts w:ascii="Times New Roman" w:eastAsia="宋体" w:hAnsi="Times New Roman" w:cs="Times New Roman" w:hint="eastAsia"/>
          <w:color w:val="000000"/>
          <w:sz w:val="24"/>
          <w:szCs w:val="24"/>
        </w:rPr>
        <w:t>航道</w:t>
      </w:r>
      <w:r>
        <w:rPr>
          <w:rFonts w:ascii="Times New Roman" w:eastAsia="宋体" w:hAnsi="Times New Roman" w:cs="Times New Roman"/>
          <w:color w:val="000000"/>
          <w:sz w:val="24"/>
          <w:szCs w:val="24"/>
        </w:rPr>
        <w:t>后续疏浚物</w:t>
      </w:r>
      <w:r>
        <w:rPr>
          <w:rFonts w:ascii="Times New Roman" w:eastAsia="宋体" w:hAnsi="Times New Roman" w:cs="Times New Roman"/>
          <w:snapToGrid w:val="0"/>
          <w:color w:val="000000"/>
          <w:sz w:val="24"/>
          <w:szCs w:val="24"/>
        </w:rPr>
        <w:t>将用于恢复转运坑地形，不再吹填至后方陆域。</w:t>
      </w:r>
      <w:bookmarkEnd w:id="4"/>
      <w:r>
        <w:rPr>
          <w:rFonts w:ascii="Times New Roman" w:eastAsia="宋体" w:hAnsi="Times New Roman" w:cs="Times New Roman"/>
          <w:snapToGrid w:val="0"/>
          <w:color w:val="000000"/>
          <w:sz w:val="24"/>
          <w:szCs w:val="24"/>
        </w:rPr>
        <w:t>因此，本次仅进行转运坑的地形恢复，申请用海为原转运坑范围，不再申请连接通道和吹泥管道用海。</w:t>
      </w:r>
    </w:p>
    <w:p w14:paraId="462BCD4E" w14:textId="77777777" w:rsidR="00EB6ADA" w:rsidRDefault="00000000">
      <w:pPr>
        <w:spacing w:line="360" w:lineRule="auto"/>
        <w:ind w:firstLineChars="200" w:firstLine="480"/>
        <w:rPr>
          <w:rFonts w:ascii="Times New Roman" w:eastAsia="宋体" w:hAnsi="Times New Roman" w:cs="Times New Roman"/>
          <w:snapToGrid w:val="0"/>
          <w:color w:val="000000"/>
          <w:sz w:val="24"/>
          <w:szCs w:val="24"/>
        </w:rPr>
      </w:pPr>
      <w:r>
        <w:rPr>
          <w:rFonts w:ascii="Times New Roman" w:eastAsia="宋体" w:hAnsi="Times New Roman" w:cs="Times New Roman"/>
          <w:snapToGrid w:val="0"/>
          <w:color w:val="000000"/>
          <w:sz w:val="24"/>
          <w:szCs w:val="24"/>
        </w:rPr>
        <w:t>我所论证项目组在资料收集、现场踏勘、专题研究的基础上，依据《海域使用论证技术导则》（</w:t>
      </w:r>
      <w:r>
        <w:rPr>
          <w:rFonts w:ascii="Times New Roman" w:eastAsia="宋体" w:hAnsi="Times New Roman" w:cs="Times New Roman"/>
          <w:snapToGrid w:val="0"/>
          <w:color w:val="000000"/>
          <w:sz w:val="24"/>
          <w:szCs w:val="24"/>
        </w:rPr>
        <w:t>GB/T42361-2023</w:t>
      </w:r>
      <w:r>
        <w:rPr>
          <w:rFonts w:ascii="Times New Roman" w:eastAsia="宋体" w:hAnsi="Times New Roman" w:cs="Times New Roman"/>
          <w:snapToGrid w:val="0"/>
          <w:color w:val="000000"/>
          <w:sz w:val="24"/>
          <w:szCs w:val="24"/>
        </w:rPr>
        <w:t>）、开发利用现状、工程实际实施情况，编制完成《泉州围头湾石井航道二期工程疏浚物综合处置配套项目海域使用论证报告</w:t>
      </w:r>
      <w:r>
        <w:rPr>
          <w:rFonts w:ascii="Times New Roman" w:eastAsia="宋体" w:hAnsi="Times New Roman" w:cs="Times New Roman" w:hint="eastAsia"/>
          <w:snapToGrid w:val="0"/>
          <w:color w:val="000000"/>
          <w:sz w:val="24"/>
          <w:szCs w:val="24"/>
        </w:rPr>
        <w:t>表</w:t>
      </w:r>
      <w:r>
        <w:rPr>
          <w:rFonts w:ascii="Times New Roman" w:eastAsia="宋体" w:hAnsi="Times New Roman" w:cs="Times New Roman"/>
          <w:snapToGrid w:val="0"/>
          <w:color w:val="000000"/>
          <w:sz w:val="24"/>
          <w:szCs w:val="24"/>
        </w:rPr>
        <w:t>（送审稿）》。</w:t>
      </w:r>
    </w:p>
    <w:p w14:paraId="19700307" w14:textId="77777777" w:rsidR="00EB6ADA" w:rsidRDefault="00000000">
      <w:pPr>
        <w:pStyle w:val="2"/>
      </w:pPr>
      <w:bookmarkStart w:id="5" w:name="_Toc224053279"/>
      <w:r>
        <w:rPr>
          <w:rFonts w:hint="eastAsia"/>
        </w:rPr>
        <w:t>1.2</w:t>
      </w:r>
      <w:r>
        <w:t>项目用海基本情况</w:t>
      </w:r>
      <w:bookmarkEnd w:id="5"/>
    </w:p>
    <w:p w14:paraId="7930E746" w14:textId="77777777" w:rsidR="00EB6ADA" w:rsidRDefault="00000000">
      <w:pPr>
        <w:pStyle w:val="3"/>
      </w:pPr>
      <w:r>
        <w:rPr>
          <w:rFonts w:hint="eastAsia"/>
        </w:rPr>
        <w:t>1.2.1</w:t>
      </w:r>
      <w:r>
        <w:rPr>
          <w:rFonts w:hint="eastAsia"/>
        </w:rPr>
        <w:t>项目基本情况</w:t>
      </w:r>
    </w:p>
    <w:p w14:paraId="6425706C" w14:textId="77777777" w:rsidR="00EB6ADA" w:rsidRDefault="00000000">
      <w:pPr>
        <w:pStyle w:val="10"/>
        <w:ind w:firstLine="480"/>
        <w:rPr>
          <w:rFonts w:cs="Times New Roman"/>
        </w:rPr>
      </w:pPr>
      <w:r>
        <w:rPr>
          <w:rFonts w:cs="Times New Roman"/>
        </w:rPr>
        <w:t>项目名称：泉州围头湾石井航道二期工程疏浚物综合处置配套项目</w:t>
      </w:r>
    </w:p>
    <w:p w14:paraId="0B56D327" w14:textId="207E0A50" w:rsidR="00EB6ADA" w:rsidRDefault="00000000">
      <w:pPr>
        <w:pStyle w:val="10"/>
        <w:ind w:firstLine="480"/>
        <w:rPr>
          <w:rFonts w:cs="Times New Roman"/>
        </w:rPr>
      </w:pPr>
      <w:r>
        <w:rPr>
          <w:rFonts w:cs="Times New Roman"/>
        </w:rPr>
        <w:t>建设单位：</w:t>
      </w:r>
      <w:r>
        <w:rPr>
          <w:rFonts w:cs="Times New Roman" w:hint="eastAsia"/>
          <w:color w:val="000000"/>
          <w:szCs w:val="24"/>
        </w:rPr>
        <w:t>泉州市南翼置业发展集团有限责任公司</w:t>
      </w:r>
    </w:p>
    <w:p w14:paraId="1CEF3292" w14:textId="77777777" w:rsidR="00EB6ADA" w:rsidRDefault="00000000">
      <w:pPr>
        <w:pStyle w:val="10"/>
        <w:ind w:firstLine="480"/>
        <w:rPr>
          <w:rFonts w:cs="Times New Roman"/>
        </w:rPr>
      </w:pPr>
      <w:r>
        <w:rPr>
          <w:rFonts w:cs="Times New Roman"/>
        </w:rPr>
        <w:lastRenderedPageBreak/>
        <w:t>地理位置：项目位于围头湾海域，菊江支航道南侧，地处福建省南安市石井镇南侧海域。工程位置见图</w:t>
      </w:r>
      <w:r>
        <w:rPr>
          <w:rFonts w:cs="Times New Roman" w:hint="eastAsia"/>
        </w:rPr>
        <w:t>1</w:t>
      </w:r>
      <w:r>
        <w:rPr>
          <w:rFonts w:cs="Times New Roman"/>
        </w:rPr>
        <w:t>.</w:t>
      </w:r>
      <w:r>
        <w:rPr>
          <w:rFonts w:cs="Times New Roman" w:hint="eastAsia"/>
        </w:rPr>
        <w:t>2</w:t>
      </w:r>
      <w:r>
        <w:rPr>
          <w:rFonts w:cs="Times New Roman"/>
        </w:rPr>
        <w:t>-1</w:t>
      </w:r>
      <w:r>
        <w:rPr>
          <w:rFonts w:cs="Times New Roman"/>
        </w:rPr>
        <w:t>。</w:t>
      </w:r>
    </w:p>
    <w:p w14:paraId="1F73D5BF" w14:textId="1E5E7515" w:rsidR="00EB6ADA" w:rsidRDefault="00000000" w:rsidP="00A3460E">
      <w:pPr>
        <w:pStyle w:val="10"/>
        <w:ind w:firstLineChars="0" w:firstLine="0"/>
        <w:jc w:val="center"/>
        <w:rPr>
          <w:rFonts w:cs="Times New Roman"/>
        </w:rPr>
      </w:pPr>
      <w:r>
        <w:rPr>
          <w:rFonts w:cs="Times New Roman"/>
          <w:noProof/>
        </w:rPr>
        <w:drawing>
          <wp:inline distT="0" distB="0" distL="0" distR="0" wp14:anchorId="74CDD911" wp14:editId="180D5551">
            <wp:extent cx="6120130" cy="4328795"/>
            <wp:effectExtent l="0" t="0" r="0" b="0"/>
            <wp:docPr id="7446164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47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20130" cy="4328795"/>
                    </a:xfrm>
                    <a:prstGeom prst="rect">
                      <a:avLst/>
                    </a:prstGeom>
                    <a:noFill/>
                    <a:ln>
                      <a:noFill/>
                    </a:ln>
                  </pic:spPr>
                </pic:pic>
              </a:graphicData>
            </a:graphic>
          </wp:inline>
        </w:drawing>
      </w:r>
    </w:p>
    <w:p w14:paraId="39DBB789" w14:textId="77777777" w:rsidR="00EB6ADA" w:rsidRDefault="00000000">
      <w:pPr>
        <w:pStyle w:val="10"/>
        <w:ind w:firstLineChars="0" w:firstLine="0"/>
        <w:jc w:val="center"/>
        <w:rPr>
          <w:rFonts w:cs="Times New Roman"/>
        </w:rPr>
      </w:pPr>
      <w:r>
        <w:rPr>
          <w:rFonts w:cs="Times New Roman"/>
        </w:rPr>
        <w:t>图</w:t>
      </w:r>
      <w:r>
        <w:rPr>
          <w:rFonts w:cs="Times New Roman" w:hint="eastAsia"/>
        </w:rPr>
        <w:t>1</w:t>
      </w:r>
      <w:r>
        <w:rPr>
          <w:rFonts w:cs="Times New Roman"/>
        </w:rPr>
        <w:t>.</w:t>
      </w:r>
      <w:r>
        <w:rPr>
          <w:rFonts w:cs="Times New Roman" w:hint="eastAsia"/>
        </w:rPr>
        <w:t>2</w:t>
      </w:r>
      <w:r>
        <w:rPr>
          <w:rFonts w:cs="Times New Roman"/>
        </w:rPr>
        <w:t xml:space="preserve">-1 </w:t>
      </w:r>
      <w:r>
        <w:rPr>
          <w:rFonts w:cs="Times New Roman"/>
        </w:rPr>
        <w:t>地理位置图</w:t>
      </w:r>
    </w:p>
    <w:p w14:paraId="3D1CD09F" w14:textId="77777777" w:rsidR="00EB6ADA" w:rsidRDefault="00000000">
      <w:pPr>
        <w:pStyle w:val="10"/>
        <w:ind w:firstLine="482"/>
        <w:rPr>
          <w:rFonts w:cs="Times New Roman"/>
        </w:rPr>
      </w:pPr>
      <w:r>
        <w:rPr>
          <w:rFonts w:cs="Times New Roman"/>
          <w:b/>
          <w:bCs/>
        </w:rPr>
        <w:t>（</w:t>
      </w:r>
      <w:r>
        <w:rPr>
          <w:rFonts w:cs="Times New Roman"/>
          <w:b/>
          <w:bCs/>
        </w:rPr>
        <w:t>1</w:t>
      </w:r>
      <w:r>
        <w:rPr>
          <w:rFonts w:cs="Times New Roman"/>
          <w:b/>
          <w:bCs/>
        </w:rPr>
        <w:t>）</w:t>
      </w:r>
      <w:r>
        <w:rPr>
          <w:rFonts w:cs="Times New Roman" w:hint="eastAsia"/>
          <w:b/>
          <w:bCs/>
        </w:rPr>
        <w:t>项目</w:t>
      </w:r>
      <w:r>
        <w:rPr>
          <w:rFonts w:cs="Times New Roman"/>
          <w:b/>
          <w:bCs/>
        </w:rPr>
        <w:t>原建设内容及规模</w:t>
      </w:r>
    </w:p>
    <w:p w14:paraId="157C330A" w14:textId="28BE6E30" w:rsidR="00EB6ADA" w:rsidRDefault="00000000">
      <w:pPr>
        <w:pStyle w:val="10"/>
        <w:ind w:firstLine="480"/>
        <w:rPr>
          <w:rFonts w:cs="Times New Roman"/>
          <w:color w:val="000000"/>
          <w:szCs w:val="24"/>
        </w:rPr>
      </w:pPr>
      <w:r>
        <w:rPr>
          <w:rFonts w:cs="Times New Roman" w:hint="eastAsia"/>
        </w:rPr>
        <w:t>泉州围头湾石井航道二期工程疏浚物综合处置配套</w:t>
      </w:r>
      <w:r>
        <w:rPr>
          <w:rFonts w:cs="Times New Roman"/>
        </w:rPr>
        <w:t>项目在菊江航道南侧设置长</w:t>
      </w:r>
      <w:r>
        <w:rPr>
          <w:rFonts w:cs="Times New Roman"/>
        </w:rPr>
        <w:t>650m</w:t>
      </w:r>
      <w:r>
        <w:rPr>
          <w:rFonts w:cs="Times New Roman"/>
        </w:rPr>
        <w:t>（坡底尺度，下同）、宽</w:t>
      </w:r>
      <w:r>
        <w:rPr>
          <w:rFonts w:cs="Times New Roman"/>
        </w:rPr>
        <w:t>260m</w:t>
      </w:r>
      <w:r>
        <w:rPr>
          <w:rFonts w:cs="Times New Roman"/>
        </w:rPr>
        <w:t>、设计底标高</w:t>
      </w:r>
      <w:r>
        <w:rPr>
          <w:rFonts w:cs="Times New Roman"/>
        </w:rPr>
        <w:t>-</w:t>
      </w:r>
      <w:r>
        <w:rPr>
          <w:rFonts w:cs="Times New Roman" w:hint="eastAsia"/>
        </w:rPr>
        <w:t>9</w:t>
      </w:r>
      <w:r>
        <w:rPr>
          <w:rFonts w:cs="Times New Roman"/>
        </w:rPr>
        <w:t>.0m</w:t>
      </w:r>
      <w:r>
        <w:rPr>
          <w:rFonts w:cs="Times New Roman" w:hint="eastAsia"/>
        </w:rPr>
        <w:t>（当地理论最低潮面，下同）</w:t>
      </w:r>
      <w:r>
        <w:rPr>
          <w:rFonts w:cs="Times New Roman"/>
        </w:rPr>
        <w:t>的转运坑，长</w:t>
      </w:r>
      <w:r>
        <w:rPr>
          <w:rFonts w:cs="Times New Roman"/>
        </w:rPr>
        <w:t>150m</w:t>
      </w:r>
      <w:r>
        <w:rPr>
          <w:rFonts w:cs="Times New Roman"/>
        </w:rPr>
        <w:t>、宽</w:t>
      </w:r>
      <w:r>
        <w:rPr>
          <w:rFonts w:cs="Times New Roman"/>
        </w:rPr>
        <w:t>130m</w:t>
      </w:r>
      <w:r>
        <w:rPr>
          <w:rFonts w:cs="Times New Roman"/>
        </w:rPr>
        <w:t>、设计底标高</w:t>
      </w:r>
      <w:r>
        <w:rPr>
          <w:rFonts w:cs="Times New Roman"/>
        </w:rPr>
        <w:t>-7.0m</w:t>
      </w:r>
      <w:r>
        <w:rPr>
          <w:rFonts w:cs="Times New Roman"/>
        </w:rPr>
        <w:t>的连接通道</w:t>
      </w:r>
      <w:r>
        <w:rPr>
          <w:rFonts w:cs="Times New Roman" w:hint="eastAsia"/>
        </w:rPr>
        <w:t>。</w:t>
      </w:r>
      <w:r>
        <w:rPr>
          <w:rFonts w:cs="Times New Roman"/>
        </w:rPr>
        <w:t>将泉州围头湾石井航道二期工程疏浚物经石井航道</w:t>
      </w:r>
      <w:r>
        <w:rPr>
          <w:rFonts w:cs="Times New Roman"/>
        </w:rPr>
        <w:t>-</w:t>
      </w:r>
      <w:r>
        <w:rPr>
          <w:rFonts w:cs="Times New Roman"/>
        </w:rPr>
        <w:t>菊江航道</w:t>
      </w:r>
      <w:r>
        <w:rPr>
          <w:rFonts w:cs="Times New Roman"/>
        </w:rPr>
        <w:t>-</w:t>
      </w:r>
      <w:r>
        <w:rPr>
          <w:rFonts w:cs="Times New Roman"/>
        </w:rPr>
        <w:t>连接通道运至转运坑，再通过一根管径为</w:t>
      </w:r>
      <w:r>
        <w:rPr>
          <w:rFonts w:cs="Times New Roman"/>
        </w:rPr>
        <w:t>0.8m</w:t>
      </w:r>
      <w:r>
        <w:rPr>
          <w:rFonts w:cs="Times New Roman"/>
        </w:rPr>
        <w:t>的吹填管线将物料吹填至海峡科技</w:t>
      </w:r>
      <w:r>
        <w:rPr>
          <w:rFonts w:cs="Times New Roman"/>
          <w:color w:val="000000" w:themeColor="text1"/>
        </w:rPr>
        <w:t>生态城</w:t>
      </w:r>
      <w:r>
        <w:rPr>
          <w:rFonts w:cs="Times New Roman"/>
          <w:color w:val="000000" w:themeColor="text1"/>
        </w:rPr>
        <w:t>A</w:t>
      </w:r>
      <w:r>
        <w:rPr>
          <w:rFonts w:cs="Times New Roman"/>
          <w:color w:val="000000" w:themeColor="text1"/>
        </w:rPr>
        <w:t>片区。卸泥前对</w:t>
      </w:r>
      <w:r>
        <w:rPr>
          <w:rFonts w:cs="Times New Roman"/>
          <w:color w:val="000000" w:themeColor="text1"/>
          <w:szCs w:val="24"/>
        </w:rPr>
        <w:t>转运坑和连接通道进行疏浚挖深，以满足船舶通行和卸泥需要</w:t>
      </w:r>
      <w:r>
        <w:rPr>
          <w:rFonts w:cs="Times New Roman" w:hint="eastAsia"/>
          <w:color w:val="000000" w:themeColor="text1"/>
          <w:szCs w:val="24"/>
        </w:rPr>
        <w:t>，疏浚量约</w:t>
      </w:r>
      <w:r>
        <w:rPr>
          <w:rFonts w:cs="Times New Roman" w:hint="eastAsia"/>
          <w:color w:val="000000" w:themeColor="text1"/>
          <w:szCs w:val="24"/>
        </w:rPr>
        <w:t>173.6</w:t>
      </w:r>
      <w:r>
        <w:rPr>
          <w:rFonts w:cs="Times New Roman"/>
          <w:color w:val="000000"/>
          <w:kern w:val="0"/>
          <w:szCs w:val="21"/>
        </w:rPr>
        <w:t>万</w:t>
      </w:r>
      <w:r>
        <w:rPr>
          <w:rFonts w:cs="Times New Roman"/>
          <w:color w:val="000000"/>
          <w:kern w:val="0"/>
          <w:szCs w:val="21"/>
        </w:rPr>
        <w:t>m</w:t>
      </w:r>
      <w:r>
        <w:rPr>
          <w:rFonts w:cs="Times New Roman"/>
          <w:color w:val="000000"/>
          <w:kern w:val="0"/>
          <w:szCs w:val="21"/>
          <w:vertAlign w:val="superscript"/>
        </w:rPr>
        <w:t>3</w:t>
      </w:r>
      <w:r>
        <w:rPr>
          <w:rFonts w:cs="Times New Roman"/>
          <w:color w:val="000000" w:themeColor="text1"/>
          <w:szCs w:val="24"/>
        </w:rPr>
        <w:t>；</w:t>
      </w:r>
      <w:r>
        <w:rPr>
          <w:rFonts w:cs="Times New Roman"/>
          <w:color w:val="000000"/>
        </w:rPr>
        <w:t>最后施工完后拟恢复转运坑</w:t>
      </w:r>
      <w:r>
        <w:rPr>
          <w:rFonts w:cs="Times New Roman" w:hint="eastAsia"/>
          <w:color w:val="000000"/>
        </w:rPr>
        <w:t>地形</w:t>
      </w:r>
      <w:r>
        <w:rPr>
          <w:rFonts w:cs="Times New Roman"/>
          <w:color w:val="000000"/>
          <w:szCs w:val="24"/>
        </w:rPr>
        <w:t>。</w:t>
      </w:r>
    </w:p>
    <w:p w14:paraId="58BEC0DA" w14:textId="77777777" w:rsidR="00EB6ADA" w:rsidRDefault="00000000">
      <w:pPr>
        <w:pStyle w:val="10"/>
        <w:keepNext/>
        <w:ind w:firstLine="482"/>
        <w:rPr>
          <w:rFonts w:cs="Times New Roman"/>
          <w:b/>
          <w:bCs/>
        </w:rPr>
      </w:pPr>
      <w:r>
        <w:rPr>
          <w:rFonts w:cs="Times New Roman"/>
          <w:b/>
          <w:bCs/>
        </w:rPr>
        <w:t>（</w:t>
      </w:r>
      <w:r>
        <w:rPr>
          <w:rFonts w:cs="Times New Roman"/>
          <w:b/>
          <w:bCs/>
        </w:rPr>
        <w:t>2</w:t>
      </w:r>
      <w:r>
        <w:rPr>
          <w:rFonts w:cs="Times New Roman"/>
          <w:b/>
          <w:bCs/>
        </w:rPr>
        <w:t>）后续建设内容及规模</w:t>
      </w:r>
    </w:p>
    <w:p w14:paraId="28F94A35" w14:textId="2C95ECD3" w:rsidR="00EB6ADA" w:rsidRDefault="00000000">
      <w:pPr>
        <w:pStyle w:val="10"/>
        <w:ind w:firstLine="480"/>
        <w:rPr>
          <w:rFonts w:cs="Times New Roman"/>
        </w:rPr>
      </w:pPr>
      <w:r>
        <w:rPr>
          <w:rFonts w:cs="Times New Roman"/>
          <w:szCs w:val="24"/>
        </w:rPr>
        <w:t>目前转运坑已完成其疏浚物中转功能，后续将利用</w:t>
      </w:r>
      <w:r>
        <w:rPr>
          <w:rFonts w:cs="Times New Roman"/>
        </w:rPr>
        <w:t>石井航道二期工程疏浚物</w:t>
      </w:r>
      <w:r>
        <w:rPr>
          <w:rFonts w:cs="Times New Roman"/>
          <w:szCs w:val="24"/>
        </w:rPr>
        <w:t>恢复地形，疏浚物</w:t>
      </w:r>
      <w:r>
        <w:rPr>
          <w:rFonts w:cs="Times New Roman"/>
          <w:snapToGrid w:val="0"/>
          <w:color w:val="000000"/>
          <w:szCs w:val="24"/>
        </w:rPr>
        <w:t>不再吹填至后方陆域。转运坑尺度为</w:t>
      </w:r>
      <w:r>
        <w:rPr>
          <w:rFonts w:cs="Times New Roman"/>
          <w:snapToGrid w:val="0"/>
          <w:color w:val="000000"/>
          <w:szCs w:val="24"/>
        </w:rPr>
        <w:t>650×260m</w:t>
      </w:r>
      <w:r>
        <w:rPr>
          <w:rFonts w:cs="Times New Roman"/>
          <w:snapToGrid w:val="0"/>
          <w:color w:val="000000"/>
          <w:szCs w:val="24"/>
        </w:rPr>
        <w:t>，根据</w:t>
      </w:r>
      <w:r>
        <w:rPr>
          <w:rFonts w:cs="Times New Roman"/>
          <w:snapToGrid w:val="0"/>
          <w:color w:val="000000"/>
          <w:szCs w:val="24"/>
        </w:rPr>
        <w:t>2026</w:t>
      </w:r>
      <w:r>
        <w:rPr>
          <w:rFonts w:cs="Times New Roman"/>
          <w:snapToGrid w:val="0"/>
          <w:color w:val="000000"/>
          <w:szCs w:val="24"/>
        </w:rPr>
        <w:t>年</w:t>
      </w:r>
      <w:r>
        <w:rPr>
          <w:rFonts w:cs="Times New Roman"/>
          <w:snapToGrid w:val="0"/>
          <w:color w:val="000000"/>
          <w:szCs w:val="24"/>
        </w:rPr>
        <w:t>1</w:t>
      </w:r>
      <w:r>
        <w:rPr>
          <w:rFonts w:cs="Times New Roman"/>
          <w:snapToGrid w:val="0"/>
          <w:color w:val="000000"/>
          <w:szCs w:val="24"/>
        </w:rPr>
        <w:t>月水深测量结果，现状泥面标高约</w:t>
      </w:r>
      <w:r>
        <w:rPr>
          <w:rFonts w:cs="Times New Roman" w:hint="eastAsia"/>
          <w:snapToGrid w:val="0"/>
          <w:color w:val="000000"/>
          <w:szCs w:val="24"/>
        </w:rPr>
        <w:t>-6.0m</w:t>
      </w:r>
      <w:r>
        <w:rPr>
          <w:rFonts w:cs="Times New Roman" w:hint="eastAsia"/>
          <w:snapToGrid w:val="0"/>
          <w:color w:val="000000"/>
          <w:szCs w:val="24"/>
        </w:rPr>
        <w:t>，石井航道二期工程</w:t>
      </w:r>
      <w:r>
        <w:rPr>
          <w:rFonts w:cs="Times New Roman"/>
          <w:snapToGrid w:val="0"/>
          <w:color w:val="000000"/>
          <w:szCs w:val="24"/>
        </w:rPr>
        <w:t>后续疏浚物</w:t>
      </w:r>
      <w:r>
        <w:rPr>
          <w:rFonts w:cs="Times New Roman"/>
          <w:snapToGrid w:val="0"/>
          <w:color w:val="000000"/>
          <w:szCs w:val="24"/>
        </w:rPr>
        <w:t>30.4</w:t>
      </w:r>
      <w:r>
        <w:rPr>
          <w:rFonts w:cs="Times New Roman"/>
          <w:snapToGrid w:val="0"/>
          <w:color w:val="000000"/>
          <w:szCs w:val="24"/>
        </w:rPr>
        <w:t>万</w:t>
      </w:r>
      <w:r>
        <w:rPr>
          <w:rFonts w:cs="Times New Roman"/>
          <w:snapToGrid w:val="0"/>
          <w:color w:val="000000"/>
          <w:szCs w:val="24"/>
        </w:rPr>
        <w:t>m³</w:t>
      </w:r>
      <w:r>
        <w:rPr>
          <w:rFonts w:cs="Times New Roman"/>
          <w:snapToGrid w:val="0"/>
          <w:color w:val="000000"/>
          <w:szCs w:val="24"/>
        </w:rPr>
        <w:t>抛卸后，转运坑泥面标高将达到</w:t>
      </w:r>
      <w:r>
        <w:rPr>
          <w:rFonts w:cs="Times New Roman"/>
        </w:rPr>
        <w:t>-4.0m</w:t>
      </w:r>
      <w:r>
        <w:rPr>
          <w:rFonts w:cs="Times New Roman"/>
        </w:rPr>
        <w:t>。</w:t>
      </w:r>
    </w:p>
    <w:p w14:paraId="7EA09304" w14:textId="77777777" w:rsidR="00EB6ADA" w:rsidRDefault="00000000">
      <w:pPr>
        <w:pStyle w:val="3"/>
        <w:rPr>
          <w:highlight w:val="yellow"/>
        </w:rPr>
      </w:pPr>
      <w:r>
        <w:rPr>
          <w:rFonts w:hint="eastAsia"/>
        </w:rPr>
        <w:lastRenderedPageBreak/>
        <w:t>1.</w:t>
      </w:r>
      <w:r>
        <w:t>2.2</w:t>
      </w:r>
      <w:r>
        <w:t>平面布置和主要结构、尺度</w:t>
      </w:r>
    </w:p>
    <w:p w14:paraId="7134F065" w14:textId="77777777" w:rsidR="00EB6ADA" w:rsidRDefault="00000000">
      <w:pPr>
        <w:pStyle w:val="10"/>
        <w:numPr>
          <w:ilvl w:val="0"/>
          <w:numId w:val="1"/>
        </w:numPr>
        <w:ind w:firstLine="480"/>
        <w:rPr>
          <w:rFonts w:cs="Times New Roman"/>
        </w:rPr>
      </w:pPr>
      <w:r>
        <w:rPr>
          <w:rFonts w:cs="Times New Roman"/>
        </w:rPr>
        <w:t>原平面布置及主要尺度</w:t>
      </w:r>
    </w:p>
    <w:p w14:paraId="16F73AEB" w14:textId="77777777" w:rsidR="00EB6ADA" w:rsidRDefault="00000000">
      <w:pPr>
        <w:pStyle w:val="10"/>
        <w:ind w:firstLine="480"/>
        <w:rPr>
          <w:rFonts w:cs="Times New Roman"/>
        </w:rPr>
      </w:pPr>
      <w:r>
        <w:rPr>
          <w:rFonts w:cs="Times New Roman"/>
        </w:rPr>
        <w:t>转运坑长</w:t>
      </w:r>
      <w:r>
        <w:rPr>
          <w:rFonts w:cs="Times New Roman"/>
        </w:rPr>
        <w:t>650m</w:t>
      </w:r>
      <w:r>
        <w:rPr>
          <w:rFonts w:cs="Times New Roman"/>
        </w:rPr>
        <w:t>，宽</w:t>
      </w:r>
      <w:r>
        <w:rPr>
          <w:rFonts w:cs="Times New Roman"/>
        </w:rPr>
        <w:t>260m</w:t>
      </w:r>
      <w:r>
        <w:rPr>
          <w:rFonts w:cs="Times New Roman"/>
        </w:rPr>
        <w:t>，位于菊江航道南侧；通过长</w:t>
      </w:r>
      <w:r>
        <w:rPr>
          <w:rFonts w:cs="Times New Roman"/>
        </w:rPr>
        <w:t>150</w:t>
      </w:r>
      <w:r>
        <w:rPr>
          <w:rFonts w:cs="Times New Roman"/>
        </w:rPr>
        <w:t>、宽</w:t>
      </w:r>
      <w:r>
        <w:rPr>
          <w:rFonts w:cs="Times New Roman"/>
        </w:rPr>
        <w:t>130m</w:t>
      </w:r>
      <w:r>
        <w:rPr>
          <w:rFonts w:cs="Times New Roman"/>
        </w:rPr>
        <w:t>的连接通道与菊江航道联通。</w:t>
      </w:r>
    </w:p>
    <w:p w14:paraId="259C1653" w14:textId="19070E8F" w:rsidR="00EB6ADA" w:rsidRDefault="00000000">
      <w:pPr>
        <w:pStyle w:val="10"/>
        <w:ind w:firstLine="480"/>
        <w:rPr>
          <w:rFonts w:cs="Times New Roman"/>
        </w:rPr>
      </w:pPr>
      <w:r>
        <w:rPr>
          <w:rFonts w:cs="Times New Roman"/>
        </w:rPr>
        <w:t>原吹填管线由转运坑连接至南安市海峡科技生态城</w:t>
      </w:r>
      <w:r>
        <w:rPr>
          <w:rFonts w:cs="Times New Roman"/>
        </w:rPr>
        <w:t>A</w:t>
      </w:r>
      <w:r>
        <w:rPr>
          <w:rFonts w:cs="Times New Roman"/>
        </w:rPr>
        <w:t>片区，管径为</w:t>
      </w:r>
      <w:r>
        <w:rPr>
          <w:rFonts w:cs="Times New Roman"/>
        </w:rPr>
        <w:t>0.8m</w:t>
      </w:r>
      <w:r>
        <w:rPr>
          <w:rFonts w:cs="Times New Roman"/>
        </w:rPr>
        <w:t>，海上长度约</w:t>
      </w:r>
      <w:r>
        <w:rPr>
          <w:rFonts w:cs="Times New Roman"/>
        </w:rPr>
        <w:t>420m</w:t>
      </w:r>
      <w:r>
        <w:rPr>
          <w:rFonts w:cs="Times New Roman"/>
        </w:rPr>
        <w:t>。为减小施工过程泥沙扩散范围，吹填过程曾在转运坑周边设置防污帘，防污帘距离转运坑坡脚</w:t>
      </w:r>
      <w:r>
        <w:rPr>
          <w:rFonts w:cs="Times New Roman"/>
        </w:rPr>
        <w:t>55m</w:t>
      </w:r>
      <w:r>
        <w:rPr>
          <w:rFonts w:cs="Times New Roman"/>
        </w:rPr>
        <w:t>。</w:t>
      </w:r>
    </w:p>
    <w:p w14:paraId="70113688" w14:textId="77777777" w:rsidR="00EB6ADA" w:rsidRDefault="00000000">
      <w:pPr>
        <w:pStyle w:val="10"/>
        <w:ind w:firstLine="480"/>
        <w:rPr>
          <w:rFonts w:cs="Times New Roman"/>
        </w:rPr>
      </w:pPr>
      <w:r>
        <w:rPr>
          <w:rFonts w:cs="Times New Roman"/>
        </w:rPr>
        <w:t>（</w:t>
      </w:r>
      <w:r>
        <w:rPr>
          <w:rFonts w:cs="Times New Roman"/>
        </w:rPr>
        <w:t>2</w:t>
      </w:r>
      <w:r>
        <w:rPr>
          <w:rFonts w:cs="Times New Roman"/>
        </w:rPr>
        <w:t>）后续工程平面布置</w:t>
      </w:r>
    </w:p>
    <w:p w14:paraId="5F65EB14" w14:textId="5682931F" w:rsidR="00EB6ADA" w:rsidRDefault="00000000">
      <w:pPr>
        <w:pStyle w:val="10"/>
        <w:ind w:firstLineChars="0" w:firstLine="480"/>
        <w:rPr>
          <w:rFonts w:cs="Times New Roman"/>
        </w:rPr>
      </w:pPr>
      <w:r>
        <w:rPr>
          <w:rFonts w:cs="Times New Roman"/>
        </w:rPr>
        <w:t>转运坑现状平面布置与原设计一致，长</w:t>
      </w:r>
      <w:r>
        <w:rPr>
          <w:rFonts w:cs="Times New Roman"/>
        </w:rPr>
        <w:t>650m</w:t>
      </w:r>
      <w:r>
        <w:rPr>
          <w:rFonts w:cs="Times New Roman"/>
        </w:rPr>
        <w:t>，宽</w:t>
      </w:r>
      <w:r>
        <w:rPr>
          <w:rFonts w:cs="Times New Roman"/>
        </w:rPr>
        <w:t>260m</w:t>
      </w:r>
      <w:r>
        <w:rPr>
          <w:rFonts w:cs="Times New Roman"/>
        </w:rPr>
        <w:t>；现状泥面标高</w:t>
      </w:r>
      <w:r>
        <w:rPr>
          <w:rFonts w:cs="Times New Roman" w:hint="eastAsia"/>
        </w:rPr>
        <w:t>-6.0m</w:t>
      </w:r>
      <w:r>
        <w:rPr>
          <w:rFonts w:cs="Times New Roman"/>
        </w:rPr>
        <w:t>。后续工程将恢复现有转运坑地形，疏浚物不再吹填上岸，因此不再设置吹填管线。根据施工计划，</w:t>
      </w:r>
      <w:r>
        <w:rPr>
          <w:rFonts w:cs="Times New Roman" w:hint="eastAsia"/>
        </w:rPr>
        <w:t>因不再进行绞吸船吹填上岸作业，</w:t>
      </w:r>
      <w:r>
        <w:rPr>
          <w:rFonts w:cs="Times New Roman"/>
        </w:rPr>
        <w:t>后续疏浚物抛掷过程不再设置防污帘。</w:t>
      </w:r>
    </w:p>
    <w:p w14:paraId="12F8142F" w14:textId="77777777" w:rsidR="00EB6ADA" w:rsidRDefault="00000000">
      <w:pPr>
        <w:pStyle w:val="3"/>
      </w:pPr>
      <w:r>
        <w:rPr>
          <w:rFonts w:hint="eastAsia"/>
        </w:rPr>
        <w:t>1.</w:t>
      </w:r>
      <w:r>
        <w:t>2.3</w:t>
      </w:r>
      <w:r>
        <w:t>项目主要施工工艺</w:t>
      </w:r>
    </w:p>
    <w:p w14:paraId="522B06D2" w14:textId="77777777" w:rsidR="00EB6ADA" w:rsidRDefault="00000000">
      <w:pPr>
        <w:pStyle w:val="4"/>
      </w:pPr>
      <w:r>
        <w:rPr>
          <w:rFonts w:hint="eastAsia"/>
        </w:rPr>
        <w:t>1.</w:t>
      </w:r>
      <w:r>
        <w:t xml:space="preserve">2.3.1 </w:t>
      </w:r>
      <w:r>
        <w:t>原项目主要施工工艺</w:t>
      </w:r>
    </w:p>
    <w:p w14:paraId="57B18586" w14:textId="77777777" w:rsidR="00EB6ADA" w:rsidRDefault="00000000">
      <w:pPr>
        <w:pStyle w:val="10"/>
        <w:ind w:firstLine="480"/>
        <w:rPr>
          <w:rFonts w:cs="Times New Roman"/>
        </w:rPr>
      </w:pPr>
      <w:r>
        <w:rPr>
          <w:rFonts w:cs="Times New Roman"/>
        </w:rPr>
        <w:t>转运坑投入使用前先对转运坑和连接通道进行疏浚挖深，以满足耙吸式挖泥船通行和卸泥需要，转运坑和连接通道疏浚采用绞吸式挖泥船，边疏浚边吹填。</w:t>
      </w:r>
    </w:p>
    <w:p w14:paraId="505C3A59" w14:textId="77777777" w:rsidR="00EB6ADA" w:rsidRDefault="00000000">
      <w:pPr>
        <w:pStyle w:val="10"/>
        <w:ind w:firstLine="480"/>
        <w:rPr>
          <w:rFonts w:cs="Times New Roman"/>
        </w:rPr>
      </w:pPr>
      <w:r>
        <w:rPr>
          <w:rFonts w:cs="Times New Roman"/>
        </w:rPr>
        <w:t>石井航道二期工程采用</w:t>
      </w:r>
      <w:r>
        <w:rPr>
          <w:rFonts w:cs="Times New Roman"/>
        </w:rPr>
        <w:t>4500m³</w:t>
      </w:r>
      <w:r>
        <w:rPr>
          <w:rFonts w:cs="Times New Roman"/>
        </w:rPr>
        <w:t>耙吸式挖泥船进行疏浚，满舱后经石井航道及菊江航道运泥至本项目转运坑，挖泥船运抵后打开底舱卸泥，卸泥后返回疏浚区继续施工。</w:t>
      </w:r>
    </w:p>
    <w:p w14:paraId="7D374BE9" w14:textId="77777777" w:rsidR="00EB6ADA" w:rsidRDefault="00000000">
      <w:pPr>
        <w:pStyle w:val="10"/>
        <w:ind w:firstLine="480"/>
        <w:rPr>
          <w:rFonts w:cs="Times New Roman"/>
        </w:rPr>
      </w:pPr>
      <w:r>
        <w:rPr>
          <w:rFonts w:cs="Times New Roman"/>
        </w:rPr>
        <w:t>吹填物料包括围头湾石井航道二期工程疏浚土、转运坑和连接通道底土。采用绞吸船将转运坑内的物料通过管道吹填至海峡科技生态城</w:t>
      </w:r>
      <w:r>
        <w:rPr>
          <w:rFonts w:cs="Times New Roman"/>
        </w:rPr>
        <w:t>A</w:t>
      </w:r>
      <w:r>
        <w:rPr>
          <w:rFonts w:cs="Times New Roman"/>
        </w:rPr>
        <w:t>片区。吹填施工整体流程为：绞吸船定位</w:t>
      </w:r>
      <w:r>
        <w:rPr>
          <w:rFonts w:cs="Times New Roman"/>
        </w:rPr>
        <w:t>→</w:t>
      </w:r>
      <w:r>
        <w:rPr>
          <w:rFonts w:cs="Times New Roman"/>
        </w:rPr>
        <w:t>水上、水下管线铺设</w:t>
      </w:r>
      <w:r>
        <w:rPr>
          <w:rFonts w:cs="Times New Roman"/>
        </w:rPr>
        <w:t>→</w:t>
      </w:r>
      <w:r>
        <w:rPr>
          <w:rFonts w:cs="Times New Roman"/>
        </w:rPr>
        <w:t>陆上管线铺设连接</w:t>
      </w:r>
      <w:r>
        <w:rPr>
          <w:rFonts w:cs="Times New Roman"/>
        </w:rPr>
        <w:t>→</w:t>
      </w:r>
      <w:r>
        <w:rPr>
          <w:rFonts w:cs="Times New Roman"/>
        </w:rPr>
        <w:t>吹填上岸。</w:t>
      </w:r>
    </w:p>
    <w:p w14:paraId="4D6812D8" w14:textId="77777777" w:rsidR="00EB6ADA" w:rsidRDefault="00000000">
      <w:pPr>
        <w:pStyle w:val="4"/>
      </w:pPr>
      <w:r>
        <w:rPr>
          <w:rFonts w:hint="eastAsia"/>
        </w:rPr>
        <w:t>1.</w:t>
      </w:r>
      <w:r>
        <w:t>2.3.2</w:t>
      </w:r>
      <w:r>
        <w:t>工程实施进展</w:t>
      </w:r>
    </w:p>
    <w:p w14:paraId="2CA7C335" w14:textId="5296A2F6" w:rsidR="00EB6ADA" w:rsidRDefault="00000000">
      <w:pPr>
        <w:pStyle w:val="10"/>
        <w:ind w:firstLine="480"/>
        <w:rPr>
          <w:rFonts w:cs="Times New Roman"/>
        </w:rPr>
      </w:pPr>
      <w:r>
        <w:rPr>
          <w:rFonts w:cs="Times New Roman"/>
        </w:rPr>
        <w:t>本项目于</w:t>
      </w:r>
      <w:r>
        <w:rPr>
          <w:rFonts w:cs="Times New Roman"/>
        </w:rPr>
        <w:t>2020</w:t>
      </w:r>
      <w:r>
        <w:rPr>
          <w:rFonts w:cs="Times New Roman"/>
        </w:rPr>
        <w:t>年</w:t>
      </w:r>
      <w:r>
        <w:rPr>
          <w:rFonts w:cs="Times New Roman"/>
        </w:rPr>
        <w:t>11</w:t>
      </w:r>
      <w:r>
        <w:rPr>
          <w:rFonts w:cs="Times New Roman"/>
        </w:rPr>
        <w:t>月</w:t>
      </w:r>
      <w:r>
        <w:rPr>
          <w:rFonts w:cs="Times New Roman"/>
        </w:rPr>
        <w:t>10</w:t>
      </w:r>
      <w:r>
        <w:rPr>
          <w:rFonts w:cs="Times New Roman"/>
        </w:rPr>
        <w:t>日开工建设，于</w:t>
      </w:r>
      <w:r>
        <w:rPr>
          <w:rFonts w:cs="Times New Roman"/>
        </w:rPr>
        <w:t>2021</w:t>
      </w:r>
      <w:r>
        <w:rPr>
          <w:rFonts w:cs="Times New Roman"/>
        </w:rPr>
        <w:t>年</w:t>
      </w:r>
      <w:r>
        <w:rPr>
          <w:rFonts w:cs="Times New Roman"/>
        </w:rPr>
        <w:t>1</w:t>
      </w:r>
      <w:r>
        <w:rPr>
          <w:rFonts w:cs="Times New Roman"/>
        </w:rPr>
        <w:t>月投入使用。截至</w:t>
      </w:r>
      <w:r>
        <w:rPr>
          <w:rFonts w:cs="Times New Roman"/>
        </w:rPr>
        <w:t>2025</w:t>
      </w:r>
      <w:r>
        <w:rPr>
          <w:rFonts w:cs="Times New Roman"/>
        </w:rPr>
        <w:t>年</w:t>
      </w:r>
      <w:r>
        <w:rPr>
          <w:rFonts w:cs="Times New Roman"/>
        </w:rPr>
        <w:t>10</w:t>
      </w:r>
      <w:r>
        <w:rPr>
          <w:rFonts w:cs="Times New Roman"/>
        </w:rPr>
        <w:t>月</w:t>
      </w:r>
      <w:r>
        <w:rPr>
          <w:rFonts w:cs="Times New Roman"/>
        </w:rPr>
        <w:t>14</w:t>
      </w:r>
      <w:r>
        <w:rPr>
          <w:rFonts w:cs="Times New Roman"/>
        </w:rPr>
        <w:t>日，转运坑已接收石井航道二期工程疏浚量</w:t>
      </w:r>
      <w:r>
        <w:rPr>
          <w:rFonts w:cs="Times New Roman"/>
        </w:rPr>
        <w:t>56</w:t>
      </w:r>
      <w:r>
        <w:rPr>
          <w:rFonts w:cs="Times New Roman" w:hint="eastAsia"/>
        </w:rPr>
        <w:t>5.0</w:t>
      </w:r>
      <w:r>
        <w:rPr>
          <w:rFonts w:cs="Times New Roman"/>
        </w:rPr>
        <w:t>万</w:t>
      </w:r>
      <w:r>
        <w:rPr>
          <w:rFonts w:cs="Times New Roman"/>
        </w:rPr>
        <w:t>m³</w:t>
      </w:r>
      <w:r>
        <w:rPr>
          <w:rFonts w:cs="Times New Roman"/>
        </w:rPr>
        <w:t>，其中约</w:t>
      </w:r>
      <w:r>
        <w:rPr>
          <w:rFonts w:cs="Times New Roman"/>
        </w:rPr>
        <w:t>527.95</w:t>
      </w:r>
      <w:r>
        <w:rPr>
          <w:rFonts w:cs="Times New Roman"/>
        </w:rPr>
        <w:t>万</w:t>
      </w:r>
      <w:r>
        <w:rPr>
          <w:rFonts w:cs="Times New Roman"/>
        </w:rPr>
        <w:t>m³</w:t>
      </w:r>
      <w:r>
        <w:rPr>
          <w:rFonts w:cs="Times New Roman" w:hint="eastAsia"/>
          <w:szCs w:val="24"/>
        </w:rPr>
        <w:t>（不含流失量）</w:t>
      </w:r>
      <w:r>
        <w:rPr>
          <w:rFonts w:cs="Times New Roman"/>
        </w:rPr>
        <w:t>已吹填至南安市海峡科技生态城</w:t>
      </w:r>
      <w:r>
        <w:rPr>
          <w:rFonts w:cs="Times New Roman"/>
        </w:rPr>
        <w:t>A6</w:t>
      </w:r>
      <w:r>
        <w:rPr>
          <w:rFonts w:cs="Times New Roman"/>
        </w:rPr>
        <w:t>、</w:t>
      </w:r>
      <w:r>
        <w:rPr>
          <w:rFonts w:cs="Times New Roman"/>
        </w:rPr>
        <w:t>A7</w:t>
      </w:r>
      <w:r>
        <w:rPr>
          <w:rFonts w:cs="Times New Roman"/>
        </w:rPr>
        <w:t>片区综合利用，约</w:t>
      </w:r>
      <w:r>
        <w:rPr>
          <w:rFonts w:cs="Times New Roman"/>
        </w:rPr>
        <w:t>3</w:t>
      </w:r>
      <w:r>
        <w:rPr>
          <w:rFonts w:cs="Times New Roman" w:hint="eastAsia"/>
        </w:rPr>
        <w:t>7.05</w:t>
      </w:r>
      <w:r>
        <w:rPr>
          <w:rFonts w:cs="Times New Roman"/>
        </w:rPr>
        <w:t>万</w:t>
      </w:r>
      <w:r>
        <w:rPr>
          <w:rFonts w:cs="Times New Roman"/>
        </w:rPr>
        <w:t>m³</w:t>
      </w:r>
      <w:r>
        <w:rPr>
          <w:rFonts w:cs="Times New Roman"/>
        </w:rPr>
        <w:t>堆存于转运坑内，作为恢复转运坑地形的物料。</w:t>
      </w:r>
    </w:p>
    <w:p w14:paraId="3AF8A0D2" w14:textId="77777777" w:rsidR="00EB6ADA" w:rsidRDefault="00000000">
      <w:pPr>
        <w:pStyle w:val="4"/>
      </w:pPr>
      <w:r>
        <w:rPr>
          <w:rFonts w:hint="eastAsia"/>
        </w:rPr>
        <w:t>1.</w:t>
      </w:r>
      <w:r>
        <w:t>2.3.3</w:t>
      </w:r>
      <w:r>
        <w:rPr>
          <w:rFonts w:hint="eastAsia"/>
        </w:rPr>
        <w:t>后续施工方案</w:t>
      </w:r>
    </w:p>
    <w:p w14:paraId="6F3E6696" w14:textId="77777777" w:rsidR="00EB6ADA" w:rsidRDefault="00000000">
      <w:pPr>
        <w:pStyle w:val="10"/>
        <w:keepNext/>
        <w:ind w:firstLine="482"/>
        <w:rPr>
          <w:bCs/>
        </w:rPr>
      </w:pPr>
      <w:r>
        <w:rPr>
          <w:rFonts w:hint="eastAsia"/>
          <w:b/>
          <w:bCs/>
        </w:rPr>
        <w:t>（</w:t>
      </w:r>
      <w:r>
        <w:rPr>
          <w:b/>
          <w:bCs/>
        </w:rPr>
        <w:t>1</w:t>
      </w:r>
      <w:r>
        <w:rPr>
          <w:rFonts w:hint="eastAsia"/>
          <w:b/>
          <w:bCs/>
        </w:rPr>
        <w:t>）石井航道二期工程后续疏浚物处置方案</w:t>
      </w:r>
    </w:p>
    <w:p w14:paraId="47F28193" w14:textId="7CB55006" w:rsidR="00EB6ADA" w:rsidRDefault="00000000">
      <w:pPr>
        <w:spacing w:line="360" w:lineRule="auto"/>
        <w:ind w:firstLineChars="200" w:firstLine="480"/>
        <w:rPr>
          <w:rFonts w:ascii="宋体" w:eastAsia="宋体" w:hAnsi="宋体" w:cs="Times New Roman" w:hint="eastAsia"/>
          <w:sz w:val="24"/>
          <w:szCs w:val="24"/>
          <w:highlight w:val="yellow"/>
        </w:rPr>
      </w:pPr>
      <w:r>
        <w:rPr>
          <w:rFonts w:ascii="Times New Roman" w:eastAsia="宋体" w:hAnsi="Times New Roman" w:cs="Times New Roman" w:hint="eastAsia"/>
          <w:sz w:val="24"/>
          <w:szCs w:val="24"/>
        </w:rPr>
        <w:t>目前，原转运坑已完成其疏浚物中转功能，后续将利用航道疏浚物进行地形恢复。根据《转运坑纳泥量和航道二期主航道剩余疏浚量匹配说明》，航道后续施工尚有</w:t>
      </w:r>
      <w:r>
        <w:rPr>
          <w:rFonts w:ascii="Times New Roman" w:eastAsia="宋体" w:hAnsi="Times New Roman" w:cs="Times New Roman"/>
          <w:sz w:val="24"/>
          <w:szCs w:val="24"/>
        </w:rPr>
        <w:t>30.91</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m</w:t>
      </w:r>
      <w:r>
        <w:rPr>
          <w:rFonts w:ascii="Times New Roman" w:eastAsia="宋体" w:hAnsi="Times New Roman" w:cs="Times New Roman" w:hint="eastAsia"/>
          <w:sz w:val="24"/>
          <w:szCs w:val="24"/>
        </w:rPr>
        <w:t>³疏浚物，考虑松散膨胀系数后所需容积</w:t>
      </w:r>
      <w:r>
        <w:rPr>
          <w:rFonts w:ascii="Times New Roman" w:eastAsia="宋体" w:hAnsi="Times New Roman" w:cs="Times New Roman"/>
          <w:sz w:val="24"/>
          <w:szCs w:val="24"/>
        </w:rPr>
        <w:t>34</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m</w:t>
      </w:r>
      <w:r>
        <w:rPr>
          <w:rFonts w:ascii="Times New Roman" w:eastAsia="宋体" w:hAnsi="Times New Roman" w:cs="Times New Roman" w:hint="eastAsia"/>
          <w:sz w:val="24"/>
          <w:szCs w:val="24"/>
        </w:rPr>
        <w:t>³。根据转运坑现有水深、平面尺寸测算，转运</w:t>
      </w:r>
      <w:r>
        <w:rPr>
          <w:rFonts w:ascii="Times New Roman" w:eastAsia="宋体" w:hAnsi="Times New Roman" w:cs="Times New Roman" w:hint="eastAsia"/>
          <w:sz w:val="24"/>
          <w:szCs w:val="24"/>
        </w:rPr>
        <w:lastRenderedPageBreak/>
        <w:t>坑尚有</w:t>
      </w:r>
      <w:r>
        <w:rPr>
          <w:rFonts w:ascii="Times New Roman" w:eastAsia="宋体" w:hAnsi="Times New Roman" w:cs="Times New Roman"/>
          <w:sz w:val="24"/>
          <w:szCs w:val="24"/>
        </w:rPr>
        <w:t>91.3</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m</w:t>
      </w:r>
      <w:r>
        <w:rPr>
          <w:rFonts w:ascii="Times New Roman" w:eastAsia="宋体" w:hAnsi="Times New Roman" w:cs="Times New Roman" w:hint="eastAsia"/>
          <w:sz w:val="24"/>
          <w:szCs w:val="24"/>
        </w:rPr>
        <w:t>³的纳泥空间，可接纳航道剩余疏浚物。目前，航道疏浚物已通过综合处置公开转让，由</w:t>
      </w:r>
      <w:r>
        <w:rPr>
          <w:rFonts w:ascii="宋体" w:eastAsia="宋体" w:hAnsi="宋体" w:cs="Times New Roman" w:hint="eastAsia"/>
          <w:sz w:val="24"/>
          <w:szCs w:val="24"/>
        </w:rPr>
        <w:t>“南安市翼丰投资开发有限公司”</w:t>
      </w:r>
      <w:r>
        <w:rPr>
          <w:rFonts w:ascii="Times New Roman" w:eastAsia="宋体" w:hAnsi="Times New Roman" w:cs="Times New Roman" w:hint="eastAsia"/>
          <w:sz w:val="24"/>
          <w:szCs w:val="24"/>
        </w:rPr>
        <w:t>竞得。</w:t>
      </w:r>
      <w:r>
        <w:rPr>
          <w:rFonts w:ascii="宋体" w:eastAsia="宋体" w:hAnsi="宋体" w:cs="Times New Roman" w:hint="eastAsia"/>
          <w:sz w:val="24"/>
          <w:szCs w:val="24"/>
        </w:rPr>
        <w:t>“南安市翼丰投资开发有限公司”</w:t>
      </w:r>
      <w:r w:rsidR="00CA2D6E">
        <w:rPr>
          <w:rFonts w:ascii="宋体" w:eastAsia="宋体" w:hAnsi="宋体" w:cs="Times New Roman" w:hint="eastAsia"/>
          <w:sz w:val="24"/>
          <w:szCs w:val="24"/>
        </w:rPr>
        <w:t>已</w:t>
      </w:r>
      <w:r>
        <w:rPr>
          <w:rFonts w:ascii="宋体" w:eastAsia="宋体" w:hAnsi="宋体" w:cs="Times New Roman" w:hint="eastAsia"/>
          <w:sz w:val="24"/>
          <w:szCs w:val="24"/>
        </w:rPr>
        <w:t>明确航道剩余疏浚物运至转运坑内堆存。</w:t>
      </w:r>
    </w:p>
    <w:p w14:paraId="3D61D29F" w14:textId="35A7CC4A" w:rsidR="00EB6ADA" w:rsidRDefault="00000000">
      <w:pPr>
        <w:pStyle w:val="10"/>
        <w:ind w:firstLine="480"/>
      </w:pPr>
      <w:r>
        <w:rPr>
          <w:rFonts w:cs="Times New Roman" w:hint="eastAsia"/>
          <w:szCs w:val="28"/>
        </w:rPr>
        <w:t>航道工程后续施工工期为</w:t>
      </w:r>
      <w:r>
        <w:rPr>
          <w:rFonts w:cs="Times New Roman"/>
          <w:szCs w:val="28"/>
        </w:rPr>
        <w:t>180</w:t>
      </w:r>
      <w:r>
        <w:rPr>
          <w:rFonts w:cs="Times New Roman" w:hint="eastAsia"/>
          <w:szCs w:val="28"/>
        </w:rPr>
        <w:t>天，施工计划见表</w:t>
      </w:r>
      <w:r>
        <w:rPr>
          <w:rFonts w:cs="Times New Roman" w:hint="eastAsia"/>
          <w:szCs w:val="28"/>
        </w:rPr>
        <w:t>1</w:t>
      </w:r>
      <w:r>
        <w:rPr>
          <w:rFonts w:cs="Times New Roman"/>
          <w:szCs w:val="28"/>
        </w:rPr>
        <w:t>.</w:t>
      </w:r>
      <w:r>
        <w:rPr>
          <w:rFonts w:cs="Times New Roman" w:hint="eastAsia"/>
          <w:szCs w:val="28"/>
        </w:rPr>
        <w:t>2</w:t>
      </w:r>
      <w:r>
        <w:rPr>
          <w:rFonts w:cs="Times New Roman"/>
          <w:szCs w:val="28"/>
        </w:rPr>
        <w:t>-1</w:t>
      </w:r>
      <w:r>
        <w:rPr>
          <w:rFonts w:cs="Times New Roman" w:hint="eastAsia"/>
          <w:szCs w:val="28"/>
        </w:rPr>
        <w:t>。</w:t>
      </w:r>
      <w:r>
        <w:rPr>
          <w:rFonts w:hint="eastAsia"/>
        </w:rPr>
        <w:t>本项目作为石井航道二期工程的疏浚物综合处置配套项目，用于接收航道后续疏浚物，与航道后续疏浚施工同步进行。</w:t>
      </w:r>
    </w:p>
    <w:p w14:paraId="6CD9FF04" w14:textId="0154F6D9" w:rsidR="00EB6ADA" w:rsidRDefault="00000000">
      <w:pPr>
        <w:keepNext/>
        <w:jc w:val="center"/>
        <w:rPr>
          <w:rFonts w:ascii="Times New Roman" w:eastAsia="宋体" w:hAnsi="Times New Roman" w:cs="Times New Roman"/>
          <w:sz w:val="24"/>
          <w:szCs w:val="28"/>
        </w:rPr>
      </w:pPr>
      <w:r>
        <w:rPr>
          <w:rFonts w:ascii="Times New Roman" w:eastAsia="宋体" w:hAnsi="Times New Roman" w:cs="Times New Roman" w:hint="eastAsia"/>
          <w:sz w:val="24"/>
          <w:szCs w:val="28"/>
        </w:rPr>
        <w:t>表</w:t>
      </w:r>
      <w:r>
        <w:rPr>
          <w:rFonts w:ascii="Times New Roman" w:eastAsia="宋体" w:hAnsi="Times New Roman" w:cs="Times New Roman" w:hint="eastAsia"/>
          <w:sz w:val="24"/>
          <w:szCs w:val="28"/>
        </w:rPr>
        <w:t>1</w:t>
      </w:r>
      <w:r>
        <w:rPr>
          <w:rFonts w:ascii="Times New Roman" w:eastAsia="宋体" w:hAnsi="Times New Roman" w:cs="Times New Roman"/>
          <w:sz w:val="24"/>
          <w:szCs w:val="28"/>
        </w:rPr>
        <w:t>.</w:t>
      </w:r>
      <w:r>
        <w:rPr>
          <w:rFonts w:ascii="Times New Roman" w:eastAsia="宋体" w:hAnsi="Times New Roman" w:cs="Times New Roman" w:hint="eastAsia"/>
          <w:sz w:val="24"/>
          <w:szCs w:val="28"/>
        </w:rPr>
        <w:t>2</w:t>
      </w:r>
      <w:r>
        <w:rPr>
          <w:rFonts w:ascii="Times New Roman" w:eastAsia="宋体" w:hAnsi="Times New Roman" w:cs="Times New Roman"/>
          <w:sz w:val="24"/>
          <w:szCs w:val="28"/>
        </w:rPr>
        <w:t xml:space="preserve">-1 </w:t>
      </w:r>
      <w:r>
        <w:rPr>
          <w:rFonts w:ascii="Times New Roman" w:eastAsia="宋体" w:hAnsi="Times New Roman" w:cs="Times New Roman" w:hint="eastAsia"/>
          <w:sz w:val="24"/>
          <w:szCs w:val="28"/>
        </w:rPr>
        <w:t>航道后续施工计划表</w:t>
      </w:r>
    </w:p>
    <w:p w14:paraId="021933D1" w14:textId="77777777" w:rsidR="00EB6ADA" w:rsidRDefault="00000000">
      <w:pPr>
        <w:pStyle w:val="10"/>
        <w:ind w:firstLineChars="0" w:firstLine="0"/>
        <w:jc w:val="center"/>
      </w:pPr>
      <w:r>
        <w:rPr>
          <w:rFonts w:cs="Times New Roman"/>
          <w:noProof/>
        </w:rPr>
        <w:drawing>
          <wp:inline distT="0" distB="0" distL="114300" distR="114300" wp14:anchorId="16572834" wp14:editId="28AE2071">
            <wp:extent cx="5754370" cy="1343660"/>
            <wp:effectExtent l="0" t="0" r="17780" b="8890"/>
            <wp:docPr id="70572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21873" name="图片 1"/>
                    <pic:cNvPicPr>
                      <a:picLocks noChangeAspect="1"/>
                    </pic:cNvPicPr>
                  </pic:nvPicPr>
                  <pic:blipFill>
                    <a:blip r:embed="rId12"/>
                    <a:stretch>
                      <a:fillRect/>
                    </a:stretch>
                  </pic:blipFill>
                  <pic:spPr>
                    <a:xfrm>
                      <a:off x="0" y="0"/>
                      <a:ext cx="5754370" cy="1343660"/>
                    </a:xfrm>
                    <a:prstGeom prst="rect">
                      <a:avLst/>
                    </a:prstGeom>
                    <a:noFill/>
                    <a:ln>
                      <a:noFill/>
                    </a:ln>
                  </pic:spPr>
                </pic:pic>
              </a:graphicData>
            </a:graphic>
          </wp:inline>
        </w:drawing>
      </w:r>
    </w:p>
    <w:p w14:paraId="5253458E" w14:textId="77777777" w:rsidR="00EB6ADA" w:rsidRDefault="00000000">
      <w:pPr>
        <w:pStyle w:val="10"/>
        <w:ind w:firstLine="482"/>
        <w:rPr>
          <w:bCs/>
        </w:rPr>
      </w:pPr>
      <w:r>
        <w:rPr>
          <w:rFonts w:hint="eastAsia"/>
          <w:b/>
          <w:bCs/>
        </w:rPr>
        <w:t>（</w:t>
      </w:r>
      <w:r>
        <w:rPr>
          <w:b/>
          <w:bCs/>
        </w:rPr>
        <w:t>2</w:t>
      </w:r>
      <w:r>
        <w:rPr>
          <w:rFonts w:hint="eastAsia"/>
          <w:b/>
          <w:bCs/>
        </w:rPr>
        <w:t>）主要施工工艺和方法</w:t>
      </w:r>
    </w:p>
    <w:p w14:paraId="5FA033D9" w14:textId="7EB6570D" w:rsidR="00EB6ADA" w:rsidRDefault="00000000">
      <w:pPr>
        <w:pStyle w:val="10"/>
        <w:ind w:firstLine="480"/>
      </w:pPr>
      <w:r>
        <w:rPr>
          <w:rFonts w:hint="eastAsia"/>
        </w:rPr>
        <w:t>航道后续疏浚物</w:t>
      </w:r>
      <w:r>
        <w:rPr>
          <w:rFonts w:hint="eastAsia"/>
          <w:szCs w:val="28"/>
        </w:rPr>
        <w:t>通过</w:t>
      </w:r>
      <w:r>
        <w:t>1000m</w:t>
      </w:r>
      <w:r>
        <w:rPr>
          <w:rFonts w:hint="eastAsia"/>
        </w:rPr>
        <w:t>³运输泥驳进行运输。</w:t>
      </w:r>
      <w:r>
        <w:rPr>
          <w:rFonts w:cs="Times New Roman" w:hint="eastAsia"/>
          <w:szCs w:val="24"/>
        </w:rPr>
        <w:t>根据《转运坑纳泥量和航道二期主航道剩余疏浚量匹配说明》，</w:t>
      </w:r>
      <w:r>
        <w:rPr>
          <w:rFonts w:hint="eastAsia"/>
        </w:rPr>
        <w:t>泥驳满载约</w:t>
      </w:r>
      <w:r>
        <w:t>700m</w:t>
      </w:r>
      <w:r>
        <w:rPr>
          <w:rFonts w:hint="eastAsia"/>
        </w:rPr>
        <w:t>³，吃水约</w:t>
      </w:r>
      <w:r>
        <w:t>3m</w:t>
      </w:r>
      <w:r>
        <w:rPr>
          <w:rFonts w:hint="eastAsia"/>
        </w:rPr>
        <w:t>，考虑</w:t>
      </w:r>
      <w:r>
        <w:t>1m</w:t>
      </w:r>
      <w:r>
        <w:rPr>
          <w:rFonts w:hint="eastAsia"/>
        </w:rPr>
        <w:t>富余水深，泥驳进出所需的水深要求按</w:t>
      </w:r>
      <w:r>
        <w:t>4m</w:t>
      </w:r>
      <w:r>
        <w:rPr>
          <w:rFonts w:hint="eastAsia"/>
        </w:rPr>
        <w:t>考虑。抛泥施工时，泥驳在</w:t>
      </w:r>
      <w:r>
        <w:t>2.5m</w:t>
      </w:r>
      <w:r>
        <w:rPr>
          <w:rFonts w:hint="eastAsia"/>
        </w:rPr>
        <w:t>潮位以上满载进入转运坑，对应转运坑的极限泥面标高为</w:t>
      </w:r>
      <w:r>
        <w:t>-1.5m</w:t>
      </w:r>
      <w:r>
        <w:rPr>
          <w:rFonts w:hint="eastAsia"/>
        </w:rPr>
        <w:t>，转运坑现有泥面标高约</w:t>
      </w:r>
      <w:r>
        <w:t>-6.0m</w:t>
      </w:r>
      <w:r>
        <w:rPr>
          <w:rFonts w:hint="eastAsia"/>
        </w:rPr>
        <w:t>，根据测算，航道二期剩余疏浚物抛填后，转运坑内泥面标高为</w:t>
      </w:r>
      <w:r>
        <w:t>-4.0m</w:t>
      </w:r>
      <w:r>
        <w:rPr>
          <w:rFonts w:hint="eastAsia"/>
        </w:rPr>
        <w:t>，满足泥驳进出的水深要求。抛泥施工时，泥驳进入转运坑后控制航速缓慢前行，到达抛泥位置后，缓慢打开泥舱舱门，均匀卸泥，整个抛泥过程约</w:t>
      </w:r>
      <w:r>
        <w:t>30</w:t>
      </w:r>
      <w:r>
        <w:rPr>
          <w:rFonts w:hint="eastAsia"/>
        </w:rPr>
        <w:t>分钟，避免集中倾倒形成浅点。</w:t>
      </w:r>
    </w:p>
    <w:p w14:paraId="1FF1EED1" w14:textId="77777777" w:rsidR="00EB6ADA" w:rsidRDefault="00000000">
      <w:pPr>
        <w:pStyle w:val="3"/>
      </w:pPr>
      <w:r>
        <w:rPr>
          <w:rFonts w:hint="eastAsia"/>
        </w:rPr>
        <w:t>1.</w:t>
      </w:r>
      <w:r>
        <w:t>2.4</w:t>
      </w:r>
      <w:r>
        <w:rPr>
          <w:rFonts w:hint="eastAsia"/>
        </w:rPr>
        <w:t>项目用海需求</w:t>
      </w:r>
    </w:p>
    <w:p w14:paraId="1F637961" w14:textId="2CC5B52C" w:rsidR="00EB6ADA" w:rsidRDefault="00000000">
      <w:pPr>
        <w:pStyle w:val="10"/>
        <w:ind w:firstLine="480"/>
      </w:pPr>
      <w:r>
        <w:rPr>
          <w:rFonts w:hint="eastAsia"/>
        </w:rPr>
        <w:t>本项目拟利用航道疏浚物恢复转运坑地形，不涉及填海造地、围海或设置构筑物，拟申请用海面积</w:t>
      </w:r>
      <w:r>
        <w:t>21.9736</w:t>
      </w:r>
      <w:r>
        <w:rPr>
          <w:rFonts w:hint="eastAsia"/>
        </w:rPr>
        <w:t>公顷。参照《海域使用分类》，用海类型为“其他用海”，用海方式界定为“航道、锚地及其他开放式”。根据《国土空间调查、规划、用途管制用地用海分类指南》，用海类型为“特殊用海”中的“其他特殊用海”。</w:t>
      </w:r>
    </w:p>
    <w:p w14:paraId="46345395" w14:textId="77777777" w:rsidR="00EB6ADA" w:rsidRDefault="00000000">
      <w:pPr>
        <w:pStyle w:val="10"/>
        <w:ind w:firstLine="480"/>
      </w:pPr>
      <w:r>
        <w:rPr>
          <w:rFonts w:hint="eastAsia"/>
        </w:rPr>
        <w:t>本项目作为围头湾石井航道二期工程的配套项目，用海期限结合航道工程施工工期确定。航道工程后续施工期</w:t>
      </w:r>
      <w:r>
        <w:t>180</w:t>
      </w:r>
      <w:r>
        <w:rPr>
          <w:rFonts w:hint="eastAsia"/>
        </w:rPr>
        <w:t>天，考虑不确定因素，用海期限为</w:t>
      </w:r>
      <w:r>
        <w:t>1</w:t>
      </w:r>
      <w:r>
        <w:rPr>
          <w:rFonts w:hint="eastAsia"/>
        </w:rPr>
        <w:t>年。据此，本项目拟申请用海期限</w:t>
      </w:r>
      <w:r>
        <w:t>1</w:t>
      </w:r>
      <w:r>
        <w:rPr>
          <w:rFonts w:hint="eastAsia"/>
        </w:rPr>
        <w:t>年。</w:t>
      </w:r>
    </w:p>
    <w:p w14:paraId="40C753CC" w14:textId="77777777" w:rsidR="00EB6ADA" w:rsidRDefault="00EB6ADA">
      <w:pPr>
        <w:pStyle w:val="10"/>
        <w:ind w:firstLineChars="83" w:firstLine="199"/>
        <w:rPr>
          <w:rFonts w:cs="Times New Roman"/>
        </w:rPr>
        <w:sectPr w:rsidR="00EB6ADA" w:rsidSect="002A7A8A">
          <w:footerReference w:type="default" r:id="rId13"/>
          <w:pgSz w:w="11906" w:h="16838"/>
          <w:pgMar w:top="1134" w:right="1134" w:bottom="1134" w:left="1134" w:header="851" w:footer="850" w:gutter="0"/>
          <w:pgNumType w:start="1"/>
          <w:cols w:space="425"/>
          <w:docGrid w:type="lines" w:linePitch="312"/>
        </w:sectPr>
      </w:pPr>
    </w:p>
    <w:p w14:paraId="6865C5B7" w14:textId="77777777" w:rsidR="00EB6ADA" w:rsidRDefault="00000000">
      <w:pPr>
        <w:pStyle w:val="2"/>
      </w:pPr>
      <w:bookmarkStart w:id="6" w:name="_Toc224053280"/>
      <w:bookmarkEnd w:id="3"/>
      <w:r>
        <w:lastRenderedPageBreak/>
        <w:t>1.3</w:t>
      </w:r>
      <w:r>
        <w:t>论证工作等级和范围</w:t>
      </w:r>
      <w:bookmarkEnd w:id="6"/>
    </w:p>
    <w:p w14:paraId="235EE34F" w14:textId="77777777" w:rsidR="00EB6ADA" w:rsidRDefault="00000000">
      <w:pPr>
        <w:pStyle w:val="3"/>
      </w:pPr>
      <w:r>
        <w:t>1.3.1</w:t>
      </w:r>
      <w:r>
        <w:t>论证工作等级</w:t>
      </w:r>
    </w:p>
    <w:p w14:paraId="0A4321C6" w14:textId="77777777" w:rsidR="00EB6ADA" w:rsidRDefault="00000000">
      <w:pPr>
        <w:pStyle w:val="10"/>
        <w:ind w:firstLine="480"/>
        <w:rPr>
          <w:rFonts w:cs="Times New Roman"/>
        </w:rPr>
      </w:pPr>
      <w:r>
        <w:rPr>
          <w:rFonts w:cs="Times New Roman" w:hint="eastAsia"/>
        </w:rPr>
        <w:t>作为泉州围头湾石井航道二期工程疏浚物综合处置配套项目，根据原用海方案，转运坑在疏浚物抛掷前，先进行挖深，以满足施工船舶吃水需要。围头湾石井航道二期工程疏浚物抛至转运坑后，再经转运坑吹填至海峡科技生态城</w:t>
      </w:r>
      <w:r>
        <w:rPr>
          <w:rFonts w:cs="Times New Roman" w:hint="eastAsia"/>
        </w:rPr>
        <w:t>A</w:t>
      </w:r>
      <w:r>
        <w:rPr>
          <w:rFonts w:cs="Times New Roman" w:hint="eastAsia"/>
        </w:rPr>
        <w:t>片区进行填海造地。</w:t>
      </w:r>
    </w:p>
    <w:p w14:paraId="4C7354C3" w14:textId="61695245" w:rsidR="00EB6ADA" w:rsidRDefault="00000000">
      <w:pPr>
        <w:pStyle w:val="10"/>
        <w:ind w:firstLine="480"/>
        <w:rPr>
          <w:rFonts w:cs="Times New Roman"/>
        </w:rPr>
      </w:pPr>
      <w:r>
        <w:rPr>
          <w:rFonts w:cs="Times New Roman" w:hint="eastAsia"/>
        </w:rPr>
        <w:t>目前，石井航道二期工程已完成约</w:t>
      </w:r>
      <w:r>
        <w:rPr>
          <w:rFonts w:cs="Times New Roman" w:hint="eastAsia"/>
        </w:rPr>
        <w:t>95%</w:t>
      </w:r>
      <w:r>
        <w:rPr>
          <w:rFonts w:cs="Times New Roman" w:hint="eastAsia"/>
        </w:rPr>
        <w:t>的主航道疏浚工作，本次申请用海拟将航道后续施工的疏浚物约</w:t>
      </w:r>
      <w:r>
        <w:rPr>
          <w:rFonts w:cs="Times New Roman" w:hint="eastAsia"/>
        </w:rPr>
        <w:t>30.9</w:t>
      </w:r>
      <w:r>
        <w:rPr>
          <w:rFonts w:cs="Times New Roman" w:hint="eastAsia"/>
        </w:rPr>
        <w:t>万</w:t>
      </w:r>
      <w:r>
        <w:rPr>
          <w:rFonts w:cs="Times New Roman" w:hint="eastAsia"/>
        </w:rPr>
        <w:t>m</w:t>
      </w:r>
      <w:r>
        <w:rPr>
          <w:rFonts w:cs="Times New Roman" w:hint="eastAsia"/>
        </w:rPr>
        <w:t>³运送至转运坑，以恢复转运坑地形，不再吹填上岸。至此，转运坑的使用性质已从“疏浚物中转”转变为“利用疏浚物恢复原有地形”。《海域使用分类》未对此类用海做出明确规定。类比《海域使用分类》相关用海方式，开放式用海指“不进行填海造地、围海或设置构筑物，直接利用海域进行开发活动的用海方式”。本次申请用海活动拟利用航道疏浚物恢复转运坑地形，不涉及填海造地、围海或设置构筑物，参照《海域使用分类》，用海方式界定为“其他开放式”。</w:t>
      </w:r>
    </w:p>
    <w:p w14:paraId="7F87A0A4" w14:textId="77777777" w:rsidR="00EB6ADA" w:rsidRDefault="00000000">
      <w:pPr>
        <w:pStyle w:val="10"/>
        <w:ind w:firstLine="480"/>
        <w:rPr>
          <w:rFonts w:cs="Times New Roman"/>
        </w:rPr>
      </w:pPr>
      <w:r>
        <w:rPr>
          <w:rFonts w:cs="Times New Roman" w:hint="eastAsia"/>
        </w:rPr>
        <w:t>依据《海域论证技术导则》（</w:t>
      </w:r>
      <w:r>
        <w:rPr>
          <w:rFonts w:cs="Times New Roman" w:hint="eastAsia"/>
        </w:rPr>
        <w:t>GB/T 42361-2023</w:t>
      </w:r>
      <w:r>
        <w:rPr>
          <w:rFonts w:cs="Times New Roman" w:hint="eastAsia"/>
        </w:rPr>
        <w:t>）论证等级的划分要求（见表</w:t>
      </w:r>
      <w:r>
        <w:rPr>
          <w:rFonts w:cs="Times New Roman" w:hint="eastAsia"/>
        </w:rPr>
        <w:t>1.3-1</w:t>
      </w:r>
      <w:r>
        <w:rPr>
          <w:rFonts w:cs="Times New Roman" w:hint="eastAsia"/>
        </w:rPr>
        <w:t>），“开放式”中的“其他开放式”，论证等级均为三级。据此，本工程论证等级定为三级。</w:t>
      </w:r>
    </w:p>
    <w:p w14:paraId="112AB1B0" w14:textId="77777777" w:rsidR="00EB6ADA" w:rsidRDefault="00000000">
      <w:pPr>
        <w:spacing w:line="278"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1.3-1 </w:t>
      </w:r>
      <w:r>
        <w:rPr>
          <w:rFonts w:ascii="Times New Roman" w:eastAsia="宋体" w:hAnsi="Times New Roman" w:cs="Times New Roman"/>
          <w:sz w:val="24"/>
          <w:szCs w:val="24"/>
        </w:rPr>
        <w:t>海域使用论证等级判据</w:t>
      </w:r>
    </w:p>
    <w:tbl>
      <w:tblPr>
        <w:tblW w:w="7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728"/>
        <w:gridCol w:w="1236"/>
        <w:gridCol w:w="1728"/>
        <w:gridCol w:w="1236"/>
      </w:tblGrid>
      <w:tr w:rsidR="00EB6ADA" w14:paraId="241A555C" w14:textId="77777777">
        <w:trPr>
          <w:trHeight w:val="125"/>
          <w:tblHeader/>
          <w:jc w:val="center"/>
        </w:trPr>
        <w:tc>
          <w:tcPr>
            <w:tcW w:w="1728" w:type="dxa"/>
            <w:vAlign w:val="center"/>
          </w:tcPr>
          <w:p w14:paraId="2DEF5507"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一级用海方式</w:t>
            </w:r>
          </w:p>
        </w:tc>
        <w:tc>
          <w:tcPr>
            <w:tcW w:w="1728" w:type="dxa"/>
            <w:vAlign w:val="center"/>
          </w:tcPr>
          <w:p w14:paraId="519DA7D6"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二级用海方式</w:t>
            </w:r>
          </w:p>
        </w:tc>
        <w:tc>
          <w:tcPr>
            <w:tcW w:w="1236" w:type="dxa"/>
            <w:vAlign w:val="center"/>
          </w:tcPr>
          <w:p w14:paraId="283CA2B9"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用海规模</w:t>
            </w:r>
          </w:p>
        </w:tc>
        <w:tc>
          <w:tcPr>
            <w:tcW w:w="1728" w:type="dxa"/>
            <w:vAlign w:val="center"/>
          </w:tcPr>
          <w:p w14:paraId="393B4EDA"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所在海域特征</w:t>
            </w:r>
          </w:p>
        </w:tc>
        <w:tc>
          <w:tcPr>
            <w:tcW w:w="1236" w:type="dxa"/>
            <w:vAlign w:val="center"/>
          </w:tcPr>
          <w:p w14:paraId="334CCB27"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论证等级</w:t>
            </w:r>
          </w:p>
        </w:tc>
      </w:tr>
      <w:tr w:rsidR="00EB6ADA" w14:paraId="135AB873" w14:textId="77777777">
        <w:trPr>
          <w:trHeight w:val="125"/>
          <w:tblHeader/>
          <w:jc w:val="center"/>
        </w:trPr>
        <w:tc>
          <w:tcPr>
            <w:tcW w:w="1728" w:type="dxa"/>
            <w:vAlign w:val="center"/>
          </w:tcPr>
          <w:p w14:paraId="21497B1F"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开放式</w:t>
            </w:r>
          </w:p>
        </w:tc>
        <w:tc>
          <w:tcPr>
            <w:tcW w:w="1728" w:type="dxa"/>
            <w:vAlign w:val="center"/>
          </w:tcPr>
          <w:p w14:paraId="1B051FCB"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其他开放式</w:t>
            </w:r>
          </w:p>
        </w:tc>
        <w:tc>
          <w:tcPr>
            <w:tcW w:w="1236" w:type="dxa"/>
            <w:vAlign w:val="center"/>
          </w:tcPr>
          <w:p w14:paraId="2EA165D2"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所有规模</w:t>
            </w:r>
          </w:p>
        </w:tc>
        <w:tc>
          <w:tcPr>
            <w:tcW w:w="1728" w:type="dxa"/>
            <w:vAlign w:val="center"/>
          </w:tcPr>
          <w:p w14:paraId="00CBF02D"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所有海域</w:t>
            </w:r>
          </w:p>
        </w:tc>
        <w:tc>
          <w:tcPr>
            <w:tcW w:w="1236" w:type="dxa"/>
            <w:vAlign w:val="center"/>
          </w:tcPr>
          <w:p w14:paraId="2AC99B62" w14:textId="77777777" w:rsidR="00EB6ADA" w:rsidRDefault="00000000">
            <w:pPr>
              <w:spacing w:line="278" w:lineRule="auto"/>
              <w:jc w:val="center"/>
              <w:rPr>
                <w:rFonts w:ascii="Times New Roman" w:eastAsia="宋体" w:hAnsi="Times New Roman" w:cs="Times New Roman"/>
                <w:szCs w:val="21"/>
              </w:rPr>
            </w:pPr>
            <w:r>
              <w:rPr>
                <w:rFonts w:ascii="Times New Roman" w:eastAsia="宋体" w:hAnsi="Times New Roman" w:cs="Times New Roman"/>
                <w:szCs w:val="21"/>
              </w:rPr>
              <w:t>三</w:t>
            </w:r>
          </w:p>
        </w:tc>
      </w:tr>
    </w:tbl>
    <w:p w14:paraId="1A62DB73" w14:textId="77777777" w:rsidR="00EB6ADA" w:rsidRDefault="00000000">
      <w:pPr>
        <w:pStyle w:val="3"/>
      </w:pPr>
      <w:r>
        <w:t>1.3.2</w:t>
      </w:r>
      <w:r>
        <w:t>论证范围</w:t>
      </w:r>
    </w:p>
    <w:p w14:paraId="5D89876E" w14:textId="0AC30A18" w:rsidR="00EB6ADA" w:rsidRDefault="00000000">
      <w:pPr>
        <w:pStyle w:val="10"/>
        <w:ind w:firstLine="480"/>
        <w:rPr>
          <w:rFonts w:cs="Times New Roman"/>
        </w:rPr>
      </w:pPr>
      <w:r>
        <w:rPr>
          <w:rFonts w:cs="Times New Roman"/>
        </w:rPr>
        <w:t>《海域论证技术导则》（</w:t>
      </w:r>
      <w:r>
        <w:rPr>
          <w:rFonts w:cs="Times New Roman"/>
        </w:rPr>
        <w:t>GB/T 42361-2023</w:t>
      </w:r>
      <w:r>
        <w:rPr>
          <w:rFonts w:cs="Times New Roman"/>
        </w:rPr>
        <w:t>）规定：论证范围以项目用海外缘线为起点进行划定，一级论证论向外扩展</w:t>
      </w:r>
      <w:r>
        <w:rPr>
          <w:rFonts w:cs="Times New Roman"/>
        </w:rPr>
        <w:t>15km</w:t>
      </w:r>
      <w:r>
        <w:rPr>
          <w:rFonts w:cs="Times New Roman"/>
        </w:rPr>
        <w:t>，二级论证</w:t>
      </w:r>
      <w:r>
        <w:rPr>
          <w:rFonts w:cs="Times New Roman"/>
        </w:rPr>
        <w:t>8km</w:t>
      </w:r>
      <w:r>
        <w:rPr>
          <w:rFonts w:cs="Times New Roman"/>
        </w:rPr>
        <w:t>，三级论证</w:t>
      </w:r>
      <w:r>
        <w:rPr>
          <w:rFonts w:cs="Times New Roman"/>
        </w:rPr>
        <w:t>5km</w:t>
      </w:r>
      <w:r>
        <w:rPr>
          <w:rFonts w:cs="Times New Roman"/>
        </w:rPr>
        <w:t>。结合本工程用海情况、所在海域特征及周边海域开发利用现状等实际情况，确定本工程论证范围。本工程论证范围东西长约</w:t>
      </w:r>
      <w:r>
        <w:rPr>
          <w:rFonts w:cs="Times New Roman"/>
        </w:rPr>
        <w:t>12km</w:t>
      </w:r>
      <w:r>
        <w:rPr>
          <w:rFonts w:cs="Times New Roman"/>
        </w:rPr>
        <w:t>，南北长约</w:t>
      </w:r>
      <w:r>
        <w:rPr>
          <w:rFonts w:cs="Times New Roman"/>
        </w:rPr>
        <w:t>11km</w:t>
      </w:r>
      <w:r>
        <w:rPr>
          <w:rFonts w:cs="Times New Roman"/>
        </w:rPr>
        <w:t>，论证面积为</w:t>
      </w:r>
      <w:r>
        <w:rPr>
          <w:rFonts w:cs="Times New Roman"/>
        </w:rPr>
        <w:t>65.1km²</w:t>
      </w:r>
      <w:r>
        <w:rPr>
          <w:rFonts w:cs="Times New Roman"/>
        </w:rPr>
        <w:t>。</w:t>
      </w:r>
    </w:p>
    <w:p w14:paraId="04184BA6" w14:textId="77777777" w:rsidR="00EB6ADA" w:rsidRDefault="00000000">
      <w:pPr>
        <w:pStyle w:val="2"/>
      </w:pPr>
      <w:bookmarkStart w:id="7" w:name="_Toc224053281"/>
      <w:r>
        <w:rPr>
          <w:rFonts w:hint="eastAsia"/>
        </w:rPr>
        <w:t>1</w:t>
      </w:r>
      <w:r>
        <w:t>.</w:t>
      </w:r>
      <w:r>
        <w:rPr>
          <w:rFonts w:hint="eastAsia"/>
        </w:rPr>
        <w:t>4</w:t>
      </w:r>
      <w:r>
        <w:rPr>
          <w:rFonts w:hint="eastAsia"/>
        </w:rPr>
        <w:t>项目用海必要性</w:t>
      </w:r>
      <w:bookmarkEnd w:id="7"/>
    </w:p>
    <w:p w14:paraId="331ADAC9" w14:textId="77777777" w:rsidR="00EB6ADA" w:rsidRDefault="00000000">
      <w:pPr>
        <w:pStyle w:val="3"/>
      </w:pPr>
      <w:r>
        <w:rPr>
          <w:rFonts w:hint="eastAsia"/>
        </w:rPr>
        <w:t>1</w:t>
      </w:r>
      <w:r>
        <w:t>.</w:t>
      </w:r>
      <w:r>
        <w:rPr>
          <w:rFonts w:hint="eastAsia"/>
        </w:rPr>
        <w:t>4</w:t>
      </w:r>
      <w:r>
        <w:t>.1</w:t>
      </w:r>
      <w:r>
        <w:rPr>
          <w:rFonts w:hint="eastAsia"/>
        </w:rPr>
        <w:t>项目建设的必要性</w:t>
      </w:r>
    </w:p>
    <w:p w14:paraId="28481C84" w14:textId="77777777" w:rsidR="00EB6ADA" w:rsidRDefault="00000000">
      <w:pPr>
        <w:pStyle w:val="10"/>
        <w:ind w:firstLine="480"/>
      </w:pPr>
      <w:r>
        <w:rPr>
          <w:rFonts w:hint="eastAsia"/>
        </w:rPr>
        <w:t>围头湾原进出石井作业区的航道为</w:t>
      </w:r>
      <w:r>
        <w:t>5000</w:t>
      </w:r>
      <w:r>
        <w:rPr>
          <w:rFonts w:hint="eastAsia"/>
        </w:rPr>
        <w:t>吨级通航航道，随着规划石井作业区的多用途码头区</w:t>
      </w:r>
      <w:r>
        <w:rPr>
          <w:rFonts w:hint="eastAsia"/>
          <w:lang w:val="en-GB"/>
        </w:rPr>
        <w:t>的建设，</w:t>
      </w:r>
      <w:r>
        <w:rPr>
          <w:rFonts w:hint="eastAsia"/>
        </w:rPr>
        <w:t>原</w:t>
      </w:r>
      <w:r>
        <w:rPr>
          <w:rFonts w:hint="eastAsia"/>
          <w:lang w:val="en-GB"/>
        </w:rPr>
        <w:t>航道规模已不能满足作业区</w:t>
      </w:r>
      <w:r>
        <w:rPr>
          <w:rFonts w:hint="eastAsia"/>
        </w:rPr>
        <w:t>主要码头泊位生产的需要。</w:t>
      </w:r>
      <w:r>
        <w:rPr>
          <w:rFonts w:hint="eastAsia"/>
          <w:bCs/>
        </w:rPr>
        <w:t>泉州围头湾石井航道二期工程的建设是满足石井作业区快速发展的迫切需要，是地区发展的重要保证，是促进对台经贸合作的需要。</w:t>
      </w:r>
      <w:r>
        <w:rPr>
          <w:rFonts w:hint="eastAsia"/>
        </w:rPr>
        <w:t>根据《泉州市人民政府关于公布</w:t>
      </w:r>
      <w:r>
        <w:t>2025</w:t>
      </w:r>
      <w:r>
        <w:rPr>
          <w:rFonts w:hint="eastAsia"/>
        </w:rPr>
        <w:t>年度市重点项目名单的通知》（泉政文〔</w:t>
      </w:r>
      <w:r>
        <w:t>2025</w:t>
      </w:r>
      <w:r>
        <w:rPr>
          <w:rFonts w:hint="eastAsia"/>
        </w:rPr>
        <w:t>〕</w:t>
      </w:r>
      <w:r>
        <w:t>10</w:t>
      </w:r>
      <w:r>
        <w:rPr>
          <w:rFonts w:hint="eastAsia"/>
        </w:rPr>
        <w:t>号），泉州围头湾石井航道二期工程被列为</w:t>
      </w:r>
      <w:r>
        <w:t>2025</w:t>
      </w:r>
      <w:r>
        <w:rPr>
          <w:rFonts w:hint="eastAsia"/>
        </w:rPr>
        <w:t>年度泉州市重点项目名单中的“在建重点项目”，泉州“十四五”现代综合交通运输体系专项规划提出要建设高质量综合</w:t>
      </w:r>
      <w:r>
        <w:rPr>
          <w:rFonts w:hint="eastAsia"/>
        </w:rPr>
        <w:lastRenderedPageBreak/>
        <w:t>立体交通网，加速泉州港口成型成势，加快港口扩容提质，形成功能更加完善，各港区整合协作、互补发展的泉州港。集中力量推进泉州湾中心港区规划建设，加快南翼石井作业区等整体连片滚动开发。加快泉州湾航道二期和围头湾石井作业区航道工程建设，解决公共航道制约问题。</w:t>
      </w:r>
      <w:r>
        <w:rPr>
          <w:rFonts w:cs="Times New Roman" w:hint="eastAsia"/>
          <w:szCs w:val="28"/>
        </w:rPr>
        <w:t>目前，石井航道二期工程已经步入最后收尾阶段，随着石井作业区大型泊位的建设，石井航道二期的建成完工愈加紧迫。根据剩余工程量的测算，石井航道二期工程主航道</w:t>
      </w:r>
      <w:r>
        <w:rPr>
          <w:rFonts w:ascii="宋体" w:hAnsi="宋体" w:cs="Times New Roman" w:hint="eastAsia"/>
          <w:szCs w:val="24"/>
        </w:rPr>
        <w:t>剩余疏浚工程量约</w:t>
      </w:r>
      <w:r>
        <w:rPr>
          <w:rFonts w:cs="Times New Roman"/>
          <w:szCs w:val="24"/>
        </w:rPr>
        <w:t>30.9</w:t>
      </w:r>
      <w:r>
        <w:rPr>
          <w:rFonts w:cs="Times New Roman" w:hint="eastAsia"/>
          <w:szCs w:val="24"/>
        </w:rPr>
        <w:t>万</w:t>
      </w:r>
      <w:r>
        <w:rPr>
          <w:rFonts w:cs="Times New Roman"/>
          <w:szCs w:val="24"/>
        </w:rPr>
        <w:t>m</w:t>
      </w:r>
      <w:r>
        <w:rPr>
          <w:rFonts w:cs="Times New Roman"/>
          <w:szCs w:val="24"/>
          <w:vertAlign w:val="superscript"/>
        </w:rPr>
        <w:t>3</w:t>
      </w:r>
      <w:r>
        <w:rPr>
          <w:rFonts w:cs="Times New Roman" w:hint="eastAsia"/>
          <w:szCs w:val="24"/>
        </w:rPr>
        <w:t>，拟由现有转运坑</w:t>
      </w:r>
      <w:r>
        <w:rPr>
          <w:rFonts w:cs="Times New Roman" w:hint="eastAsia"/>
          <w:color w:val="000000"/>
          <w:szCs w:val="24"/>
        </w:rPr>
        <w:t>接收</w:t>
      </w:r>
      <w:r>
        <w:rPr>
          <w:rFonts w:hint="eastAsia"/>
        </w:rPr>
        <w:t>。作为泉州围头湾石井航道二期工程的配套项目，转运坑是航道工程疏浚物妥善处置，保证航道后续清淤工作顺利推进的需要。</w:t>
      </w:r>
    </w:p>
    <w:p w14:paraId="717AC25D" w14:textId="77777777" w:rsidR="00EB6ADA" w:rsidRDefault="00000000">
      <w:pPr>
        <w:pStyle w:val="10"/>
        <w:ind w:firstLine="480"/>
      </w:pPr>
      <w:r>
        <w:rPr>
          <w:rFonts w:hint="eastAsia"/>
        </w:rPr>
        <w:t>此外，转运坑实施前原有泥面标高约</w:t>
      </w:r>
      <w:r>
        <w:t>-0.5m</w:t>
      </w:r>
      <w:r>
        <w:rPr>
          <w:rFonts w:hint="eastAsia"/>
        </w:rPr>
        <w:t>；经疏浚、纳泥、吹填后，根据</w:t>
      </w:r>
      <w:r>
        <w:t>2026</w:t>
      </w:r>
      <w:r>
        <w:rPr>
          <w:rFonts w:hint="eastAsia"/>
        </w:rPr>
        <w:t>年</w:t>
      </w:r>
      <w:r>
        <w:t>1</w:t>
      </w:r>
      <w:r>
        <w:rPr>
          <w:rFonts w:hint="eastAsia"/>
        </w:rPr>
        <w:t>月测深结果，现有转运坑泥面平均标高</w:t>
      </w:r>
      <w:r>
        <w:t>-6.0m</w:t>
      </w:r>
      <w:r>
        <w:rPr>
          <w:rFonts w:hint="eastAsia"/>
        </w:rPr>
        <w:t>，与周边海域存在较大高差。接纳石井航道二期后续疏浚物后，转运坑泥面标高将达到</w:t>
      </w:r>
      <w:r>
        <w:t>-4.0m</w:t>
      </w:r>
      <w:r>
        <w:rPr>
          <w:rFonts w:hint="eastAsia"/>
        </w:rPr>
        <w:t>。因此，将石井航道二期工程后续施工的疏浚物抛至现有转运坑，也是恢复转运坑地形的需要。</w:t>
      </w:r>
    </w:p>
    <w:p w14:paraId="0D7F5A25" w14:textId="77777777" w:rsidR="00EB6ADA" w:rsidRDefault="00000000">
      <w:pPr>
        <w:pStyle w:val="3"/>
      </w:pPr>
      <w:r>
        <w:rPr>
          <w:rFonts w:hint="eastAsia"/>
        </w:rPr>
        <w:t>1.4</w:t>
      </w:r>
      <w:r>
        <w:t>.2</w:t>
      </w:r>
      <w:r>
        <w:rPr>
          <w:rFonts w:hint="eastAsia"/>
        </w:rPr>
        <w:t>项目用海必要性</w:t>
      </w:r>
    </w:p>
    <w:p w14:paraId="69B1EBF8" w14:textId="1039EBDF" w:rsidR="00EB6ADA" w:rsidRDefault="00000000">
      <w:pPr>
        <w:pStyle w:val="10"/>
        <w:ind w:firstLine="480"/>
        <w:rPr>
          <w:rFonts w:cs="Times New Roman"/>
        </w:rPr>
      </w:pPr>
      <w:r>
        <w:rPr>
          <w:rFonts w:hint="eastAsia"/>
        </w:rPr>
        <w:t>为保证石井航道二期工程后续疏浚物的处置，恢复转运坑地形，转运坑的继续使用是必要的。航道疏浚物拟采用抛泥船运至转运坑抛掷，抛泥作业需要占用海域，</w:t>
      </w:r>
      <w:r w:rsidR="004002F0">
        <w:rPr>
          <w:rFonts w:hint="eastAsia"/>
        </w:rPr>
        <w:t>并</w:t>
      </w:r>
      <w:r>
        <w:rPr>
          <w:rFonts w:hint="eastAsia"/>
        </w:rPr>
        <w:t>且具有一定排他性，项目用海是必要的。</w:t>
      </w:r>
    </w:p>
    <w:p w14:paraId="69B68194" w14:textId="77777777" w:rsidR="00EB6ADA" w:rsidRDefault="00000000">
      <w:pPr>
        <w:pStyle w:val="2"/>
        <w:rPr>
          <w:rFonts w:cs="Times New Roman"/>
        </w:rPr>
      </w:pPr>
      <w:bookmarkStart w:id="8" w:name="_Toc224053282"/>
      <w:r>
        <w:rPr>
          <w:rFonts w:cs="Times New Roman"/>
        </w:rPr>
        <w:t>1</w:t>
      </w:r>
      <w:r>
        <w:rPr>
          <w:rFonts w:cs="Times New Roman" w:hint="eastAsia"/>
        </w:rPr>
        <w:t>.5</w:t>
      </w:r>
      <w:r>
        <w:rPr>
          <w:rFonts w:cs="Times New Roman"/>
        </w:rPr>
        <w:t>论证重点</w:t>
      </w:r>
      <w:bookmarkEnd w:id="8"/>
    </w:p>
    <w:p w14:paraId="1995E79B" w14:textId="77777777" w:rsidR="00EB6ADA" w:rsidRDefault="00000000">
      <w:pPr>
        <w:pStyle w:val="10"/>
        <w:ind w:firstLine="480"/>
        <w:rPr>
          <w:rFonts w:cs="Times New Roman"/>
        </w:rPr>
      </w:pPr>
      <w:r>
        <w:rPr>
          <w:rFonts w:cs="Times New Roman"/>
        </w:rPr>
        <w:t>根据本工程的用海特征和海域使用现状，本次论证的论证重点包括：</w:t>
      </w:r>
    </w:p>
    <w:p w14:paraId="26E2DACF" w14:textId="77777777" w:rsidR="00EB6ADA" w:rsidRDefault="00000000">
      <w:pPr>
        <w:pStyle w:val="10"/>
        <w:ind w:firstLine="480"/>
        <w:rPr>
          <w:rFonts w:cs="Times New Roman"/>
        </w:rPr>
      </w:pPr>
      <w:r>
        <w:rPr>
          <w:rFonts w:cs="Times New Roman"/>
        </w:rPr>
        <w:t>（</w:t>
      </w:r>
      <w:r>
        <w:rPr>
          <w:rFonts w:cs="Times New Roman"/>
        </w:rPr>
        <w:t>1</w:t>
      </w:r>
      <w:r>
        <w:rPr>
          <w:rFonts w:cs="Times New Roman"/>
        </w:rPr>
        <w:t>）悬浮泥沙入海对周边海域环境、生态影响分析；</w:t>
      </w:r>
    </w:p>
    <w:p w14:paraId="67F10533" w14:textId="77777777" w:rsidR="00EB6ADA" w:rsidRDefault="00000000">
      <w:pPr>
        <w:pStyle w:val="10"/>
        <w:ind w:firstLine="480"/>
        <w:rPr>
          <w:rFonts w:cs="Times New Roman"/>
        </w:rPr>
      </w:pPr>
      <w:r>
        <w:rPr>
          <w:rFonts w:cs="Times New Roman"/>
        </w:rPr>
        <w:t>（</w:t>
      </w:r>
      <w:r>
        <w:rPr>
          <w:rFonts w:cs="Times New Roman"/>
        </w:rPr>
        <w:t>2</w:t>
      </w:r>
      <w:r>
        <w:rPr>
          <w:rFonts w:cs="Times New Roman"/>
        </w:rPr>
        <w:t>）对海域水动力环境影响分析；</w:t>
      </w:r>
    </w:p>
    <w:p w14:paraId="246152BD" w14:textId="77777777" w:rsidR="00EB6ADA" w:rsidRDefault="00000000">
      <w:pPr>
        <w:pStyle w:val="10"/>
        <w:ind w:firstLine="480"/>
        <w:rPr>
          <w:rFonts w:cs="Times New Roman"/>
        </w:rPr>
      </w:pPr>
      <w:r>
        <w:rPr>
          <w:rFonts w:cs="Times New Roman"/>
        </w:rPr>
        <w:t>（</w:t>
      </w:r>
      <w:r>
        <w:rPr>
          <w:rFonts w:cs="Times New Roman"/>
        </w:rPr>
        <w:t>3</w:t>
      </w:r>
      <w:r>
        <w:rPr>
          <w:rFonts w:cs="Times New Roman"/>
        </w:rPr>
        <w:t>）生态用海对策措施</w:t>
      </w:r>
      <w:r>
        <w:rPr>
          <w:rFonts w:cs="Times New Roman" w:hint="eastAsia"/>
        </w:rPr>
        <w:t>；</w:t>
      </w:r>
    </w:p>
    <w:p w14:paraId="44AFF500" w14:textId="77777777" w:rsidR="00EB6ADA" w:rsidRDefault="00000000">
      <w:pPr>
        <w:pStyle w:val="10"/>
        <w:ind w:firstLine="480"/>
        <w:rPr>
          <w:rFonts w:cs="Times New Roman"/>
        </w:rPr>
      </w:pPr>
      <w:r>
        <w:rPr>
          <w:rFonts w:cs="Times New Roman" w:hint="eastAsia"/>
        </w:rPr>
        <w:t>（</w:t>
      </w:r>
      <w:r>
        <w:rPr>
          <w:rFonts w:cs="Times New Roman" w:hint="eastAsia"/>
        </w:rPr>
        <w:t>4</w:t>
      </w:r>
      <w:r>
        <w:rPr>
          <w:rFonts w:cs="Times New Roman" w:hint="eastAsia"/>
        </w:rPr>
        <w:t>）施工期噪声对中华白海豚的影响分析。</w:t>
      </w:r>
    </w:p>
    <w:p w14:paraId="2D56E0C3" w14:textId="77777777" w:rsidR="00EB6ADA" w:rsidRDefault="00EB6ADA">
      <w:pPr>
        <w:pStyle w:val="10"/>
        <w:ind w:firstLine="480"/>
        <w:rPr>
          <w:rFonts w:cs="Times New Roman"/>
        </w:rPr>
        <w:sectPr w:rsidR="00EB6ADA">
          <w:pgSz w:w="11906" w:h="16838"/>
          <w:pgMar w:top="1134" w:right="1134" w:bottom="1134" w:left="1134" w:header="851" w:footer="850" w:gutter="0"/>
          <w:cols w:space="425"/>
          <w:docGrid w:type="lines" w:linePitch="312"/>
        </w:sectPr>
      </w:pPr>
    </w:p>
    <w:p w14:paraId="78F9518F" w14:textId="77777777" w:rsidR="00EB6ADA" w:rsidRDefault="00000000">
      <w:pPr>
        <w:pStyle w:val="1"/>
        <w:rPr>
          <w:rFonts w:cs="Times New Roman"/>
        </w:rPr>
      </w:pPr>
      <w:bookmarkStart w:id="9" w:name="_Toc224053283"/>
      <w:r>
        <w:rPr>
          <w:rFonts w:cs="Times New Roman" w:hint="eastAsia"/>
        </w:rPr>
        <w:lastRenderedPageBreak/>
        <w:t>2</w:t>
      </w:r>
      <w:r>
        <w:rPr>
          <w:rFonts w:cs="Times New Roman"/>
        </w:rPr>
        <w:t>项目所在海域概况</w:t>
      </w:r>
      <w:bookmarkEnd w:id="9"/>
    </w:p>
    <w:p w14:paraId="0FBAC80C" w14:textId="77777777" w:rsidR="00EB6ADA" w:rsidRDefault="00000000">
      <w:pPr>
        <w:pStyle w:val="2"/>
        <w:rPr>
          <w:rFonts w:cs="Times New Roman"/>
        </w:rPr>
      </w:pPr>
      <w:bookmarkStart w:id="10" w:name="_Toc224053284"/>
      <w:r>
        <w:rPr>
          <w:rFonts w:cs="Times New Roman" w:hint="eastAsia"/>
        </w:rPr>
        <w:t>2</w:t>
      </w:r>
      <w:r>
        <w:rPr>
          <w:rFonts w:cs="Times New Roman"/>
        </w:rPr>
        <w:t>.1</w:t>
      </w:r>
      <w:r>
        <w:rPr>
          <w:rFonts w:cs="Times New Roman"/>
        </w:rPr>
        <w:t>海洋资源概况</w:t>
      </w:r>
      <w:bookmarkEnd w:id="10"/>
    </w:p>
    <w:p w14:paraId="0B9939D2" w14:textId="77777777" w:rsidR="00EB6ADA" w:rsidRDefault="00000000">
      <w:pPr>
        <w:pStyle w:val="3"/>
        <w:rPr>
          <w:rFonts w:cs="Times New Roman"/>
        </w:rPr>
      </w:pPr>
      <w:r>
        <w:rPr>
          <w:rFonts w:cs="Times New Roman" w:hint="eastAsia"/>
        </w:rPr>
        <w:t>2</w:t>
      </w:r>
      <w:r>
        <w:rPr>
          <w:rFonts w:cs="Times New Roman"/>
        </w:rPr>
        <w:t>.1.1</w:t>
      </w:r>
      <w:r>
        <w:rPr>
          <w:rFonts w:cs="Times New Roman"/>
        </w:rPr>
        <w:t>海岸线资源</w:t>
      </w:r>
    </w:p>
    <w:p w14:paraId="104BEF61" w14:textId="34DDC796" w:rsidR="00EB6ADA" w:rsidRDefault="00000000">
      <w:pPr>
        <w:pStyle w:val="10"/>
        <w:ind w:firstLine="480"/>
        <w:rPr>
          <w:rFonts w:cs="Times New Roman"/>
        </w:rPr>
      </w:pPr>
      <w:r>
        <w:rPr>
          <w:rFonts w:cs="Times New Roman"/>
        </w:rPr>
        <w:t>根据新修测海岸线，论证范围内海岸线长度</w:t>
      </w:r>
      <w:r>
        <w:rPr>
          <w:rFonts w:cs="Times New Roman"/>
        </w:rPr>
        <w:t>50.34km</w:t>
      </w:r>
      <w:r>
        <w:rPr>
          <w:rFonts w:cs="Times New Roman"/>
        </w:rPr>
        <w:t>，其中自然岸线约</w:t>
      </w:r>
      <w:r>
        <w:rPr>
          <w:rFonts w:cs="Times New Roman"/>
        </w:rPr>
        <w:t>9.05km</w:t>
      </w:r>
      <w:r>
        <w:rPr>
          <w:rFonts w:cs="Times New Roman"/>
        </w:rPr>
        <w:t>，人工岸线约</w:t>
      </w:r>
      <w:r>
        <w:rPr>
          <w:rFonts w:cs="Times New Roman"/>
        </w:rPr>
        <w:t>41.29km</w:t>
      </w:r>
      <w:r>
        <w:rPr>
          <w:rFonts w:cs="Times New Roman"/>
        </w:rPr>
        <w:t>。本项目拟申请用海距离海岸线最近约</w:t>
      </w:r>
      <w:r>
        <w:rPr>
          <w:rFonts w:cs="Times New Roman"/>
        </w:rPr>
        <w:t>0.4km</w:t>
      </w:r>
      <w:r>
        <w:rPr>
          <w:rFonts w:cs="Times New Roman"/>
        </w:rPr>
        <w:t>，不占用岸线。</w:t>
      </w:r>
    </w:p>
    <w:p w14:paraId="63EED6F7" w14:textId="77777777" w:rsidR="00EB6ADA" w:rsidRDefault="00000000">
      <w:pPr>
        <w:pStyle w:val="3"/>
        <w:rPr>
          <w:rFonts w:cs="Times New Roman"/>
        </w:rPr>
      </w:pPr>
      <w:r>
        <w:rPr>
          <w:rFonts w:cs="Times New Roman" w:hint="eastAsia"/>
        </w:rPr>
        <w:t>2</w:t>
      </w:r>
      <w:r>
        <w:rPr>
          <w:rFonts w:cs="Times New Roman"/>
        </w:rPr>
        <w:t>.1.2</w:t>
      </w:r>
      <w:r>
        <w:rPr>
          <w:rFonts w:cs="Times New Roman"/>
        </w:rPr>
        <w:t>港口资源</w:t>
      </w:r>
    </w:p>
    <w:p w14:paraId="5CB9B7AB" w14:textId="77777777" w:rsidR="00EB6ADA" w:rsidRDefault="00000000">
      <w:pPr>
        <w:pStyle w:val="10"/>
        <w:ind w:firstLine="480"/>
        <w:rPr>
          <w:rFonts w:cs="Times New Roman"/>
        </w:rPr>
      </w:pPr>
      <w:r>
        <w:rPr>
          <w:rFonts w:cs="Times New Roman"/>
        </w:rPr>
        <w:t>（</w:t>
      </w:r>
      <w:r>
        <w:rPr>
          <w:rFonts w:cs="Times New Roman"/>
        </w:rPr>
        <w:t>1</w:t>
      </w:r>
      <w:r>
        <w:rPr>
          <w:rFonts w:cs="Times New Roman"/>
        </w:rPr>
        <w:t>）港口岸线资源</w:t>
      </w:r>
    </w:p>
    <w:p w14:paraId="5BC7F136" w14:textId="0609538C" w:rsidR="00EB6ADA" w:rsidRDefault="00000000">
      <w:pPr>
        <w:pStyle w:val="10"/>
        <w:ind w:firstLine="480"/>
        <w:rPr>
          <w:rFonts w:cs="Times New Roman"/>
        </w:rPr>
      </w:pPr>
      <w:r>
        <w:rPr>
          <w:rFonts w:cs="Times New Roman"/>
        </w:rPr>
        <w:t>围头湾港区包括围头、石井、菊江、东石、水头、安海等作业区。围头岸线已开发利用</w:t>
      </w:r>
      <w:r>
        <w:rPr>
          <w:rFonts w:cs="Times New Roman"/>
        </w:rPr>
        <w:t>0.7</w:t>
      </w:r>
      <w:r>
        <w:rPr>
          <w:rFonts w:cs="Times New Roman" w:hint="eastAsia"/>
        </w:rPr>
        <w:t>km</w:t>
      </w:r>
      <w:r>
        <w:rPr>
          <w:rFonts w:cs="Times New Roman"/>
        </w:rPr>
        <w:t>，已建</w:t>
      </w:r>
      <w:r>
        <w:rPr>
          <w:rFonts w:cs="Times New Roman"/>
        </w:rPr>
        <w:t>1#~2#</w:t>
      </w:r>
      <w:r>
        <w:rPr>
          <w:rFonts w:cs="Times New Roman"/>
        </w:rPr>
        <w:t>泊位以及长城石化油码头；石井镇促进</w:t>
      </w:r>
      <w:r>
        <w:rPr>
          <w:rFonts w:cs="Times New Roman"/>
        </w:rPr>
        <w:t>~</w:t>
      </w:r>
      <w:r>
        <w:rPr>
          <w:rFonts w:cs="Times New Roman"/>
        </w:rPr>
        <w:t>营前</w:t>
      </w:r>
      <w:r>
        <w:rPr>
          <w:rFonts w:cs="Times New Roman"/>
        </w:rPr>
        <w:t>~</w:t>
      </w:r>
      <w:r>
        <w:rPr>
          <w:rFonts w:cs="Times New Roman"/>
        </w:rPr>
        <w:t>仙景岸线已开发利用</w:t>
      </w:r>
      <w:r>
        <w:rPr>
          <w:rFonts w:cs="Times New Roman"/>
        </w:rPr>
        <w:t>3.0</w:t>
      </w:r>
      <w:r>
        <w:rPr>
          <w:rFonts w:cs="Times New Roman" w:hint="eastAsia"/>
        </w:rPr>
        <w:t>km</w:t>
      </w:r>
      <w:r>
        <w:rPr>
          <w:rFonts w:cs="Times New Roman"/>
        </w:rPr>
        <w:t>，已建</w:t>
      </w:r>
      <w:r>
        <w:rPr>
          <w:rFonts w:cs="Times New Roman"/>
        </w:rPr>
        <w:t>10</w:t>
      </w:r>
      <w:r>
        <w:rPr>
          <w:rFonts w:cs="Times New Roman"/>
        </w:rPr>
        <w:t>个普货泊位、</w:t>
      </w:r>
      <w:r>
        <w:rPr>
          <w:rFonts w:cs="Times New Roman"/>
        </w:rPr>
        <w:t>2</w:t>
      </w:r>
      <w:r>
        <w:rPr>
          <w:rFonts w:cs="Times New Roman"/>
        </w:rPr>
        <w:t>个客运泊位及</w:t>
      </w:r>
      <w:r>
        <w:rPr>
          <w:rFonts w:cs="Times New Roman"/>
        </w:rPr>
        <w:t>8</w:t>
      </w:r>
      <w:r>
        <w:rPr>
          <w:rFonts w:cs="Times New Roman"/>
        </w:rPr>
        <w:t>个液散泊位；东石镇岸线已利用岸线</w:t>
      </w:r>
      <w:r>
        <w:rPr>
          <w:rFonts w:cs="Times New Roman"/>
        </w:rPr>
        <w:t>0.9</w:t>
      </w:r>
      <w:r>
        <w:rPr>
          <w:rFonts w:cs="Times New Roman" w:hint="eastAsia"/>
        </w:rPr>
        <w:t>km</w:t>
      </w:r>
      <w:r>
        <w:rPr>
          <w:rFonts w:cs="Times New Roman"/>
        </w:rPr>
        <w:t>；水头、安海镇岸线已利用岸线</w:t>
      </w:r>
      <w:r>
        <w:rPr>
          <w:rFonts w:cs="Times New Roman"/>
        </w:rPr>
        <w:t>1.5</w:t>
      </w:r>
      <w:r>
        <w:rPr>
          <w:rFonts w:cs="Times New Roman" w:hint="eastAsia"/>
        </w:rPr>
        <w:t>km</w:t>
      </w:r>
      <w:r>
        <w:rPr>
          <w:rFonts w:cs="Times New Roman"/>
        </w:rPr>
        <w:t>；菊江作业点已利用岸线</w:t>
      </w:r>
      <w:r>
        <w:rPr>
          <w:rFonts w:cs="Times New Roman"/>
        </w:rPr>
        <w:t>0.3</w:t>
      </w:r>
      <w:r>
        <w:rPr>
          <w:rFonts w:cs="Times New Roman" w:hint="eastAsia"/>
        </w:rPr>
        <w:t>km</w:t>
      </w:r>
      <w:r>
        <w:rPr>
          <w:rFonts w:cs="Times New Roman"/>
        </w:rPr>
        <w:t>。港口岸线位于围头湾及安海湾内，已利用自然岸线</w:t>
      </w:r>
      <w:r>
        <w:rPr>
          <w:rFonts w:cs="Times New Roman"/>
        </w:rPr>
        <w:t>6.4</w:t>
      </w:r>
      <w:r>
        <w:rPr>
          <w:rFonts w:cs="Times New Roman" w:hint="eastAsia"/>
        </w:rPr>
        <w:t>km</w:t>
      </w:r>
      <w:r>
        <w:rPr>
          <w:rFonts w:cs="Times New Roman"/>
        </w:rPr>
        <w:t>，其中深水岸线</w:t>
      </w:r>
      <w:r>
        <w:rPr>
          <w:rFonts w:cs="Times New Roman"/>
        </w:rPr>
        <w:t>0.6</w:t>
      </w:r>
      <w:r>
        <w:rPr>
          <w:rFonts w:cs="Times New Roman" w:hint="eastAsia"/>
        </w:rPr>
        <w:t>km</w:t>
      </w:r>
      <w:r>
        <w:rPr>
          <w:rFonts w:cs="Times New Roman"/>
        </w:rPr>
        <w:t>，建成千吨级以上泊位</w:t>
      </w:r>
      <w:r>
        <w:rPr>
          <w:rFonts w:cs="Times New Roman"/>
        </w:rPr>
        <w:t>26</w:t>
      </w:r>
      <w:r>
        <w:rPr>
          <w:rFonts w:cs="Times New Roman"/>
        </w:rPr>
        <w:t>个，其中万吨级以上泊位</w:t>
      </w:r>
      <w:r>
        <w:rPr>
          <w:rFonts w:cs="Times New Roman"/>
        </w:rPr>
        <w:t>2</w:t>
      </w:r>
      <w:r>
        <w:rPr>
          <w:rFonts w:cs="Times New Roman"/>
        </w:rPr>
        <w:t>个。</w:t>
      </w:r>
    </w:p>
    <w:p w14:paraId="207D9982" w14:textId="77777777" w:rsidR="00EB6ADA" w:rsidRDefault="00000000">
      <w:pPr>
        <w:pStyle w:val="10"/>
        <w:ind w:firstLine="480"/>
        <w:rPr>
          <w:rFonts w:cs="Times New Roman"/>
        </w:rPr>
      </w:pPr>
      <w:r>
        <w:rPr>
          <w:rFonts w:cs="Times New Roman"/>
        </w:rPr>
        <w:t>（</w:t>
      </w:r>
      <w:r>
        <w:rPr>
          <w:rFonts w:cs="Times New Roman"/>
        </w:rPr>
        <w:t>2</w:t>
      </w:r>
      <w:r>
        <w:rPr>
          <w:rFonts w:cs="Times New Roman"/>
        </w:rPr>
        <w:t>）航道资源</w:t>
      </w:r>
    </w:p>
    <w:p w14:paraId="0D76D17E" w14:textId="77777777" w:rsidR="00EB6ADA" w:rsidRDefault="00000000">
      <w:pPr>
        <w:pStyle w:val="10"/>
        <w:ind w:firstLine="480"/>
        <w:rPr>
          <w:rFonts w:cs="Times New Roman"/>
        </w:rPr>
      </w:pPr>
      <w:r>
        <w:rPr>
          <w:rFonts w:cs="Times New Roman"/>
        </w:rPr>
        <w:t>围头湾内现有航道</w:t>
      </w:r>
      <w:r>
        <w:rPr>
          <w:rFonts w:cs="Times New Roman"/>
        </w:rPr>
        <w:t>5</w:t>
      </w:r>
      <w:r>
        <w:rPr>
          <w:rFonts w:cs="Times New Roman"/>
        </w:rPr>
        <w:t>条，包括石井航道、围头湾</w:t>
      </w:r>
      <w:r>
        <w:rPr>
          <w:rFonts w:cs="Times New Roman"/>
        </w:rPr>
        <w:t>10</w:t>
      </w:r>
      <w:r>
        <w:rPr>
          <w:rFonts w:cs="Times New Roman"/>
        </w:rPr>
        <w:t>万吨级航道、菊江航道、安海湾</w:t>
      </w:r>
      <w:r>
        <w:rPr>
          <w:rFonts w:cs="Times New Roman"/>
        </w:rPr>
        <w:t>2000</w:t>
      </w:r>
      <w:r>
        <w:rPr>
          <w:rFonts w:cs="Times New Roman"/>
        </w:rPr>
        <w:t>吨级航道、泉金航线。石井航道二期工程正在建设，建成后，</w:t>
      </w:r>
      <w:r>
        <w:rPr>
          <w:rFonts w:cs="Times New Roman"/>
        </w:rPr>
        <w:t>S</w:t>
      </w:r>
      <w:r w:rsidRPr="00A3460E">
        <w:rPr>
          <w:rFonts w:cs="Times New Roman"/>
          <w:vertAlign w:val="subscript"/>
        </w:rPr>
        <w:t>1</w:t>
      </w:r>
      <w:r>
        <w:rPr>
          <w:rFonts w:cs="Times New Roman"/>
        </w:rPr>
        <w:t>′~S</w:t>
      </w:r>
      <w:r w:rsidRPr="00A3460E">
        <w:rPr>
          <w:rFonts w:cs="Times New Roman"/>
          <w:vertAlign w:val="subscript"/>
        </w:rPr>
        <w:t>4</w:t>
      </w:r>
      <w:r>
        <w:rPr>
          <w:rFonts w:cs="Times New Roman"/>
        </w:rPr>
        <w:t>航段可满足</w:t>
      </w:r>
      <w:r>
        <w:rPr>
          <w:rFonts w:cs="Times New Roman"/>
        </w:rPr>
        <w:t>3</w:t>
      </w:r>
      <w:r>
        <w:rPr>
          <w:rFonts w:cs="Times New Roman"/>
        </w:rPr>
        <w:t>万吨级船舶乘潮双线通航要求；</w:t>
      </w:r>
      <w:r>
        <w:rPr>
          <w:rFonts w:cs="Times New Roman"/>
        </w:rPr>
        <w:t>S</w:t>
      </w:r>
      <w:r w:rsidRPr="00A3460E">
        <w:rPr>
          <w:rFonts w:cs="Times New Roman"/>
          <w:vertAlign w:val="subscript"/>
        </w:rPr>
        <w:t>4</w:t>
      </w:r>
      <w:r>
        <w:rPr>
          <w:rFonts w:cs="Times New Roman"/>
        </w:rPr>
        <w:t>~S</w:t>
      </w:r>
      <w:r w:rsidRPr="00A3460E">
        <w:rPr>
          <w:rFonts w:cs="Times New Roman"/>
          <w:vertAlign w:val="subscript"/>
        </w:rPr>
        <w:t>6</w:t>
      </w:r>
      <w:r>
        <w:rPr>
          <w:rFonts w:cs="Times New Roman"/>
        </w:rPr>
        <w:t>航段可满足</w:t>
      </w:r>
      <w:r>
        <w:rPr>
          <w:rFonts w:cs="Times New Roman"/>
        </w:rPr>
        <w:t>3</w:t>
      </w:r>
      <w:r>
        <w:rPr>
          <w:rFonts w:cs="Times New Roman"/>
        </w:rPr>
        <w:t>万吨级船舶乘潮单线通航要求；</w:t>
      </w:r>
      <w:r>
        <w:rPr>
          <w:rFonts w:cs="Times New Roman"/>
        </w:rPr>
        <w:t>S</w:t>
      </w:r>
      <w:r w:rsidRPr="00A3460E">
        <w:rPr>
          <w:rFonts w:cs="Times New Roman"/>
          <w:vertAlign w:val="subscript"/>
        </w:rPr>
        <w:t>6</w:t>
      </w:r>
      <w:r>
        <w:rPr>
          <w:rFonts w:cs="Times New Roman"/>
        </w:rPr>
        <w:t>~S</w:t>
      </w:r>
      <w:r w:rsidRPr="00A3460E">
        <w:rPr>
          <w:rFonts w:cs="Times New Roman"/>
          <w:vertAlign w:val="subscript"/>
        </w:rPr>
        <w:t>8</w:t>
      </w:r>
      <w:r>
        <w:rPr>
          <w:rFonts w:cs="Times New Roman"/>
        </w:rPr>
        <w:t>航段可满足</w:t>
      </w:r>
      <w:r>
        <w:rPr>
          <w:rFonts w:cs="Times New Roman"/>
        </w:rPr>
        <w:t>5000</w:t>
      </w:r>
      <w:r>
        <w:rPr>
          <w:rFonts w:cs="Times New Roman"/>
        </w:rPr>
        <w:t>吨级杂货船全潮单线通航要求。</w:t>
      </w:r>
    </w:p>
    <w:p w14:paraId="224F8A45" w14:textId="77777777" w:rsidR="00EB6ADA" w:rsidRDefault="00000000">
      <w:pPr>
        <w:pStyle w:val="10"/>
        <w:ind w:firstLine="480"/>
        <w:rPr>
          <w:rFonts w:cs="Times New Roman"/>
        </w:rPr>
      </w:pPr>
      <w:r>
        <w:rPr>
          <w:rFonts w:cs="Times New Roman"/>
        </w:rPr>
        <w:t>（</w:t>
      </w:r>
      <w:r>
        <w:rPr>
          <w:rFonts w:cs="Times New Roman"/>
        </w:rPr>
        <w:t>3</w:t>
      </w:r>
      <w:r>
        <w:rPr>
          <w:rFonts w:cs="Times New Roman"/>
        </w:rPr>
        <w:t>）锚地资源</w:t>
      </w:r>
    </w:p>
    <w:p w14:paraId="60783515" w14:textId="77777777" w:rsidR="00EB6ADA" w:rsidRDefault="00000000">
      <w:pPr>
        <w:pStyle w:val="10"/>
        <w:ind w:firstLine="480"/>
        <w:rPr>
          <w:rFonts w:cs="Times New Roman"/>
        </w:rPr>
      </w:pPr>
      <w:r>
        <w:rPr>
          <w:rFonts w:cs="Times New Roman"/>
        </w:rPr>
        <w:t>围头湾口现有</w:t>
      </w:r>
      <w:r>
        <w:rPr>
          <w:rFonts w:cs="Times New Roman"/>
        </w:rPr>
        <w:t>3</w:t>
      </w:r>
      <w:r>
        <w:rPr>
          <w:rFonts w:cs="Times New Roman"/>
        </w:rPr>
        <w:t>处锚地，分别为湾口的引航检疫锚地、</w:t>
      </w:r>
      <w:r>
        <w:rPr>
          <w:rFonts w:cs="Times New Roman"/>
        </w:rPr>
        <w:t>1#</w:t>
      </w:r>
      <w:r>
        <w:rPr>
          <w:rFonts w:cs="Times New Roman"/>
        </w:rPr>
        <w:t>临时过驳锚地和围头湾大型船舶锚地。</w:t>
      </w:r>
    </w:p>
    <w:p w14:paraId="7E99536C" w14:textId="77777777" w:rsidR="00EB6ADA" w:rsidRDefault="00000000">
      <w:pPr>
        <w:pStyle w:val="3"/>
        <w:rPr>
          <w:rFonts w:cs="Times New Roman"/>
        </w:rPr>
      </w:pPr>
      <w:r>
        <w:rPr>
          <w:rFonts w:cs="Times New Roman" w:hint="eastAsia"/>
        </w:rPr>
        <w:t>2</w:t>
      </w:r>
      <w:r>
        <w:rPr>
          <w:rFonts w:cs="Times New Roman"/>
        </w:rPr>
        <w:t>.1.3</w:t>
      </w:r>
      <w:r>
        <w:rPr>
          <w:rFonts w:cs="Times New Roman"/>
        </w:rPr>
        <w:t>岛礁资源</w:t>
      </w:r>
    </w:p>
    <w:p w14:paraId="5B224C8B" w14:textId="77777777" w:rsidR="00EB6ADA" w:rsidRDefault="00000000">
      <w:pPr>
        <w:pStyle w:val="10"/>
        <w:ind w:firstLine="480"/>
        <w:rPr>
          <w:rFonts w:cs="Times New Roman"/>
        </w:rPr>
      </w:pPr>
      <w:r>
        <w:rPr>
          <w:rFonts w:cs="Times New Roman"/>
        </w:rPr>
        <w:t>本工程周边海域的岛礁主要有东礁、南礁、澎鞍担礁、五屿礁、白洋屿、张塔、西姑房礁、内白屿、小百屿、大百屿、圭屿等。其中，内澎鞍担礁、五屿礁是干出礁，张塔属于明礁，内白屿、小百屿、大百屿、西姑房礁、白洋屿、草鞋礁、圭屿等属于无居民海岛。</w:t>
      </w:r>
    </w:p>
    <w:p w14:paraId="4DDF6981" w14:textId="77777777" w:rsidR="00EB6ADA" w:rsidRDefault="00000000">
      <w:pPr>
        <w:pStyle w:val="3"/>
        <w:rPr>
          <w:rFonts w:cs="Times New Roman"/>
        </w:rPr>
      </w:pPr>
      <w:r>
        <w:rPr>
          <w:rFonts w:cs="Times New Roman" w:hint="eastAsia"/>
        </w:rPr>
        <w:t>2</w:t>
      </w:r>
      <w:r>
        <w:rPr>
          <w:rFonts w:cs="Times New Roman"/>
        </w:rPr>
        <w:t>.1.4</w:t>
      </w:r>
      <w:r>
        <w:rPr>
          <w:rFonts w:cs="Times New Roman"/>
        </w:rPr>
        <w:t>渔业资源</w:t>
      </w:r>
    </w:p>
    <w:p w14:paraId="0EDF611E" w14:textId="77777777" w:rsidR="00EB6ADA" w:rsidRDefault="00000000" w:rsidP="00A3460E">
      <w:pPr>
        <w:pStyle w:val="10"/>
        <w:adjustRightInd w:val="0"/>
        <w:snapToGrid w:val="0"/>
        <w:ind w:firstLine="480"/>
        <w:rPr>
          <w:color w:val="000000"/>
          <w:szCs w:val="24"/>
        </w:rPr>
      </w:pPr>
      <w:r>
        <w:rPr>
          <w:rFonts w:hint="eastAsia"/>
        </w:rPr>
        <w:t>围头湾</w:t>
      </w:r>
      <w:r>
        <w:t>东临台湾海峡，海域水质肥沃，天然饵料丰富，适宜多种生物生长、繁殖栖息，渔业资源丰富，是鱼虾贝藻类主要养殖区。</w:t>
      </w:r>
      <w:r>
        <w:rPr>
          <w:rFonts w:cs="宋体" w:hint="eastAsia"/>
          <w:color w:val="000000"/>
          <w:szCs w:val="24"/>
          <w:lang w:bidi="ar"/>
        </w:rPr>
        <w:t>常能捕获的重要水生动物有石斑鱼、鲈鱼、真鲷、黑鲷、鲻鱼、马鲛鱼、黄鳍鲷、长毛对虾、日本对虾等。</w:t>
      </w:r>
    </w:p>
    <w:p w14:paraId="2A9D7AEA" w14:textId="77777777" w:rsidR="00EB6ADA" w:rsidRDefault="00000000">
      <w:pPr>
        <w:pStyle w:val="3"/>
        <w:rPr>
          <w:rFonts w:cs="Times New Roman"/>
        </w:rPr>
      </w:pPr>
      <w:r>
        <w:rPr>
          <w:rFonts w:cs="Times New Roman" w:hint="eastAsia"/>
        </w:rPr>
        <w:lastRenderedPageBreak/>
        <w:t>2.</w:t>
      </w:r>
      <w:r>
        <w:rPr>
          <w:rFonts w:cs="Times New Roman"/>
        </w:rPr>
        <w:t>1.5</w:t>
      </w:r>
      <w:r>
        <w:rPr>
          <w:rFonts w:cs="Times New Roman"/>
        </w:rPr>
        <w:t>旅游资源</w:t>
      </w:r>
    </w:p>
    <w:p w14:paraId="768133A1" w14:textId="19930E7D" w:rsidR="00EB6ADA" w:rsidRDefault="00000000">
      <w:pPr>
        <w:pStyle w:val="10"/>
        <w:ind w:firstLine="480"/>
        <w:rPr>
          <w:rFonts w:cs="Times New Roman"/>
        </w:rPr>
      </w:pPr>
      <w:r>
        <w:rPr>
          <w:rFonts w:cs="Times New Roman"/>
        </w:rPr>
        <w:t>位于石井镇奎霞、菊江一带的沙滩，长数百米、宽几十米，沙质优良，坡度适宜，水温宜人，</w:t>
      </w:r>
      <w:r w:rsidR="004002F0">
        <w:rPr>
          <w:rFonts w:cs="Times New Roman" w:hint="eastAsia"/>
        </w:rPr>
        <w:t>并</w:t>
      </w:r>
      <w:r>
        <w:rPr>
          <w:rFonts w:cs="Times New Roman"/>
        </w:rPr>
        <w:t>且有防护林庇护，辟为海水浴场</w:t>
      </w:r>
      <w:r>
        <w:rPr>
          <w:rFonts w:cs="Times New Roman" w:hint="eastAsia"/>
        </w:rPr>
        <w:t>；</w:t>
      </w:r>
      <w:r>
        <w:rPr>
          <w:rFonts w:cs="Times New Roman"/>
        </w:rPr>
        <w:t>大佰岛系花岗岩岛屿</w:t>
      </w:r>
      <w:r>
        <w:rPr>
          <w:rFonts w:cs="Times New Roman" w:hint="eastAsia"/>
        </w:rPr>
        <w:t>，</w:t>
      </w:r>
      <w:r>
        <w:rPr>
          <w:rFonts w:cs="Times New Roman"/>
        </w:rPr>
        <w:t>沿岛洁白的细砂沙滩与奇形怪状的礁石组成海石景观，潮落时露</w:t>
      </w:r>
      <w:r w:rsidR="004002F0">
        <w:rPr>
          <w:rFonts w:cs="Times New Roman" w:hint="eastAsia"/>
        </w:rPr>
        <w:t>出海平面</w:t>
      </w:r>
      <w:r>
        <w:rPr>
          <w:rFonts w:cs="Times New Roman"/>
        </w:rPr>
        <w:t>的礁石相连组成一幅天然的</w:t>
      </w:r>
      <w:r>
        <w:rPr>
          <w:rFonts w:ascii="宋体" w:hAnsi="宋体" w:cs="宋体" w:hint="eastAsia"/>
        </w:rPr>
        <w:t>“海市蜃楼”</w:t>
      </w:r>
      <w:r>
        <w:rPr>
          <w:rFonts w:cs="Times New Roman"/>
        </w:rPr>
        <w:t>奇观，有沙滩、岩石、树林、多种海洋生物，是避暑度假休闲的好地方。</w:t>
      </w:r>
    </w:p>
    <w:p w14:paraId="55A69269" w14:textId="77777777" w:rsidR="00EB6ADA" w:rsidRDefault="00000000">
      <w:pPr>
        <w:pStyle w:val="2"/>
        <w:rPr>
          <w:rFonts w:cs="Times New Roman"/>
        </w:rPr>
      </w:pPr>
      <w:bookmarkStart w:id="11" w:name="_Toc224053285"/>
      <w:r>
        <w:rPr>
          <w:rFonts w:cs="Times New Roman" w:hint="eastAsia"/>
        </w:rPr>
        <w:t>2</w:t>
      </w:r>
      <w:r>
        <w:rPr>
          <w:rFonts w:cs="Times New Roman"/>
        </w:rPr>
        <w:t>.2</w:t>
      </w:r>
      <w:r>
        <w:rPr>
          <w:rFonts w:cs="Times New Roman"/>
        </w:rPr>
        <w:t>海洋生态概况</w:t>
      </w:r>
      <w:bookmarkEnd w:id="11"/>
    </w:p>
    <w:p w14:paraId="724BA7C6" w14:textId="77777777" w:rsidR="00EB6ADA" w:rsidRDefault="00000000">
      <w:pPr>
        <w:pStyle w:val="3"/>
        <w:rPr>
          <w:rFonts w:cs="Times New Roman"/>
        </w:rPr>
      </w:pPr>
      <w:r>
        <w:rPr>
          <w:rFonts w:cs="Times New Roman" w:hint="eastAsia"/>
        </w:rPr>
        <w:t>2</w:t>
      </w:r>
      <w:r>
        <w:rPr>
          <w:rFonts w:cs="Times New Roman"/>
        </w:rPr>
        <w:t>.2.1</w:t>
      </w:r>
      <w:r>
        <w:rPr>
          <w:rFonts w:cs="Times New Roman"/>
        </w:rPr>
        <w:t>区域气候与气象</w:t>
      </w:r>
    </w:p>
    <w:p w14:paraId="5B704AC4" w14:textId="3B8E3ADE"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rPr>
        <w:t>项目位于泉州市围头湾，属亚热带海洋季风性气候，具有四季气候湿润温暖，季风明显，台风频繁，雨量集中。根据</w:t>
      </w:r>
      <w:r>
        <w:rPr>
          <w:rFonts w:ascii="Times New Roman" w:eastAsia="宋体" w:hAnsi="Times New Roman" w:cs="Times New Roman"/>
          <w:sz w:val="24"/>
          <w:szCs w:val="24"/>
        </w:rPr>
        <w:t>晋江气象站与崇武海洋站</w:t>
      </w:r>
      <w:r>
        <w:rPr>
          <w:rFonts w:ascii="Times New Roman" w:eastAsia="宋体" w:hAnsi="Times New Roman" w:cs="Times New Roman"/>
          <w:sz w:val="24"/>
          <w:szCs w:val="24"/>
        </w:rPr>
        <w:t>2000~2015</w:t>
      </w:r>
      <w:r>
        <w:rPr>
          <w:rFonts w:ascii="Times New Roman" w:eastAsia="宋体" w:hAnsi="Times New Roman" w:cs="Times New Roman"/>
          <w:sz w:val="24"/>
          <w:szCs w:val="24"/>
        </w:rPr>
        <w:t>年的数据统计，各气象要素特征值如下：</w:t>
      </w:r>
    </w:p>
    <w:p w14:paraId="7DF13A82"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）气温</w:t>
      </w:r>
    </w:p>
    <w:p w14:paraId="2A5E905A"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多年平均气温</w:t>
      </w:r>
      <w:r>
        <w:rPr>
          <w:rFonts w:ascii="Times New Roman" w:eastAsia="宋体" w:hAnsi="Times New Roman" w:cs="Times New Roman"/>
          <w:sz w:val="24"/>
          <w:szCs w:val="24"/>
        </w:rPr>
        <w:t>19.9℃</w:t>
      </w:r>
      <w:r>
        <w:rPr>
          <w:rFonts w:ascii="Times New Roman" w:eastAsia="宋体" w:hAnsi="Times New Roman" w:cs="Times New Roman"/>
          <w:sz w:val="24"/>
          <w:szCs w:val="24"/>
        </w:rPr>
        <w:t>，最热月份出现在</w:t>
      </w:r>
      <w:r>
        <w:rPr>
          <w:rFonts w:ascii="Times New Roman" w:eastAsia="宋体" w:hAnsi="Times New Roman" w:cs="Times New Roman"/>
          <w:sz w:val="24"/>
          <w:szCs w:val="24"/>
        </w:rPr>
        <w:t>7</w:t>
      </w:r>
      <w:r>
        <w:rPr>
          <w:rFonts w:ascii="Times New Roman" w:eastAsia="宋体" w:hAnsi="Times New Roman" w:cs="Times New Roman"/>
          <w:sz w:val="24"/>
          <w:szCs w:val="24"/>
        </w:rPr>
        <w:t>月，月平均气温</w:t>
      </w:r>
      <w:r>
        <w:rPr>
          <w:rFonts w:ascii="Times New Roman" w:eastAsia="宋体" w:hAnsi="Times New Roman" w:cs="Times New Roman"/>
          <w:sz w:val="24"/>
          <w:szCs w:val="24"/>
        </w:rPr>
        <w:t>27-29.0℃</w:t>
      </w:r>
      <w:r>
        <w:rPr>
          <w:rFonts w:ascii="Times New Roman" w:eastAsia="宋体" w:hAnsi="Times New Roman" w:cs="Times New Roman"/>
          <w:sz w:val="24"/>
          <w:szCs w:val="24"/>
        </w:rPr>
        <w:t>，最冷月份出现在</w:t>
      </w:r>
      <w:r>
        <w:rPr>
          <w:rFonts w:ascii="Times New Roman" w:eastAsia="宋体" w:hAnsi="Times New Roman" w:cs="Times New Roman"/>
          <w:sz w:val="24"/>
          <w:szCs w:val="24"/>
        </w:rPr>
        <w:t>1</w:t>
      </w:r>
      <w:r>
        <w:rPr>
          <w:rFonts w:ascii="Times New Roman" w:eastAsia="宋体" w:hAnsi="Times New Roman" w:cs="Times New Roman"/>
          <w:sz w:val="24"/>
          <w:szCs w:val="24"/>
        </w:rPr>
        <w:t>月，月平均气温</w:t>
      </w:r>
      <w:r>
        <w:rPr>
          <w:rFonts w:ascii="Times New Roman" w:eastAsia="宋体" w:hAnsi="Times New Roman" w:cs="Times New Roman"/>
          <w:sz w:val="24"/>
          <w:szCs w:val="24"/>
        </w:rPr>
        <w:t>11-13℃</w:t>
      </w:r>
      <w:r>
        <w:rPr>
          <w:rFonts w:ascii="Times New Roman" w:eastAsia="宋体" w:hAnsi="Times New Roman" w:cs="Times New Roman"/>
          <w:sz w:val="24"/>
          <w:szCs w:val="24"/>
        </w:rPr>
        <w:t>；历年极端最高气温</w:t>
      </w:r>
      <w:r>
        <w:rPr>
          <w:rFonts w:ascii="Times New Roman" w:eastAsia="宋体" w:hAnsi="Times New Roman" w:cs="Times New Roman"/>
          <w:sz w:val="24"/>
          <w:szCs w:val="24"/>
        </w:rPr>
        <w:t>37.0℃</w:t>
      </w:r>
      <w:r>
        <w:rPr>
          <w:rFonts w:ascii="Times New Roman" w:eastAsia="宋体" w:hAnsi="Times New Roman" w:cs="Times New Roman"/>
          <w:sz w:val="24"/>
          <w:szCs w:val="24"/>
        </w:rPr>
        <w:t>，历年极端最低气温</w:t>
      </w:r>
      <w:r>
        <w:rPr>
          <w:rFonts w:ascii="Times New Roman" w:eastAsia="宋体" w:hAnsi="Times New Roman" w:cs="Times New Roman"/>
          <w:sz w:val="24"/>
          <w:szCs w:val="24"/>
        </w:rPr>
        <w:t>-0.3℃</w:t>
      </w:r>
      <w:r>
        <w:rPr>
          <w:rFonts w:ascii="Times New Roman" w:eastAsia="宋体" w:hAnsi="Times New Roman" w:cs="Times New Roman"/>
          <w:sz w:val="24"/>
          <w:szCs w:val="24"/>
        </w:rPr>
        <w:t>。全年日最高气温</w:t>
      </w:r>
      <w:r>
        <w:rPr>
          <w:rFonts w:ascii="Times New Roman" w:eastAsia="宋体" w:hAnsi="Times New Roman" w:cs="Times New Roman"/>
          <w:sz w:val="24"/>
          <w:szCs w:val="24"/>
        </w:rPr>
        <w:t>≥35℃</w:t>
      </w:r>
      <w:r>
        <w:rPr>
          <w:rFonts w:ascii="Times New Roman" w:eastAsia="宋体" w:hAnsi="Times New Roman" w:cs="Times New Roman"/>
          <w:sz w:val="24"/>
          <w:szCs w:val="24"/>
        </w:rPr>
        <w:t>的天数平均为</w:t>
      </w:r>
      <w:r>
        <w:rPr>
          <w:rFonts w:ascii="Times New Roman" w:eastAsia="宋体" w:hAnsi="Times New Roman" w:cs="Times New Roman"/>
          <w:sz w:val="24"/>
          <w:szCs w:val="24"/>
        </w:rPr>
        <w:t>3.1</w:t>
      </w:r>
      <w:r>
        <w:rPr>
          <w:rFonts w:ascii="Times New Roman" w:eastAsia="宋体" w:hAnsi="Times New Roman" w:cs="Times New Roman"/>
          <w:sz w:val="24"/>
          <w:szCs w:val="24"/>
        </w:rPr>
        <w:t>天。</w:t>
      </w:r>
    </w:p>
    <w:p w14:paraId="08D4A1BE"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）降水</w:t>
      </w:r>
    </w:p>
    <w:p w14:paraId="604DAFB7"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全年降水主要集中在春初到秋初之间，降水集中月份在</w:t>
      </w:r>
      <w:r>
        <w:rPr>
          <w:rFonts w:ascii="Times New Roman" w:eastAsia="宋体" w:hAnsi="Times New Roman" w:cs="Times New Roman"/>
          <w:sz w:val="24"/>
          <w:szCs w:val="24"/>
        </w:rPr>
        <w:t>3-9</w:t>
      </w:r>
      <w:r>
        <w:rPr>
          <w:rFonts w:ascii="Times New Roman" w:eastAsia="宋体" w:hAnsi="Times New Roman" w:cs="Times New Roman"/>
          <w:sz w:val="24"/>
          <w:szCs w:val="24"/>
        </w:rPr>
        <w:t>月，降水量平均占全年降水总量的</w:t>
      </w:r>
      <w:r>
        <w:rPr>
          <w:rFonts w:ascii="Times New Roman" w:eastAsia="宋体" w:hAnsi="Times New Roman" w:cs="Times New Roman"/>
          <w:sz w:val="24"/>
          <w:szCs w:val="24"/>
        </w:rPr>
        <w:t>89.4%</w:t>
      </w:r>
      <w:r>
        <w:rPr>
          <w:rFonts w:ascii="Times New Roman" w:eastAsia="宋体" w:hAnsi="Times New Roman" w:cs="Times New Roman"/>
          <w:sz w:val="24"/>
          <w:szCs w:val="24"/>
        </w:rPr>
        <w:t>，而</w:t>
      </w:r>
      <w:r>
        <w:rPr>
          <w:rFonts w:ascii="Times New Roman" w:eastAsia="宋体" w:hAnsi="Times New Roman" w:cs="Times New Roman"/>
          <w:sz w:val="24"/>
          <w:szCs w:val="24"/>
        </w:rPr>
        <w:t>10</w:t>
      </w:r>
      <w:r>
        <w:rPr>
          <w:rFonts w:ascii="Times New Roman" w:eastAsia="宋体" w:hAnsi="Times New Roman" w:cs="Times New Roman"/>
          <w:sz w:val="24"/>
          <w:szCs w:val="24"/>
        </w:rPr>
        <w:t>月至次年</w:t>
      </w:r>
      <w:r>
        <w:rPr>
          <w:rFonts w:ascii="Times New Roman" w:eastAsia="宋体" w:hAnsi="Times New Roman" w:cs="Times New Roman"/>
          <w:sz w:val="24"/>
          <w:szCs w:val="24"/>
        </w:rPr>
        <w:t>2</w:t>
      </w:r>
      <w:r>
        <w:rPr>
          <w:rFonts w:ascii="Times New Roman" w:eastAsia="宋体" w:hAnsi="Times New Roman" w:cs="Times New Roman"/>
          <w:sz w:val="24"/>
          <w:szCs w:val="24"/>
        </w:rPr>
        <w:t>月相对旱季。降水量少，仅占年降水总量的</w:t>
      </w:r>
      <w:r>
        <w:rPr>
          <w:rFonts w:ascii="Times New Roman" w:eastAsia="宋体" w:hAnsi="Times New Roman" w:cs="Times New Roman"/>
          <w:sz w:val="24"/>
          <w:szCs w:val="24"/>
        </w:rPr>
        <w:t>10.6%</w:t>
      </w:r>
      <w:r>
        <w:rPr>
          <w:rFonts w:ascii="Times New Roman" w:eastAsia="宋体" w:hAnsi="Times New Roman" w:cs="Times New Roman"/>
          <w:sz w:val="24"/>
          <w:szCs w:val="24"/>
        </w:rPr>
        <w:t>。年内平均暴雨天数为</w:t>
      </w:r>
      <w:r>
        <w:rPr>
          <w:rFonts w:ascii="Times New Roman" w:eastAsia="宋体" w:hAnsi="Times New Roman" w:cs="Times New Roman"/>
          <w:sz w:val="24"/>
          <w:szCs w:val="24"/>
        </w:rPr>
        <w:t>3.7</w:t>
      </w:r>
      <w:r>
        <w:rPr>
          <w:rFonts w:ascii="Times New Roman" w:eastAsia="宋体" w:hAnsi="Times New Roman" w:cs="Times New Roman"/>
          <w:sz w:val="24"/>
          <w:szCs w:val="24"/>
        </w:rPr>
        <w:t>天，主要出现在</w:t>
      </w:r>
      <w:r>
        <w:rPr>
          <w:rFonts w:ascii="Times New Roman" w:eastAsia="宋体" w:hAnsi="Times New Roman" w:cs="Times New Roman"/>
          <w:sz w:val="24"/>
          <w:szCs w:val="24"/>
        </w:rPr>
        <w:t>5-9</w:t>
      </w:r>
      <w:r>
        <w:rPr>
          <w:rFonts w:ascii="Times New Roman" w:eastAsia="宋体" w:hAnsi="Times New Roman" w:cs="Times New Roman"/>
          <w:sz w:val="24"/>
          <w:szCs w:val="24"/>
        </w:rPr>
        <w:t>月。本区域多年平均降水量</w:t>
      </w:r>
      <w:r>
        <w:rPr>
          <w:rFonts w:ascii="Times New Roman" w:eastAsia="宋体" w:hAnsi="Times New Roman" w:cs="Times New Roman"/>
          <w:sz w:val="24"/>
          <w:szCs w:val="24"/>
        </w:rPr>
        <w:t>977.5mm</w:t>
      </w:r>
      <w:r>
        <w:rPr>
          <w:rFonts w:ascii="Times New Roman" w:eastAsia="宋体" w:hAnsi="Times New Roman" w:cs="Times New Roman"/>
          <w:sz w:val="24"/>
          <w:szCs w:val="24"/>
        </w:rPr>
        <w:t>，累计年最大降水量</w:t>
      </w:r>
      <w:r>
        <w:rPr>
          <w:rFonts w:ascii="Times New Roman" w:eastAsia="宋体" w:hAnsi="Times New Roman" w:cs="Times New Roman"/>
          <w:sz w:val="24"/>
          <w:szCs w:val="24"/>
        </w:rPr>
        <w:t>1477.9mm</w:t>
      </w:r>
      <w:r>
        <w:rPr>
          <w:rFonts w:ascii="Times New Roman" w:eastAsia="宋体" w:hAnsi="Times New Roman" w:cs="Times New Roman"/>
          <w:sz w:val="24"/>
          <w:szCs w:val="24"/>
        </w:rPr>
        <w:t>，日最大降水量</w:t>
      </w:r>
      <w:r>
        <w:rPr>
          <w:rFonts w:ascii="Times New Roman" w:eastAsia="宋体" w:hAnsi="Times New Roman" w:cs="Times New Roman"/>
          <w:sz w:val="24"/>
          <w:szCs w:val="24"/>
        </w:rPr>
        <w:t>234.4mm</w:t>
      </w:r>
      <w:r>
        <w:rPr>
          <w:rFonts w:ascii="Times New Roman" w:eastAsia="宋体" w:hAnsi="Times New Roman" w:cs="Times New Roman"/>
          <w:sz w:val="24"/>
          <w:szCs w:val="24"/>
        </w:rPr>
        <w:t>。</w:t>
      </w:r>
    </w:p>
    <w:p w14:paraId="1F5AFA71"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）风况</w:t>
      </w:r>
    </w:p>
    <w:p w14:paraId="3C50A604" w14:textId="18185846"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多年平均风速</w:t>
      </w:r>
      <w:r>
        <w:rPr>
          <w:rFonts w:ascii="Times New Roman" w:eastAsia="宋体" w:hAnsi="Times New Roman" w:cs="Times New Roman"/>
          <w:sz w:val="24"/>
          <w:szCs w:val="24"/>
        </w:rPr>
        <w:t>2.8m/s</w:t>
      </w:r>
      <w:r>
        <w:rPr>
          <w:rFonts w:ascii="Times New Roman" w:eastAsia="宋体" w:hAnsi="Times New Roman" w:cs="Times New Roman"/>
          <w:sz w:val="24"/>
          <w:szCs w:val="24"/>
        </w:rPr>
        <w:t>，强风向为</w:t>
      </w:r>
      <w:r>
        <w:rPr>
          <w:rFonts w:ascii="Times New Roman" w:eastAsia="宋体" w:hAnsi="Times New Roman" w:cs="Times New Roman"/>
          <w:sz w:val="24"/>
          <w:szCs w:val="24"/>
        </w:rPr>
        <w:t>NNE</w:t>
      </w:r>
      <w:r>
        <w:rPr>
          <w:rFonts w:ascii="Times New Roman" w:eastAsia="宋体" w:hAnsi="Times New Roman" w:cs="Times New Roman"/>
          <w:sz w:val="24"/>
          <w:szCs w:val="24"/>
        </w:rPr>
        <w:t>向，频率</w:t>
      </w:r>
      <w:r>
        <w:rPr>
          <w:rFonts w:ascii="Times New Roman" w:eastAsia="宋体" w:hAnsi="Times New Roman" w:cs="Times New Roman"/>
          <w:sz w:val="24"/>
          <w:szCs w:val="24"/>
        </w:rPr>
        <w:t>12%</w:t>
      </w:r>
      <w:r>
        <w:rPr>
          <w:rFonts w:ascii="Times New Roman" w:eastAsia="宋体" w:hAnsi="Times New Roman" w:cs="Times New Roman"/>
          <w:sz w:val="24"/>
          <w:szCs w:val="24"/>
        </w:rPr>
        <w:t>；常风向为</w:t>
      </w:r>
      <w:r>
        <w:rPr>
          <w:rFonts w:ascii="Times New Roman" w:eastAsia="宋体" w:hAnsi="Times New Roman" w:cs="Times New Roman"/>
          <w:sz w:val="24"/>
          <w:szCs w:val="24"/>
        </w:rPr>
        <w:t>NE</w:t>
      </w:r>
      <w:r>
        <w:rPr>
          <w:rFonts w:ascii="Times New Roman" w:eastAsia="宋体" w:hAnsi="Times New Roman" w:cs="Times New Roman"/>
          <w:sz w:val="24"/>
          <w:szCs w:val="24"/>
        </w:rPr>
        <w:t>向，频率为</w:t>
      </w:r>
      <w:r>
        <w:rPr>
          <w:rFonts w:ascii="Times New Roman" w:eastAsia="宋体" w:hAnsi="Times New Roman" w:cs="Times New Roman"/>
          <w:sz w:val="24"/>
          <w:szCs w:val="24"/>
        </w:rPr>
        <w:t>18%</w:t>
      </w:r>
      <w:r>
        <w:rPr>
          <w:rFonts w:ascii="Times New Roman" w:eastAsia="宋体" w:hAnsi="Times New Roman" w:cs="Times New Roman"/>
          <w:sz w:val="24"/>
          <w:szCs w:val="24"/>
        </w:rPr>
        <w:t>。最大风速</w:t>
      </w:r>
      <w:r>
        <w:rPr>
          <w:rFonts w:ascii="Times New Roman" w:eastAsia="宋体" w:hAnsi="Times New Roman" w:cs="Times New Roman"/>
          <w:sz w:val="24"/>
          <w:szCs w:val="24"/>
        </w:rPr>
        <w:t>23.0m/s</w:t>
      </w:r>
      <w:r>
        <w:rPr>
          <w:rFonts w:ascii="Times New Roman" w:eastAsia="宋体" w:hAnsi="Times New Roman" w:cs="Times New Roman"/>
          <w:sz w:val="24"/>
          <w:szCs w:val="24"/>
        </w:rPr>
        <w:t>，方向为</w:t>
      </w:r>
      <w:r>
        <w:rPr>
          <w:rFonts w:ascii="Times New Roman" w:eastAsia="宋体" w:hAnsi="Times New Roman" w:cs="Times New Roman"/>
          <w:sz w:val="24"/>
          <w:szCs w:val="24"/>
        </w:rPr>
        <w:t>NNE</w:t>
      </w:r>
      <w:r>
        <w:rPr>
          <w:rFonts w:ascii="Times New Roman" w:eastAsia="宋体" w:hAnsi="Times New Roman" w:cs="Times New Roman"/>
          <w:sz w:val="24"/>
          <w:szCs w:val="24"/>
        </w:rPr>
        <w:t>；极大风速</w:t>
      </w:r>
      <w:r>
        <w:rPr>
          <w:rFonts w:ascii="Times New Roman" w:eastAsia="宋体" w:hAnsi="Times New Roman" w:cs="Times New Roman"/>
          <w:sz w:val="24"/>
          <w:szCs w:val="24"/>
        </w:rPr>
        <w:t>25.8m/s</w:t>
      </w:r>
      <w:r>
        <w:rPr>
          <w:rFonts w:ascii="Times New Roman" w:eastAsia="宋体" w:hAnsi="Times New Roman" w:cs="Times New Roman"/>
          <w:sz w:val="24"/>
          <w:szCs w:val="24"/>
        </w:rPr>
        <w:t>，方向为</w:t>
      </w:r>
      <w:r>
        <w:rPr>
          <w:rFonts w:ascii="Times New Roman" w:eastAsia="宋体" w:hAnsi="Times New Roman" w:cs="Times New Roman"/>
          <w:sz w:val="24"/>
          <w:szCs w:val="24"/>
        </w:rPr>
        <w:t>WNW</w:t>
      </w:r>
      <w:r>
        <w:rPr>
          <w:rFonts w:ascii="Times New Roman" w:eastAsia="宋体" w:hAnsi="Times New Roman" w:cs="Times New Roman"/>
          <w:sz w:val="24"/>
          <w:szCs w:val="24"/>
        </w:rPr>
        <w:t>。夏季以</w:t>
      </w:r>
      <w:r>
        <w:rPr>
          <w:rFonts w:ascii="Times New Roman" w:eastAsia="宋体" w:hAnsi="Times New Roman" w:cs="Times New Roman"/>
          <w:sz w:val="24"/>
          <w:szCs w:val="24"/>
        </w:rPr>
        <w:t>SSW</w:t>
      </w:r>
      <w:r>
        <w:rPr>
          <w:rFonts w:ascii="Times New Roman" w:eastAsia="宋体" w:hAnsi="Times New Roman" w:cs="Times New Roman"/>
          <w:sz w:val="24"/>
          <w:szCs w:val="24"/>
        </w:rPr>
        <w:t>向风为主，其它季节以东北风为主。据</w:t>
      </w:r>
      <w:r>
        <w:rPr>
          <w:rFonts w:ascii="Times New Roman" w:eastAsia="宋体" w:hAnsi="Times New Roman" w:cs="Times New Roman"/>
          <w:sz w:val="24"/>
          <w:szCs w:val="24"/>
        </w:rPr>
        <w:t>2005</w:t>
      </w:r>
      <w:r>
        <w:rPr>
          <w:rFonts w:ascii="Times New Roman" w:eastAsia="宋体" w:hAnsi="Times New Roman" w:cs="Times New Roman"/>
          <w:sz w:val="24"/>
          <w:szCs w:val="24"/>
        </w:rPr>
        <w:t>年～</w:t>
      </w:r>
      <w:r>
        <w:rPr>
          <w:rFonts w:ascii="Times New Roman" w:eastAsia="宋体" w:hAnsi="Times New Roman" w:cs="Times New Roman"/>
          <w:sz w:val="24"/>
          <w:szCs w:val="24"/>
        </w:rPr>
        <w:t>2010</w:t>
      </w:r>
      <w:r>
        <w:rPr>
          <w:rFonts w:ascii="Times New Roman" w:eastAsia="宋体" w:hAnsi="Times New Roman" w:cs="Times New Roman"/>
          <w:sz w:val="24"/>
          <w:szCs w:val="24"/>
        </w:rPr>
        <w:t>年统计资料：全年</w:t>
      </w:r>
      <w:r>
        <w:rPr>
          <w:rFonts w:ascii="Times New Roman" w:eastAsia="宋体" w:hAnsi="Times New Roman" w:cs="Times New Roman"/>
          <w:sz w:val="24"/>
          <w:szCs w:val="24"/>
        </w:rPr>
        <w:t>≥8</w:t>
      </w:r>
      <w:r>
        <w:rPr>
          <w:rFonts w:ascii="Times New Roman" w:eastAsia="宋体" w:hAnsi="Times New Roman" w:cs="Times New Roman"/>
          <w:sz w:val="24"/>
          <w:szCs w:val="24"/>
        </w:rPr>
        <w:t>级风（用瞬时极大风速统计）日数平均为</w:t>
      </w:r>
      <w:r>
        <w:rPr>
          <w:rFonts w:ascii="Times New Roman" w:eastAsia="宋体" w:hAnsi="Times New Roman" w:cs="Times New Roman"/>
          <w:sz w:val="24"/>
          <w:szCs w:val="24"/>
        </w:rPr>
        <w:t>3.2</w:t>
      </w:r>
      <w:r>
        <w:rPr>
          <w:rFonts w:ascii="Times New Roman" w:eastAsia="宋体" w:hAnsi="Times New Roman" w:cs="Times New Roman"/>
          <w:sz w:val="24"/>
          <w:szCs w:val="24"/>
        </w:rPr>
        <w:t>天，全年</w:t>
      </w:r>
      <w:r>
        <w:rPr>
          <w:rFonts w:ascii="Times New Roman" w:eastAsia="宋体" w:hAnsi="Times New Roman" w:cs="Times New Roman"/>
          <w:sz w:val="24"/>
          <w:szCs w:val="24"/>
        </w:rPr>
        <w:t>≥6</w:t>
      </w:r>
      <w:r>
        <w:rPr>
          <w:rFonts w:ascii="Times New Roman" w:eastAsia="宋体" w:hAnsi="Times New Roman" w:cs="Times New Roman"/>
          <w:sz w:val="24"/>
          <w:szCs w:val="24"/>
        </w:rPr>
        <w:t>级（用瞬时极大风速统计）风日数平均为</w:t>
      </w:r>
      <w:r>
        <w:rPr>
          <w:rFonts w:ascii="Times New Roman" w:eastAsia="宋体" w:hAnsi="Times New Roman" w:cs="Times New Roman"/>
          <w:sz w:val="24"/>
          <w:szCs w:val="24"/>
        </w:rPr>
        <w:t>80.5</w:t>
      </w:r>
      <w:r>
        <w:rPr>
          <w:rFonts w:ascii="Times New Roman" w:eastAsia="宋体" w:hAnsi="Times New Roman" w:cs="Times New Roman"/>
          <w:sz w:val="24"/>
          <w:szCs w:val="24"/>
        </w:rPr>
        <w:t>天。（</w:t>
      </w:r>
      <w:r>
        <w:rPr>
          <w:rFonts w:ascii="Times New Roman" w:eastAsia="宋体" w:hAnsi="Times New Roman" w:cs="Times New Roman"/>
          <w:sz w:val="24"/>
          <w:szCs w:val="24"/>
        </w:rPr>
        <w:t>4</w:t>
      </w:r>
      <w:r>
        <w:rPr>
          <w:rFonts w:ascii="Times New Roman" w:eastAsia="宋体" w:hAnsi="Times New Roman" w:cs="Times New Roman"/>
          <w:sz w:val="24"/>
          <w:szCs w:val="24"/>
        </w:rPr>
        <w:t>）雾</w:t>
      </w:r>
    </w:p>
    <w:p w14:paraId="7CFDC4E3"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多年平均雾日数</w:t>
      </w:r>
      <w:r>
        <w:rPr>
          <w:rFonts w:ascii="Times New Roman" w:eastAsia="宋体" w:hAnsi="Times New Roman" w:cs="Times New Roman"/>
          <w:sz w:val="24"/>
          <w:szCs w:val="24"/>
        </w:rPr>
        <w:t>12.0</w:t>
      </w:r>
      <w:r>
        <w:rPr>
          <w:rFonts w:ascii="Times New Roman" w:eastAsia="宋体" w:hAnsi="Times New Roman" w:cs="Times New Roman"/>
          <w:sz w:val="24"/>
          <w:szCs w:val="24"/>
        </w:rPr>
        <w:t>天，最多年雾日数</w:t>
      </w:r>
      <w:r>
        <w:rPr>
          <w:rFonts w:ascii="Times New Roman" w:eastAsia="宋体" w:hAnsi="Times New Roman" w:cs="Times New Roman"/>
          <w:sz w:val="24"/>
          <w:szCs w:val="24"/>
        </w:rPr>
        <w:t>19</w:t>
      </w:r>
      <w:r>
        <w:rPr>
          <w:rFonts w:ascii="Times New Roman" w:eastAsia="宋体" w:hAnsi="Times New Roman" w:cs="Times New Roman"/>
          <w:sz w:val="24"/>
          <w:szCs w:val="24"/>
        </w:rPr>
        <w:t>天。能见度</w:t>
      </w:r>
      <w:r>
        <w:rPr>
          <w:rFonts w:ascii="Times New Roman" w:eastAsia="宋体" w:hAnsi="Times New Roman" w:cs="Times New Roman"/>
          <w:sz w:val="24"/>
          <w:szCs w:val="24"/>
        </w:rPr>
        <w:t>≤1km</w:t>
      </w:r>
      <w:r>
        <w:rPr>
          <w:rFonts w:ascii="Times New Roman" w:eastAsia="宋体" w:hAnsi="Times New Roman" w:cs="Times New Roman"/>
          <w:sz w:val="24"/>
          <w:szCs w:val="24"/>
        </w:rPr>
        <w:t>的年平均雾日数</w:t>
      </w:r>
      <w:r>
        <w:rPr>
          <w:rFonts w:ascii="Times New Roman" w:eastAsia="宋体" w:hAnsi="Times New Roman" w:cs="Times New Roman"/>
          <w:sz w:val="24"/>
          <w:szCs w:val="24"/>
        </w:rPr>
        <w:t>7.1</w:t>
      </w:r>
      <w:r>
        <w:rPr>
          <w:rFonts w:ascii="Times New Roman" w:eastAsia="宋体" w:hAnsi="Times New Roman" w:cs="Times New Roman"/>
          <w:sz w:val="24"/>
          <w:szCs w:val="24"/>
        </w:rPr>
        <w:t>天。每年</w:t>
      </w:r>
      <w:r>
        <w:rPr>
          <w:rFonts w:ascii="Times New Roman" w:eastAsia="宋体" w:hAnsi="Times New Roman" w:cs="Times New Roman"/>
          <w:sz w:val="24"/>
          <w:szCs w:val="24"/>
        </w:rPr>
        <w:t>12</w:t>
      </w:r>
      <w:r>
        <w:rPr>
          <w:rFonts w:ascii="Times New Roman" w:eastAsia="宋体" w:hAnsi="Times New Roman" w:cs="Times New Roman"/>
          <w:sz w:val="24"/>
          <w:szCs w:val="24"/>
        </w:rPr>
        <w:t>月至次年</w:t>
      </w:r>
      <w:r>
        <w:rPr>
          <w:rFonts w:ascii="Times New Roman" w:eastAsia="宋体" w:hAnsi="Times New Roman" w:cs="Times New Roman"/>
          <w:sz w:val="24"/>
          <w:szCs w:val="24"/>
        </w:rPr>
        <w:t>5</w:t>
      </w:r>
      <w:r>
        <w:rPr>
          <w:rFonts w:ascii="Times New Roman" w:eastAsia="宋体" w:hAnsi="Times New Roman" w:cs="Times New Roman"/>
          <w:sz w:val="24"/>
          <w:szCs w:val="24"/>
        </w:rPr>
        <w:t>月为雾季，雾日集中在春季，平均每月出现雾日数</w:t>
      </w:r>
      <w:r>
        <w:rPr>
          <w:rFonts w:ascii="Times New Roman" w:eastAsia="宋体" w:hAnsi="Times New Roman" w:cs="Times New Roman"/>
          <w:sz w:val="24"/>
          <w:szCs w:val="24"/>
        </w:rPr>
        <w:t>2</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天。</w:t>
      </w:r>
    </w:p>
    <w:p w14:paraId="2E7725B6"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）台风</w:t>
      </w:r>
    </w:p>
    <w:p w14:paraId="2BEE8AAA"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w:t>
      </w:r>
      <w:r>
        <w:rPr>
          <w:rFonts w:ascii="Times New Roman" w:eastAsia="宋体" w:hAnsi="Times New Roman" w:cs="Times New Roman"/>
          <w:sz w:val="24"/>
          <w:szCs w:val="24"/>
        </w:rPr>
        <w:t>1949</w:t>
      </w:r>
      <w:r>
        <w:rPr>
          <w:rFonts w:ascii="Times New Roman" w:eastAsia="宋体" w:hAnsi="Times New Roman" w:cs="Times New Roman"/>
          <w:sz w:val="24"/>
          <w:szCs w:val="24"/>
        </w:rPr>
        <w:t>～</w:t>
      </w:r>
      <w:r>
        <w:rPr>
          <w:rFonts w:ascii="Times New Roman" w:eastAsia="宋体" w:hAnsi="Times New Roman" w:cs="Times New Roman"/>
          <w:sz w:val="24"/>
          <w:szCs w:val="24"/>
        </w:rPr>
        <w:t>2022</w:t>
      </w:r>
      <w:r>
        <w:rPr>
          <w:rFonts w:ascii="Times New Roman" w:eastAsia="宋体" w:hAnsi="Times New Roman" w:cs="Times New Roman"/>
          <w:sz w:val="24"/>
          <w:szCs w:val="24"/>
        </w:rPr>
        <w:t>年共计</w:t>
      </w:r>
      <w:r>
        <w:rPr>
          <w:rFonts w:ascii="Times New Roman" w:eastAsia="宋体" w:hAnsi="Times New Roman" w:cs="Times New Roman"/>
          <w:sz w:val="24"/>
          <w:szCs w:val="24"/>
        </w:rPr>
        <w:t>106</w:t>
      </w:r>
      <w:r>
        <w:rPr>
          <w:rFonts w:ascii="Times New Roman" w:eastAsia="宋体" w:hAnsi="Times New Roman" w:cs="Times New Roman"/>
          <w:sz w:val="24"/>
          <w:szCs w:val="24"/>
        </w:rPr>
        <w:t>个影响或登陆我省的台风（包括热带风暴、强热带风暴、台风、强台风和超强台风）进行统计，平均每年影响我省的热带风暴级以上的台风约</w:t>
      </w:r>
      <w:r>
        <w:rPr>
          <w:rFonts w:ascii="Times New Roman" w:eastAsia="宋体" w:hAnsi="Times New Roman" w:cs="Times New Roman"/>
          <w:sz w:val="24"/>
          <w:szCs w:val="24"/>
        </w:rPr>
        <w:t>1.45</w:t>
      </w:r>
      <w:r>
        <w:rPr>
          <w:rFonts w:ascii="Times New Roman" w:eastAsia="宋体" w:hAnsi="Times New Roman" w:cs="Times New Roman"/>
          <w:sz w:val="24"/>
          <w:szCs w:val="24"/>
        </w:rPr>
        <w:t>个。</w:t>
      </w:r>
      <w:r>
        <w:rPr>
          <w:rFonts w:ascii="Times New Roman" w:eastAsia="宋体" w:hAnsi="Times New Roman" w:cs="Times New Roman"/>
          <w:sz w:val="24"/>
          <w:szCs w:val="24"/>
        </w:rPr>
        <w:t>1961</w:t>
      </w:r>
      <w:r>
        <w:rPr>
          <w:rFonts w:ascii="Times New Roman" w:eastAsia="宋体" w:hAnsi="Times New Roman" w:cs="Times New Roman"/>
          <w:sz w:val="24"/>
          <w:szCs w:val="24"/>
        </w:rPr>
        <w:t>年至</w:t>
      </w:r>
      <w:r>
        <w:rPr>
          <w:rFonts w:ascii="Times New Roman" w:eastAsia="宋体" w:hAnsi="Times New Roman" w:cs="Times New Roman"/>
          <w:sz w:val="24"/>
          <w:szCs w:val="24"/>
        </w:rPr>
        <w:t>2023</w:t>
      </w:r>
      <w:r>
        <w:rPr>
          <w:rFonts w:ascii="Times New Roman" w:eastAsia="宋体" w:hAnsi="Times New Roman" w:cs="Times New Roman"/>
          <w:sz w:val="24"/>
          <w:szCs w:val="24"/>
        </w:rPr>
        <w:t>年的气象资料统计，登陆晋江的台风共有</w:t>
      </w:r>
      <w:r>
        <w:rPr>
          <w:rFonts w:ascii="Times New Roman" w:eastAsia="宋体" w:hAnsi="Times New Roman" w:cs="Times New Roman"/>
          <w:sz w:val="24"/>
          <w:szCs w:val="24"/>
        </w:rPr>
        <w:t>16</w:t>
      </w:r>
      <w:r>
        <w:rPr>
          <w:rFonts w:ascii="Times New Roman" w:eastAsia="宋体" w:hAnsi="Times New Roman" w:cs="Times New Roman"/>
          <w:sz w:val="24"/>
          <w:szCs w:val="24"/>
        </w:rPr>
        <w:t>次，位居福建榜首。其中，台风</w:t>
      </w: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杜苏芮</w:t>
      </w:r>
      <w:r>
        <w:rPr>
          <w:rFonts w:ascii="Times New Roman" w:eastAsia="宋体" w:hAnsi="Times New Roman" w:cs="Times New Roman"/>
          <w:sz w:val="24"/>
          <w:szCs w:val="24"/>
        </w:rPr>
        <w:t>”</w:t>
      </w:r>
      <w:r>
        <w:rPr>
          <w:rFonts w:ascii="Times New Roman" w:eastAsia="宋体" w:hAnsi="Times New Roman" w:cs="Times New Roman"/>
          <w:sz w:val="24"/>
          <w:szCs w:val="24"/>
        </w:rPr>
        <w:t>是近</w:t>
      </w:r>
      <w:r>
        <w:rPr>
          <w:rFonts w:ascii="Times New Roman" w:eastAsia="宋体" w:hAnsi="Times New Roman" w:cs="Times New Roman"/>
          <w:sz w:val="24"/>
          <w:szCs w:val="24"/>
        </w:rPr>
        <w:t>7</w:t>
      </w:r>
      <w:r>
        <w:rPr>
          <w:rFonts w:ascii="Times New Roman" w:eastAsia="宋体" w:hAnsi="Times New Roman" w:cs="Times New Roman"/>
          <w:sz w:val="24"/>
          <w:szCs w:val="24"/>
        </w:rPr>
        <w:t>年来登陆中国的最强台风，也是有完整观测记录以来登陆福建第二强的台风，巅峰风速为</w:t>
      </w:r>
      <w:r>
        <w:rPr>
          <w:rFonts w:ascii="Times New Roman" w:eastAsia="宋体" w:hAnsi="Times New Roman" w:cs="Times New Roman"/>
          <w:sz w:val="24"/>
          <w:szCs w:val="24"/>
        </w:rPr>
        <w:t>62m/s</w:t>
      </w:r>
      <w:r>
        <w:rPr>
          <w:rFonts w:ascii="Times New Roman" w:eastAsia="宋体" w:hAnsi="Times New Roman" w:cs="Times New Roman"/>
          <w:sz w:val="24"/>
          <w:szCs w:val="24"/>
        </w:rPr>
        <w:t>。</w:t>
      </w:r>
    </w:p>
    <w:p w14:paraId="794A6389" w14:textId="77777777" w:rsidR="00EB6ADA" w:rsidRDefault="00000000">
      <w:pPr>
        <w:pStyle w:val="3"/>
        <w:rPr>
          <w:rFonts w:cs="Times New Roman"/>
        </w:rPr>
      </w:pPr>
      <w:r>
        <w:rPr>
          <w:rFonts w:cs="Times New Roman" w:hint="eastAsia"/>
        </w:rPr>
        <w:t>2</w:t>
      </w:r>
      <w:r>
        <w:rPr>
          <w:rFonts w:cs="Times New Roman"/>
        </w:rPr>
        <w:t>.2.2</w:t>
      </w:r>
      <w:r>
        <w:rPr>
          <w:rFonts w:cs="Times New Roman"/>
        </w:rPr>
        <w:t>海域水文动力</w:t>
      </w:r>
    </w:p>
    <w:p w14:paraId="73FA276D" w14:textId="0183EDBF" w:rsidR="00EB6ADA"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厦门市政南方海洋科技有限公司于</w:t>
      </w:r>
      <w:r>
        <w:rPr>
          <w:rFonts w:ascii="Times New Roman" w:eastAsia="宋体" w:hAnsi="Times New Roman" w:cs="Times New Roman" w:hint="eastAsia"/>
          <w:sz w:val="24"/>
        </w:rPr>
        <w:t>2021</w:t>
      </w:r>
      <w:r>
        <w:rPr>
          <w:rFonts w:ascii="Times New Roman" w:eastAsia="宋体" w:hAnsi="Times New Roman" w:cs="Times New Roman" w:hint="eastAsia"/>
          <w:sz w:val="24"/>
        </w:rPr>
        <w:t>年</w:t>
      </w:r>
      <w:r>
        <w:rPr>
          <w:rFonts w:ascii="Times New Roman" w:eastAsia="宋体" w:hAnsi="Times New Roman" w:cs="Times New Roman" w:hint="eastAsia"/>
          <w:sz w:val="24"/>
        </w:rPr>
        <w:t>6</w:t>
      </w:r>
      <w:r>
        <w:rPr>
          <w:rFonts w:ascii="Times New Roman" w:eastAsia="宋体" w:hAnsi="Times New Roman" w:cs="Times New Roman" w:hint="eastAsia"/>
          <w:sz w:val="24"/>
        </w:rPr>
        <w:t>月</w:t>
      </w:r>
      <w:r>
        <w:rPr>
          <w:rFonts w:ascii="Times New Roman" w:eastAsia="宋体" w:hAnsi="Times New Roman" w:cs="Times New Roman" w:hint="eastAsia"/>
          <w:sz w:val="24"/>
        </w:rPr>
        <w:t>21</w:t>
      </w:r>
      <w:r>
        <w:rPr>
          <w:rFonts w:ascii="Times New Roman" w:eastAsia="宋体" w:hAnsi="Times New Roman" w:cs="Times New Roman" w:hint="eastAsia"/>
          <w:sz w:val="24"/>
        </w:rPr>
        <w:t>日</w:t>
      </w:r>
      <w:r>
        <w:rPr>
          <w:rFonts w:ascii="Times New Roman" w:eastAsia="宋体" w:hAnsi="Times New Roman" w:cs="Times New Roman" w:hint="eastAsia"/>
          <w:sz w:val="24"/>
        </w:rPr>
        <w:t>~2021</w:t>
      </w:r>
      <w:r>
        <w:rPr>
          <w:rFonts w:ascii="Times New Roman" w:eastAsia="宋体" w:hAnsi="Times New Roman" w:cs="Times New Roman" w:hint="eastAsia"/>
          <w:sz w:val="24"/>
        </w:rPr>
        <w:t>年</w:t>
      </w:r>
      <w:r>
        <w:rPr>
          <w:rFonts w:ascii="Times New Roman" w:eastAsia="宋体" w:hAnsi="Times New Roman" w:cs="Times New Roman" w:hint="eastAsia"/>
          <w:sz w:val="24"/>
        </w:rPr>
        <w:t>7</w:t>
      </w:r>
      <w:r>
        <w:rPr>
          <w:rFonts w:ascii="Times New Roman" w:eastAsia="宋体" w:hAnsi="Times New Roman" w:cs="Times New Roman" w:hint="eastAsia"/>
          <w:sz w:val="24"/>
        </w:rPr>
        <w:t>月</w:t>
      </w:r>
      <w:r>
        <w:rPr>
          <w:rFonts w:ascii="Times New Roman" w:eastAsia="宋体" w:hAnsi="Times New Roman" w:cs="Times New Roman" w:hint="eastAsia"/>
          <w:sz w:val="24"/>
        </w:rPr>
        <w:t>21</w:t>
      </w:r>
      <w:r>
        <w:rPr>
          <w:rFonts w:ascii="Times New Roman" w:eastAsia="宋体" w:hAnsi="Times New Roman" w:cs="Times New Roman" w:hint="eastAsia"/>
          <w:sz w:val="24"/>
        </w:rPr>
        <w:t>日在工程区海域进行了水文观测。本海区的潮汐类型属于正规半日潮，涨、落潮流流向基本与对应的岸线走向和水道方向相一致，即涨潮流沿水道深槽方向流向湾内，落潮流沿相反方向流向湾口。在垂直于水道深槽的方向流速很小，即在涨潮流与落潮流之间的转流时候流速最小，因此往复流特征比较显著。</w:t>
      </w:r>
    </w:p>
    <w:p w14:paraId="21FC78F8" w14:textId="38DD6951" w:rsidR="00EB6ADA" w:rsidRDefault="00000000">
      <w:pPr>
        <w:pStyle w:val="3"/>
        <w:rPr>
          <w:rFonts w:cs="Times New Roman"/>
        </w:rPr>
      </w:pPr>
      <w:r>
        <w:rPr>
          <w:rFonts w:cs="Times New Roman" w:hint="eastAsia"/>
        </w:rPr>
        <w:t>2.</w:t>
      </w:r>
      <w:r>
        <w:rPr>
          <w:rFonts w:cs="Times New Roman"/>
        </w:rPr>
        <w:t>2.3</w:t>
      </w:r>
      <w:r>
        <w:rPr>
          <w:rFonts w:cs="Times New Roman"/>
        </w:rPr>
        <w:t>海域地形地貌</w:t>
      </w:r>
    </w:p>
    <w:p w14:paraId="3580C080" w14:textId="4E51BE2E" w:rsidR="00EB6ADA" w:rsidRDefault="00000000" w:rsidP="00A3460E">
      <w:pPr>
        <w:pStyle w:val="10"/>
        <w:snapToGrid w:val="0"/>
        <w:ind w:firstLine="480"/>
        <w:jc w:val="left"/>
        <w:rPr>
          <w:rFonts w:cs="Times New Roman"/>
        </w:rPr>
      </w:pPr>
      <w:r>
        <w:rPr>
          <w:rFonts w:cs="Times New Roman"/>
        </w:rPr>
        <w:t>围头湾宽约</w:t>
      </w:r>
      <w:r>
        <w:rPr>
          <w:rFonts w:cs="Times New Roman"/>
        </w:rPr>
        <w:t>13km</w:t>
      </w:r>
      <w:r>
        <w:rPr>
          <w:rFonts w:cs="Times New Roman"/>
        </w:rPr>
        <w:t>，纵深约</w:t>
      </w:r>
      <w:r>
        <w:rPr>
          <w:rFonts w:cs="Times New Roman"/>
        </w:rPr>
        <w:t>20km</w:t>
      </w:r>
      <w:r>
        <w:rPr>
          <w:rFonts w:cs="Times New Roman"/>
        </w:rPr>
        <w:t>，呈</w:t>
      </w:r>
      <w:r>
        <w:rPr>
          <w:rFonts w:cs="Times New Roman"/>
        </w:rPr>
        <w:t>“U”</w:t>
      </w:r>
      <w:r>
        <w:rPr>
          <w:rFonts w:cs="Times New Roman"/>
        </w:rPr>
        <w:t>形沿东南～西北向展布，湾口宽约</w:t>
      </w:r>
      <w:r>
        <w:rPr>
          <w:rFonts w:cs="Times New Roman"/>
        </w:rPr>
        <w:t>11km</w:t>
      </w:r>
      <w:r>
        <w:rPr>
          <w:rFonts w:cs="Times New Roman"/>
        </w:rPr>
        <w:t>，朝向东南。从湾口附近至近湾顶有一条长约</w:t>
      </w:r>
      <w:r>
        <w:rPr>
          <w:rFonts w:cs="Times New Roman"/>
        </w:rPr>
        <w:t>12km</w:t>
      </w:r>
      <w:r>
        <w:rPr>
          <w:rFonts w:cs="Times New Roman"/>
        </w:rPr>
        <w:t>、宽约</w:t>
      </w:r>
      <w:r>
        <w:rPr>
          <w:rFonts w:cs="Times New Roman"/>
        </w:rPr>
        <w:t>2km</w:t>
      </w:r>
      <w:r>
        <w:rPr>
          <w:rFonts w:cs="Times New Roman"/>
        </w:rPr>
        <w:t>的岛屿浅滩，有小佰屿、大佰屿、西姑房礁、南礁、白洋礁等岛屿和岛礁。岛屿浅滩南侧为金门北水道，通往厦门湾；岛屿浅滩的北侧有一条长约</w:t>
      </w:r>
      <w:r>
        <w:rPr>
          <w:rFonts w:cs="Times New Roman"/>
        </w:rPr>
        <w:t>14km</w:t>
      </w:r>
      <w:r>
        <w:rPr>
          <w:rFonts w:cs="Times New Roman"/>
        </w:rPr>
        <w:t>的潮流通道，从湾口向湾顶延伸，隔分流礁和营前两个浅滩与安海湾口门潮流通道相通，该潮流通道北侧是发育着的大片的潮滩地。</w:t>
      </w:r>
    </w:p>
    <w:p w14:paraId="2765BDDA" w14:textId="77777777" w:rsidR="00EB6ADA" w:rsidRDefault="00000000">
      <w:pPr>
        <w:pStyle w:val="3"/>
        <w:rPr>
          <w:rFonts w:cs="Times New Roman"/>
        </w:rPr>
      </w:pPr>
      <w:r>
        <w:rPr>
          <w:rFonts w:cs="Times New Roman" w:hint="eastAsia"/>
        </w:rPr>
        <w:t>2</w:t>
      </w:r>
      <w:r>
        <w:rPr>
          <w:rFonts w:cs="Times New Roman"/>
        </w:rPr>
        <w:t>.2.4</w:t>
      </w:r>
      <w:r>
        <w:rPr>
          <w:rFonts w:cs="Times New Roman"/>
        </w:rPr>
        <w:t>工程地质</w:t>
      </w:r>
    </w:p>
    <w:p w14:paraId="4F155339"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根据中交上海航道勘察设计研究院有限公司</w:t>
      </w:r>
      <w:r>
        <w:rPr>
          <w:rFonts w:ascii="Times New Roman" w:eastAsia="宋体" w:hAnsi="Times New Roman" w:cs="Times New Roman"/>
          <w:snapToGrid w:val="0"/>
          <w:color w:val="000000"/>
          <w:kern w:val="0"/>
          <w:sz w:val="24"/>
          <w:szCs w:val="28"/>
        </w:rPr>
        <w:t>2019</w:t>
      </w:r>
      <w:r>
        <w:rPr>
          <w:rFonts w:ascii="Times New Roman" w:eastAsia="宋体" w:hAnsi="Times New Roman" w:cs="Times New Roman"/>
          <w:snapToGrid w:val="0"/>
          <w:color w:val="000000"/>
          <w:kern w:val="0"/>
          <w:sz w:val="24"/>
          <w:szCs w:val="28"/>
        </w:rPr>
        <w:t>年</w:t>
      </w:r>
      <w:r>
        <w:rPr>
          <w:rFonts w:ascii="Times New Roman" w:eastAsia="宋体" w:hAnsi="Times New Roman" w:cs="Times New Roman"/>
          <w:snapToGrid w:val="0"/>
          <w:color w:val="000000"/>
          <w:kern w:val="0"/>
          <w:sz w:val="24"/>
          <w:szCs w:val="28"/>
        </w:rPr>
        <w:t>8</w:t>
      </w:r>
      <w:r>
        <w:rPr>
          <w:rFonts w:ascii="Times New Roman" w:eastAsia="宋体" w:hAnsi="Times New Roman" w:cs="Times New Roman"/>
          <w:snapToGrid w:val="0"/>
          <w:color w:val="000000"/>
          <w:kern w:val="0"/>
          <w:sz w:val="24"/>
          <w:szCs w:val="28"/>
        </w:rPr>
        <w:t>月</w:t>
      </w:r>
      <w:r>
        <w:rPr>
          <w:rFonts w:ascii="Times New Roman" w:eastAsia="宋体" w:hAnsi="Times New Roman" w:cs="Times New Roman" w:hint="eastAsia"/>
          <w:snapToGrid w:val="0"/>
          <w:color w:val="000000"/>
          <w:kern w:val="0"/>
          <w:sz w:val="24"/>
          <w:szCs w:val="28"/>
        </w:rPr>
        <w:t>编制的</w:t>
      </w:r>
      <w:r>
        <w:rPr>
          <w:rFonts w:ascii="Times New Roman" w:eastAsia="宋体" w:hAnsi="Times New Roman" w:cs="Times New Roman"/>
          <w:snapToGrid w:val="0"/>
          <w:color w:val="000000"/>
          <w:kern w:val="0"/>
          <w:sz w:val="24"/>
          <w:szCs w:val="28"/>
        </w:rPr>
        <w:t>《泉州围头湾石井航道二期工程疏浚物综合利用工程岩土工程勘察报告》，勘察场区勘探深度范围内揭示的地基土层划分为</w:t>
      </w:r>
      <w:r>
        <w:rPr>
          <w:rFonts w:ascii="Times New Roman" w:eastAsia="宋体" w:hAnsi="Times New Roman" w:cs="Times New Roman"/>
          <w:snapToGrid w:val="0"/>
          <w:color w:val="000000"/>
          <w:kern w:val="0"/>
          <w:sz w:val="24"/>
          <w:szCs w:val="28"/>
        </w:rPr>
        <w:t>5</w:t>
      </w:r>
      <w:r>
        <w:rPr>
          <w:rFonts w:ascii="Times New Roman" w:eastAsia="宋体" w:hAnsi="Times New Roman" w:cs="Times New Roman"/>
          <w:snapToGrid w:val="0"/>
          <w:color w:val="000000"/>
          <w:kern w:val="0"/>
          <w:sz w:val="24"/>
          <w:szCs w:val="28"/>
        </w:rPr>
        <w:t>个主要土层，细分</w:t>
      </w:r>
      <w:r>
        <w:rPr>
          <w:rFonts w:ascii="Times New Roman" w:eastAsia="宋体" w:hAnsi="Times New Roman" w:cs="Times New Roman"/>
          <w:snapToGrid w:val="0"/>
          <w:color w:val="000000"/>
          <w:kern w:val="0"/>
          <w:sz w:val="24"/>
          <w:szCs w:val="28"/>
        </w:rPr>
        <w:t>9</w:t>
      </w:r>
      <w:r>
        <w:rPr>
          <w:rFonts w:ascii="Times New Roman" w:eastAsia="宋体" w:hAnsi="Times New Roman" w:cs="Times New Roman"/>
          <w:snapToGrid w:val="0"/>
          <w:color w:val="000000"/>
          <w:kern w:val="0"/>
          <w:sz w:val="24"/>
          <w:szCs w:val="28"/>
        </w:rPr>
        <w:t>个亚层，各土层的特征详述如下：</w:t>
      </w:r>
    </w:p>
    <w:p w14:paraId="00269D02"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Cambria Math" w:eastAsia="宋体" w:hAnsi="Cambria Math" w:cs="Cambria Math"/>
          <w:snapToGrid w:val="0"/>
          <w:color w:val="000000"/>
          <w:kern w:val="0"/>
          <w:sz w:val="24"/>
          <w:szCs w:val="28"/>
        </w:rPr>
        <w:t>①</w:t>
      </w:r>
      <w:r>
        <w:rPr>
          <w:rFonts w:ascii="Times New Roman" w:eastAsia="宋体" w:hAnsi="Times New Roman" w:cs="Times New Roman"/>
          <w:snapToGrid w:val="0"/>
          <w:color w:val="000000"/>
          <w:kern w:val="0"/>
          <w:sz w:val="24"/>
          <w:szCs w:val="28"/>
          <w:vertAlign w:val="subscript"/>
        </w:rPr>
        <w:t>2</w:t>
      </w:r>
      <w:r>
        <w:rPr>
          <w:rFonts w:ascii="Times New Roman" w:eastAsia="宋体" w:hAnsi="Times New Roman" w:cs="Times New Roman"/>
          <w:snapToGrid w:val="0"/>
          <w:color w:val="000000"/>
          <w:kern w:val="0"/>
          <w:sz w:val="24"/>
          <w:szCs w:val="28"/>
        </w:rPr>
        <w:t>砂混淤泥：灰</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灰黑，饱和，松散，局部含有少量贝壳碎片。该层在</w:t>
      </w:r>
      <w:r>
        <w:rPr>
          <w:rFonts w:ascii="Times New Roman" w:eastAsia="宋体" w:hAnsi="Times New Roman" w:cs="Times New Roman"/>
          <w:snapToGrid w:val="0"/>
          <w:color w:val="000000"/>
          <w:kern w:val="0"/>
          <w:sz w:val="24"/>
          <w:szCs w:val="28"/>
        </w:rPr>
        <w:t>1</w:t>
      </w:r>
      <w:r>
        <w:rPr>
          <w:rFonts w:ascii="Times New Roman" w:eastAsia="宋体" w:hAnsi="Times New Roman" w:cs="Times New Roman"/>
          <w:snapToGrid w:val="0"/>
          <w:color w:val="000000"/>
          <w:kern w:val="0"/>
          <w:sz w:val="24"/>
          <w:szCs w:val="28"/>
        </w:rPr>
        <w:t>个钻孔有揭示，厚度</w:t>
      </w:r>
      <w:r>
        <w:rPr>
          <w:rFonts w:ascii="Times New Roman" w:eastAsia="宋体" w:hAnsi="Times New Roman" w:cs="Times New Roman"/>
          <w:snapToGrid w:val="0"/>
          <w:color w:val="000000"/>
          <w:kern w:val="0"/>
          <w:sz w:val="24"/>
          <w:szCs w:val="28"/>
        </w:rPr>
        <w:t>1.3m</w:t>
      </w:r>
      <w:r>
        <w:rPr>
          <w:rFonts w:ascii="Times New Roman" w:eastAsia="宋体" w:hAnsi="Times New Roman" w:cs="Times New Roman"/>
          <w:snapToGrid w:val="0"/>
          <w:color w:val="000000"/>
          <w:kern w:val="0"/>
          <w:sz w:val="24"/>
          <w:szCs w:val="28"/>
        </w:rPr>
        <w:t>，平均标贯击数</w:t>
      </w:r>
      <w:r>
        <w:rPr>
          <w:rFonts w:ascii="Times New Roman" w:eastAsia="宋体" w:hAnsi="Times New Roman" w:cs="Times New Roman"/>
          <w:snapToGrid w:val="0"/>
          <w:color w:val="000000"/>
          <w:kern w:val="0"/>
          <w:sz w:val="24"/>
          <w:szCs w:val="28"/>
        </w:rPr>
        <w:t>2.0</w:t>
      </w:r>
      <w:r>
        <w:rPr>
          <w:rFonts w:ascii="Times New Roman" w:eastAsia="宋体" w:hAnsi="Times New Roman" w:cs="Times New Roman"/>
          <w:snapToGrid w:val="0"/>
          <w:color w:val="000000"/>
          <w:kern w:val="0"/>
          <w:sz w:val="24"/>
          <w:szCs w:val="28"/>
        </w:rPr>
        <w:t>击。</w:t>
      </w:r>
    </w:p>
    <w:p w14:paraId="64620D65"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①</w:t>
      </w:r>
      <w:r>
        <w:rPr>
          <w:rFonts w:ascii="Times New Roman" w:eastAsia="宋体" w:hAnsi="Times New Roman" w:cs="Times New Roman"/>
          <w:snapToGrid w:val="0"/>
          <w:color w:val="000000"/>
          <w:kern w:val="0"/>
          <w:sz w:val="24"/>
          <w:szCs w:val="28"/>
          <w:vertAlign w:val="subscript"/>
        </w:rPr>
        <w:t>3-1</w:t>
      </w:r>
      <w:r>
        <w:rPr>
          <w:rFonts w:ascii="Times New Roman" w:eastAsia="宋体" w:hAnsi="Times New Roman" w:cs="Times New Roman"/>
          <w:snapToGrid w:val="0"/>
          <w:color w:val="000000"/>
          <w:kern w:val="0"/>
          <w:sz w:val="24"/>
          <w:szCs w:val="28"/>
        </w:rPr>
        <w:t>粉砂：灰</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灰黄，饱和，松散，局部夹少量的贝壳及粘粒。该层在</w:t>
      </w:r>
      <w:r>
        <w:rPr>
          <w:rFonts w:ascii="Times New Roman" w:eastAsia="宋体" w:hAnsi="Times New Roman" w:cs="Times New Roman"/>
          <w:snapToGrid w:val="0"/>
          <w:color w:val="000000"/>
          <w:kern w:val="0"/>
          <w:sz w:val="24"/>
          <w:szCs w:val="28"/>
        </w:rPr>
        <w:t>1</w:t>
      </w:r>
      <w:r>
        <w:rPr>
          <w:rFonts w:ascii="Times New Roman" w:eastAsia="宋体" w:hAnsi="Times New Roman" w:cs="Times New Roman"/>
          <w:snapToGrid w:val="0"/>
          <w:color w:val="000000"/>
          <w:kern w:val="0"/>
          <w:sz w:val="24"/>
          <w:szCs w:val="28"/>
        </w:rPr>
        <w:t>个钻孔有揭示，厚度</w:t>
      </w:r>
      <w:r>
        <w:rPr>
          <w:rFonts w:ascii="Times New Roman" w:eastAsia="宋体" w:hAnsi="Times New Roman" w:cs="Times New Roman"/>
          <w:snapToGrid w:val="0"/>
          <w:color w:val="000000"/>
          <w:kern w:val="0"/>
          <w:sz w:val="24"/>
          <w:szCs w:val="28"/>
        </w:rPr>
        <w:t>4.0m</w:t>
      </w:r>
      <w:r>
        <w:rPr>
          <w:rFonts w:ascii="Times New Roman" w:eastAsia="宋体" w:hAnsi="Times New Roman" w:cs="Times New Roman"/>
          <w:snapToGrid w:val="0"/>
          <w:color w:val="000000"/>
          <w:kern w:val="0"/>
          <w:sz w:val="24"/>
          <w:szCs w:val="28"/>
        </w:rPr>
        <w:t>，平均标贯击数</w:t>
      </w:r>
      <w:r>
        <w:rPr>
          <w:rFonts w:ascii="Times New Roman" w:eastAsia="宋体" w:hAnsi="Times New Roman" w:cs="Times New Roman"/>
          <w:snapToGrid w:val="0"/>
          <w:color w:val="000000"/>
          <w:kern w:val="0"/>
          <w:sz w:val="24"/>
          <w:szCs w:val="28"/>
        </w:rPr>
        <w:t>3.0</w:t>
      </w:r>
      <w:r>
        <w:rPr>
          <w:rFonts w:ascii="Times New Roman" w:eastAsia="宋体" w:hAnsi="Times New Roman" w:cs="Times New Roman"/>
          <w:snapToGrid w:val="0"/>
          <w:color w:val="000000"/>
          <w:kern w:val="0"/>
          <w:sz w:val="24"/>
          <w:szCs w:val="28"/>
        </w:rPr>
        <w:t>击。</w:t>
      </w:r>
    </w:p>
    <w:p w14:paraId="20A8DA53" w14:textId="684B33DC"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①</w:t>
      </w:r>
      <w:r>
        <w:rPr>
          <w:rFonts w:ascii="Times New Roman" w:eastAsia="宋体" w:hAnsi="Times New Roman" w:cs="Times New Roman"/>
          <w:snapToGrid w:val="0"/>
          <w:color w:val="000000"/>
          <w:kern w:val="0"/>
          <w:sz w:val="24"/>
          <w:szCs w:val="28"/>
          <w:vertAlign w:val="subscript"/>
        </w:rPr>
        <w:t>3-2</w:t>
      </w:r>
      <w:r>
        <w:rPr>
          <w:rFonts w:ascii="Times New Roman" w:eastAsia="宋体" w:hAnsi="Times New Roman" w:cs="Times New Roman"/>
          <w:snapToGrid w:val="0"/>
          <w:color w:val="000000"/>
          <w:kern w:val="0"/>
          <w:sz w:val="24"/>
          <w:szCs w:val="28"/>
        </w:rPr>
        <w:t>粗砂：灰黄，饱和，松散，局部夹少量的贝壳及粘粒。该层在</w:t>
      </w:r>
      <w:r>
        <w:rPr>
          <w:rFonts w:ascii="Times New Roman" w:eastAsia="宋体" w:hAnsi="Times New Roman" w:cs="Times New Roman"/>
          <w:snapToGrid w:val="0"/>
          <w:color w:val="000000"/>
          <w:kern w:val="0"/>
          <w:sz w:val="24"/>
          <w:szCs w:val="28"/>
        </w:rPr>
        <w:t>1</w:t>
      </w:r>
      <w:r>
        <w:rPr>
          <w:rFonts w:ascii="Times New Roman" w:eastAsia="宋体" w:hAnsi="Times New Roman" w:cs="Times New Roman"/>
          <w:snapToGrid w:val="0"/>
          <w:color w:val="000000"/>
          <w:kern w:val="0"/>
          <w:sz w:val="24"/>
          <w:szCs w:val="28"/>
        </w:rPr>
        <w:t>个钻孔有揭示，厚度</w:t>
      </w:r>
      <w:r>
        <w:rPr>
          <w:rFonts w:ascii="Times New Roman" w:eastAsia="宋体" w:hAnsi="Times New Roman" w:cs="Times New Roman"/>
          <w:snapToGrid w:val="0"/>
          <w:color w:val="000000"/>
          <w:kern w:val="0"/>
          <w:sz w:val="24"/>
          <w:szCs w:val="28"/>
        </w:rPr>
        <w:t>2.5m</w:t>
      </w:r>
      <w:r>
        <w:rPr>
          <w:rFonts w:ascii="Times New Roman" w:eastAsia="宋体" w:hAnsi="Times New Roman" w:cs="Times New Roman"/>
          <w:snapToGrid w:val="0"/>
          <w:color w:val="000000"/>
          <w:kern w:val="0"/>
          <w:sz w:val="24"/>
          <w:szCs w:val="28"/>
        </w:rPr>
        <w:t>。</w:t>
      </w:r>
    </w:p>
    <w:p w14:paraId="08CC62F8" w14:textId="28117516"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①</w:t>
      </w:r>
      <w:r>
        <w:rPr>
          <w:rFonts w:ascii="Times New Roman" w:eastAsia="宋体" w:hAnsi="Times New Roman" w:cs="Times New Roman"/>
          <w:snapToGrid w:val="0"/>
          <w:color w:val="000000"/>
          <w:kern w:val="0"/>
          <w:sz w:val="24"/>
          <w:szCs w:val="28"/>
          <w:vertAlign w:val="subscript"/>
        </w:rPr>
        <w:t>3-3</w:t>
      </w:r>
      <w:r>
        <w:rPr>
          <w:rFonts w:ascii="Times New Roman" w:eastAsia="宋体" w:hAnsi="Times New Roman" w:cs="Times New Roman"/>
          <w:snapToGrid w:val="0"/>
          <w:color w:val="000000"/>
          <w:kern w:val="0"/>
          <w:sz w:val="24"/>
          <w:szCs w:val="28"/>
        </w:rPr>
        <w:t>砾砂：灰，饱和，松散，局部夹少量的贝壳及粘粒。该层在</w:t>
      </w:r>
      <w:r>
        <w:rPr>
          <w:rFonts w:ascii="Times New Roman" w:eastAsia="宋体" w:hAnsi="Times New Roman" w:cs="Times New Roman"/>
          <w:snapToGrid w:val="0"/>
          <w:color w:val="000000"/>
          <w:kern w:val="0"/>
          <w:sz w:val="24"/>
          <w:szCs w:val="28"/>
        </w:rPr>
        <w:t>4</w:t>
      </w:r>
      <w:r>
        <w:rPr>
          <w:rFonts w:ascii="Times New Roman" w:eastAsia="宋体" w:hAnsi="Times New Roman" w:cs="Times New Roman"/>
          <w:snapToGrid w:val="0"/>
          <w:color w:val="000000"/>
          <w:kern w:val="0"/>
          <w:sz w:val="24"/>
          <w:szCs w:val="28"/>
        </w:rPr>
        <w:t>个钻孔有揭示，厚度</w:t>
      </w:r>
      <w:r>
        <w:rPr>
          <w:rFonts w:ascii="Times New Roman" w:eastAsia="宋体" w:hAnsi="Times New Roman" w:cs="Times New Roman"/>
          <w:snapToGrid w:val="0"/>
          <w:color w:val="000000"/>
          <w:kern w:val="0"/>
          <w:sz w:val="24"/>
          <w:szCs w:val="28"/>
        </w:rPr>
        <w:t>1.0m~4.2m</w:t>
      </w:r>
      <w:r>
        <w:rPr>
          <w:rFonts w:ascii="Times New Roman" w:eastAsia="宋体" w:hAnsi="Times New Roman" w:cs="Times New Roman"/>
          <w:snapToGrid w:val="0"/>
          <w:color w:val="000000"/>
          <w:kern w:val="0"/>
          <w:sz w:val="24"/>
          <w:szCs w:val="28"/>
        </w:rPr>
        <w:t>，平均标贯击数</w:t>
      </w:r>
      <w:r>
        <w:rPr>
          <w:rFonts w:ascii="Times New Roman" w:eastAsia="宋体" w:hAnsi="Times New Roman" w:cs="Times New Roman"/>
          <w:snapToGrid w:val="0"/>
          <w:color w:val="000000"/>
          <w:kern w:val="0"/>
          <w:sz w:val="24"/>
          <w:szCs w:val="28"/>
        </w:rPr>
        <w:t>6.6</w:t>
      </w:r>
      <w:r>
        <w:rPr>
          <w:rFonts w:ascii="Times New Roman" w:eastAsia="宋体" w:hAnsi="Times New Roman" w:cs="Times New Roman"/>
          <w:snapToGrid w:val="0"/>
          <w:color w:val="000000"/>
          <w:kern w:val="0"/>
          <w:sz w:val="24"/>
          <w:szCs w:val="28"/>
        </w:rPr>
        <w:t>击。</w:t>
      </w:r>
    </w:p>
    <w:p w14:paraId="23FD7C24"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①</w:t>
      </w:r>
      <w:r>
        <w:rPr>
          <w:rFonts w:ascii="Times New Roman" w:eastAsia="宋体" w:hAnsi="Times New Roman" w:cs="Times New Roman"/>
          <w:snapToGrid w:val="0"/>
          <w:color w:val="000000"/>
          <w:kern w:val="0"/>
          <w:sz w:val="24"/>
          <w:szCs w:val="28"/>
          <w:vertAlign w:val="subscript"/>
        </w:rPr>
        <w:t>t</w:t>
      </w:r>
      <w:r>
        <w:rPr>
          <w:rFonts w:ascii="Times New Roman" w:eastAsia="宋体" w:hAnsi="Times New Roman" w:cs="Times New Roman"/>
          <w:snapToGrid w:val="0"/>
          <w:color w:val="000000"/>
          <w:kern w:val="0"/>
          <w:sz w:val="24"/>
          <w:szCs w:val="28"/>
        </w:rPr>
        <w:t>中砂：灰黄，饱和，稍密，局部夹少量的贝壳及粘粒。该层在</w:t>
      </w:r>
      <w:r>
        <w:rPr>
          <w:rFonts w:ascii="Times New Roman" w:eastAsia="宋体" w:hAnsi="Times New Roman" w:cs="Times New Roman"/>
          <w:snapToGrid w:val="0"/>
          <w:color w:val="000000"/>
          <w:kern w:val="0"/>
          <w:sz w:val="24"/>
          <w:szCs w:val="28"/>
        </w:rPr>
        <w:t>1</w:t>
      </w:r>
      <w:r>
        <w:rPr>
          <w:rFonts w:ascii="Times New Roman" w:eastAsia="宋体" w:hAnsi="Times New Roman" w:cs="Times New Roman"/>
          <w:snapToGrid w:val="0"/>
          <w:color w:val="000000"/>
          <w:kern w:val="0"/>
          <w:sz w:val="24"/>
          <w:szCs w:val="28"/>
        </w:rPr>
        <w:t>个钻孔有揭示，厚度</w:t>
      </w:r>
      <w:r>
        <w:rPr>
          <w:rFonts w:ascii="Times New Roman" w:eastAsia="宋体" w:hAnsi="Times New Roman" w:cs="Times New Roman"/>
          <w:snapToGrid w:val="0"/>
          <w:color w:val="000000"/>
          <w:kern w:val="0"/>
          <w:sz w:val="24"/>
          <w:szCs w:val="28"/>
        </w:rPr>
        <w:t>1.5m</w:t>
      </w:r>
      <w:r>
        <w:rPr>
          <w:rFonts w:ascii="Times New Roman" w:eastAsia="宋体" w:hAnsi="Times New Roman" w:cs="Times New Roman"/>
          <w:snapToGrid w:val="0"/>
          <w:color w:val="000000"/>
          <w:kern w:val="0"/>
          <w:sz w:val="24"/>
          <w:szCs w:val="28"/>
        </w:rPr>
        <w:t>，平均标贯击数</w:t>
      </w:r>
      <w:r>
        <w:rPr>
          <w:rFonts w:ascii="Times New Roman" w:eastAsia="宋体" w:hAnsi="Times New Roman" w:cs="Times New Roman"/>
          <w:snapToGrid w:val="0"/>
          <w:color w:val="000000"/>
          <w:kern w:val="0"/>
          <w:sz w:val="24"/>
          <w:szCs w:val="28"/>
        </w:rPr>
        <w:t>3.0</w:t>
      </w:r>
      <w:r>
        <w:rPr>
          <w:rFonts w:ascii="Times New Roman" w:eastAsia="宋体" w:hAnsi="Times New Roman" w:cs="Times New Roman"/>
          <w:snapToGrid w:val="0"/>
          <w:color w:val="000000"/>
          <w:kern w:val="0"/>
          <w:sz w:val="24"/>
          <w:szCs w:val="28"/>
        </w:rPr>
        <w:t>击。</w:t>
      </w:r>
    </w:p>
    <w:p w14:paraId="4E9045D2"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③</w:t>
      </w:r>
      <w:r>
        <w:rPr>
          <w:rFonts w:ascii="Times New Roman" w:eastAsia="宋体" w:hAnsi="Times New Roman" w:cs="Times New Roman"/>
          <w:snapToGrid w:val="0"/>
          <w:color w:val="000000"/>
          <w:kern w:val="0"/>
          <w:sz w:val="24"/>
          <w:szCs w:val="28"/>
          <w:vertAlign w:val="subscript"/>
        </w:rPr>
        <w:t>1</w:t>
      </w:r>
      <w:r>
        <w:rPr>
          <w:rFonts w:ascii="Times New Roman" w:eastAsia="宋体" w:hAnsi="Times New Roman" w:cs="Times New Roman"/>
          <w:snapToGrid w:val="0"/>
          <w:color w:val="000000"/>
          <w:kern w:val="0"/>
          <w:sz w:val="24"/>
          <w:szCs w:val="28"/>
        </w:rPr>
        <w:t>粉质黏土：灰黄</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褐黄色，湿</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饱和，可塑</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硬塑状。土质不均，含少量铁锰质结合物。摇振无反应，切面较光滑，韧性及干强度较高。该层在</w:t>
      </w:r>
      <w:r>
        <w:rPr>
          <w:rFonts w:ascii="Times New Roman" w:eastAsia="宋体" w:hAnsi="Times New Roman" w:cs="Times New Roman"/>
          <w:snapToGrid w:val="0"/>
          <w:color w:val="000000"/>
          <w:kern w:val="0"/>
          <w:sz w:val="24"/>
          <w:szCs w:val="28"/>
        </w:rPr>
        <w:t>6</w:t>
      </w:r>
      <w:r>
        <w:rPr>
          <w:rFonts w:ascii="Times New Roman" w:eastAsia="宋体" w:hAnsi="Times New Roman" w:cs="Times New Roman"/>
          <w:snapToGrid w:val="0"/>
          <w:color w:val="000000"/>
          <w:kern w:val="0"/>
          <w:sz w:val="24"/>
          <w:szCs w:val="28"/>
        </w:rPr>
        <w:t>个钻孔均有揭示，厚度约</w:t>
      </w:r>
      <w:r>
        <w:rPr>
          <w:rFonts w:ascii="Times New Roman" w:eastAsia="宋体" w:hAnsi="Times New Roman" w:cs="Times New Roman"/>
          <w:snapToGrid w:val="0"/>
          <w:color w:val="000000"/>
          <w:kern w:val="0"/>
          <w:sz w:val="24"/>
          <w:szCs w:val="28"/>
        </w:rPr>
        <w:t>1.20~6.70m</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lastRenderedPageBreak/>
        <w:t>平均标贯击数</w:t>
      </w:r>
      <w:r>
        <w:rPr>
          <w:rFonts w:ascii="Times New Roman" w:eastAsia="宋体" w:hAnsi="Times New Roman" w:cs="Times New Roman"/>
          <w:snapToGrid w:val="0"/>
          <w:color w:val="000000"/>
          <w:kern w:val="0"/>
          <w:sz w:val="24"/>
          <w:szCs w:val="28"/>
        </w:rPr>
        <w:t>15.2</w:t>
      </w:r>
      <w:r>
        <w:rPr>
          <w:rFonts w:ascii="Times New Roman" w:eastAsia="宋体" w:hAnsi="Times New Roman" w:cs="Times New Roman"/>
          <w:snapToGrid w:val="0"/>
          <w:color w:val="000000"/>
          <w:kern w:val="0"/>
          <w:sz w:val="24"/>
          <w:szCs w:val="28"/>
        </w:rPr>
        <w:t>击。</w:t>
      </w:r>
    </w:p>
    <w:p w14:paraId="0FD373D7"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④</w:t>
      </w:r>
      <w:r>
        <w:rPr>
          <w:rFonts w:ascii="Times New Roman" w:eastAsia="宋体" w:hAnsi="Times New Roman" w:cs="Times New Roman"/>
          <w:snapToGrid w:val="0"/>
          <w:color w:val="000000"/>
          <w:kern w:val="0"/>
          <w:sz w:val="24"/>
          <w:szCs w:val="28"/>
          <w:vertAlign w:val="subscript"/>
        </w:rPr>
        <w:t>1</w:t>
      </w:r>
      <w:r>
        <w:rPr>
          <w:rFonts w:ascii="Times New Roman" w:eastAsia="宋体" w:hAnsi="Times New Roman" w:cs="Times New Roman"/>
          <w:snapToGrid w:val="0"/>
          <w:color w:val="000000"/>
          <w:kern w:val="0"/>
          <w:sz w:val="24"/>
          <w:szCs w:val="28"/>
        </w:rPr>
        <w:t>粗砂：灰黄</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灰白色，湿，中密，混黏性土，砂质不均。该层在</w:t>
      </w:r>
      <w:r>
        <w:rPr>
          <w:rFonts w:ascii="Times New Roman" w:eastAsia="宋体" w:hAnsi="Times New Roman" w:cs="Times New Roman"/>
          <w:snapToGrid w:val="0"/>
          <w:color w:val="000000"/>
          <w:kern w:val="0"/>
          <w:sz w:val="24"/>
          <w:szCs w:val="28"/>
        </w:rPr>
        <w:t>6</w:t>
      </w:r>
      <w:r>
        <w:rPr>
          <w:rFonts w:ascii="Times New Roman" w:eastAsia="宋体" w:hAnsi="Times New Roman" w:cs="Times New Roman"/>
          <w:snapToGrid w:val="0"/>
          <w:color w:val="000000"/>
          <w:kern w:val="0"/>
          <w:sz w:val="24"/>
          <w:szCs w:val="28"/>
        </w:rPr>
        <w:t>个钻孔揭示，厚度约</w:t>
      </w:r>
      <w:r>
        <w:rPr>
          <w:rFonts w:ascii="Times New Roman" w:eastAsia="宋体" w:hAnsi="Times New Roman" w:cs="Times New Roman"/>
          <w:snapToGrid w:val="0"/>
          <w:color w:val="000000"/>
          <w:kern w:val="0"/>
          <w:sz w:val="24"/>
          <w:szCs w:val="28"/>
        </w:rPr>
        <w:t>1.40~3.00m</w:t>
      </w:r>
      <w:r>
        <w:rPr>
          <w:rFonts w:ascii="Times New Roman" w:eastAsia="宋体" w:hAnsi="Times New Roman" w:cs="Times New Roman"/>
          <w:snapToGrid w:val="0"/>
          <w:color w:val="000000"/>
          <w:kern w:val="0"/>
          <w:sz w:val="24"/>
          <w:szCs w:val="28"/>
        </w:rPr>
        <w:t>。平均标贯击数</w:t>
      </w:r>
      <w:r>
        <w:rPr>
          <w:rFonts w:ascii="Times New Roman" w:eastAsia="宋体" w:hAnsi="Times New Roman" w:cs="Times New Roman"/>
          <w:snapToGrid w:val="0"/>
          <w:color w:val="000000"/>
          <w:kern w:val="0"/>
          <w:sz w:val="24"/>
          <w:szCs w:val="28"/>
        </w:rPr>
        <w:t>24.0</w:t>
      </w:r>
      <w:r>
        <w:rPr>
          <w:rFonts w:ascii="Times New Roman" w:eastAsia="宋体" w:hAnsi="Times New Roman" w:cs="Times New Roman"/>
          <w:snapToGrid w:val="0"/>
          <w:color w:val="000000"/>
          <w:kern w:val="0"/>
          <w:sz w:val="24"/>
          <w:szCs w:val="28"/>
        </w:rPr>
        <w:t>击。</w:t>
      </w:r>
    </w:p>
    <w:p w14:paraId="3E0FBDD2"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⑥</w:t>
      </w:r>
      <w:r>
        <w:rPr>
          <w:rFonts w:ascii="Times New Roman" w:eastAsia="宋体" w:hAnsi="Times New Roman" w:cs="Times New Roman"/>
          <w:snapToGrid w:val="0"/>
          <w:color w:val="000000"/>
          <w:kern w:val="0"/>
          <w:sz w:val="24"/>
          <w:szCs w:val="28"/>
        </w:rPr>
        <w:t>粉质黏土（残积土）：褐黄</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灰黄色，稍湿</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湿，硬塑状。成分主要由长石风化的黏粉粒和石英颗粒组成，含少量云母碎屑，摇振无反应，切面稍有光滑，干强度及韧性中等，原岩结构特征清楚，系中粗粒花岗岩风化产物。该层在本次勘察</w:t>
      </w:r>
      <w:r>
        <w:rPr>
          <w:rFonts w:ascii="Times New Roman" w:eastAsia="宋体" w:hAnsi="Times New Roman" w:cs="Times New Roman"/>
          <w:snapToGrid w:val="0"/>
          <w:color w:val="000000"/>
          <w:kern w:val="0"/>
          <w:sz w:val="24"/>
          <w:szCs w:val="28"/>
        </w:rPr>
        <w:t>3</w:t>
      </w:r>
      <w:r>
        <w:rPr>
          <w:rFonts w:ascii="Times New Roman" w:eastAsia="宋体" w:hAnsi="Times New Roman" w:cs="Times New Roman"/>
          <w:snapToGrid w:val="0"/>
          <w:color w:val="000000"/>
          <w:kern w:val="0"/>
          <w:sz w:val="24"/>
          <w:szCs w:val="28"/>
        </w:rPr>
        <w:t>个钻孔有揭示，未钻穿。平均标贯击数</w:t>
      </w:r>
      <w:r>
        <w:rPr>
          <w:rFonts w:ascii="Times New Roman" w:eastAsia="宋体" w:hAnsi="Times New Roman" w:cs="Times New Roman"/>
          <w:snapToGrid w:val="0"/>
          <w:color w:val="000000"/>
          <w:kern w:val="0"/>
          <w:sz w:val="24"/>
          <w:szCs w:val="28"/>
        </w:rPr>
        <w:t>17.5</w:t>
      </w:r>
      <w:r>
        <w:rPr>
          <w:rFonts w:ascii="Times New Roman" w:eastAsia="宋体" w:hAnsi="Times New Roman" w:cs="Times New Roman"/>
          <w:snapToGrid w:val="0"/>
          <w:color w:val="000000"/>
          <w:kern w:val="0"/>
          <w:sz w:val="24"/>
          <w:szCs w:val="28"/>
        </w:rPr>
        <w:t>击。</w:t>
      </w:r>
    </w:p>
    <w:p w14:paraId="7CF1FC66" w14:textId="77777777" w:rsidR="00EB6ADA" w:rsidRDefault="00000000">
      <w:pPr>
        <w:adjustRightInd w:val="0"/>
        <w:spacing w:line="360" w:lineRule="auto"/>
        <w:ind w:firstLineChars="200" w:firstLine="480"/>
        <w:rPr>
          <w:rFonts w:ascii="Times New Roman" w:eastAsia="宋体" w:hAnsi="Times New Roman" w:cs="Times New Roman"/>
          <w:snapToGrid w:val="0"/>
          <w:color w:val="000000"/>
          <w:kern w:val="0"/>
          <w:sz w:val="24"/>
          <w:szCs w:val="28"/>
        </w:rPr>
      </w:pPr>
      <w:r>
        <w:rPr>
          <w:rFonts w:ascii="Times New Roman" w:eastAsia="宋体" w:hAnsi="Times New Roman" w:cs="Times New Roman"/>
          <w:snapToGrid w:val="0"/>
          <w:color w:val="000000"/>
          <w:kern w:val="0"/>
          <w:sz w:val="24"/>
          <w:szCs w:val="28"/>
        </w:rPr>
        <w:t>⑦</w:t>
      </w:r>
      <w:r>
        <w:rPr>
          <w:rFonts w:ascii="Times New Roman" w:eastAsia="宋体" w:hAnsi="Times New Roman" w:cs="Times New Roman"/>
          <w:snapToGrid w:val="0"/>
          <w:color w:val="000000"/>
          <w:kern w:val="0"/>
          <w:sz w:val="24"/>
          <w:szCs w:val="28"/>
          <w:vertAlign w:val="subscript"/>
        </w:rPr>
        <w:t>1</w:t>
      </w:r>
      <w:r>
        <w:rPr>
          <w:rFonts w:ascii="Times New Roman" w:eastAsia="宋体" w:hAnsi="Times New Roman" w:cs="Times New Roman"/>
          <w:snapToGrid w:val="0"/>
          <w:color w:val="000000"/>
          <w:kern w:val="0"/>
          <w:sz w:val="24"/>
          <w:szCs w:val="28"/>
        </w:rPr>
        <w:t>全风化花岗岩（</w:t>
      </w:r>
      <w:r>
        <w:rPr>
          <w:rFonts w:ascii="Times New Roman" w:eastAsia="宋体" w:hAnsi="Times New Roman" w:cs="Times New Roman"/>
          <w:snapToGrid w:val="0"/>
          <w:color w:val="000000"/>
          <w:kern w:val="0"/>
          <w:sz w:val="24"/>
          <w:szCs w:val="28"/>
        </w:rPr>
        <w:t>γ</w:t>
      </w:r>
      <w:r>
        <w:rPr>
          <w:rFonts w:ascii="Times New Roman" w:eastAsia="宋体" w:hAnsi="Times New Roman" w:cs="Times New Roman"/>
          <w:snapToGrid w:val="0"/>
          <w:color w:val="000000"/>
          <w:kern w:val="0"/>
          <w:sz w:val="24"/>
          <w:szCs w:val="28"/>
          <w:vertAlign w:val="subscript"/>
        </w:rPr>
        <w:t>5</w:t>
      </w:r>
      <w:r>
        <w:rPr>
          <w:rFonts w:ascii="Times New Roman" w:eastAsia="宋体" w:hAnsi="Times New Roman" w:cs="Times New Roman"/>
          <w:snapToGrid w:val="0"/>
          <w:color w:val="000000"/>
          <w:kern w:val="0"/>
          <w:sz w:val="24"/>
          <w:szCs w:val="28"/>
          <w:vertAlign w:val="superscript"/>
        </w:rPr>
        <w:t>2</w:t>
      </w:r>
      <w:r>
        <w:rPr>
          <w:rFonts w:ascii="Times New Roman" w:eastAsia="宋体" w:hAnsi="Times New Roman" w:cs="Times New Roman"/>
          <w:snapToGrid w:val="0"/>
          <w:color w:val="000000"/>
          <w:kern w:val="0"/>
          <w:sz w:val="24"/>
          <w:szCs w:val="28"/>
        </w:rPr>
        <w:t>）：褐黄</w:t>
      </w:r>
      <w:r>
        <w:rPr>
          <w:rFonts w:ascii="Times New Roman" w:eastAsia="宋体" w:hAnsi="Times New Roman" w:cs="Times New Roman"/>
          <w:snapToGrid w:val="0"/>
          <w:color w:val="000000"/>
          <w:kern w:val="0"/>
          <w:sz w:val="24"/>
          <w:szCs w:val="28"/>
        </w:rPr>
        <w:t>~</w:t>
      </w:r>
      <w:r>
        <w:rPr>
          <w:rFonts w:ascii="Times New Roman" w:eastAsia="宋体" w:hAnsi="Times New Roman" w:cs="Times New Roman"/>
          <w:snapToGrid w:val="0"/>
          <w:color w:val="000000"/>
          <w:kern w:val="0"/>
          <w:sz w:val="24"/>
          <w:szCs w:val="28"/>
        </w:rPr>
        <w:t>灰白色，原岩结构较清晰，风化强烈，长石及暗色矿物大部分已风化成黏土，岩芯呈坚硬土状，压缩性较低，力学强度较高。该层与上述残积土层呈渐变关系，性质更接近于风化土，因此也具泡水易软化、崩解，强度降低的特性。大部分钻孔受孔深限制未揭示该层。平均标贯击数</w:t>
      </w:r>
      <w:r>
        <w:rPr>
          <w:rFonts w:ascii="Times New Roman" w:eastAsia="宋体" w:hAnsi="Times New Roman" w:cs="Times New Roman"/>
          <w:snapToGrid w:val="0"/>
          <w:color w:val="000000"/>
          <w:kern w:val="0"/>
          <w:sz w:val="24"/>
          <w:szCs w:val="28"/>
        </w:rPr>
        <w:t>32</w:t>
      </w:r>
      <w:r>
        <w:rPr>
          <w:rFonts w:ascii="Times New Roman" w:eastAsia="宋体" w:hAnsi="Times New Roman" w:cs="Times New Roman"/>
          <w:snapToGrid w:val="0"/>
          <w:color w:val="000000"/>
          <w:kern w:val="0"/>
          <w:sz w:val="24"/>
          <w:szCs w:val="28"/>
        </w:rPr>
        <w:t>击。</w:t>
      </w:r>
    </w:p>
    <w:p w14:paraId="12E886A5" w14:textId="77777777" w:rsidR="00EB6ADA" w:rsidRDefault="00000000">
      <w:pPr>
        <w:keepNext/>
        <w:keepLines/>
        <w:widowControl/>
        <w:adjustRightInd w:val="0"/>
        <w:spacing w:line="360" w:lineRule="auto"/>
        <w:jc w:val="left"/>
        <w:textAlignment w:val="baseline"/>
        <w:outlineLvl w:val="2"/>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2</w:t>
      </w:r>
      <w:r>
        <w:rPr>
          <w:rFonts w:ascii="Times New Roman" w:eastAsia="宋体" w:hAnsi="Times New Roman" w:cs="Times New Roman"/>
          <w:b/>
          <w:kern w:val="0"/>
          <w:sz w:val="28"/>
          <w:szCs w:val="28"/>
        </w:rPr>
        <w:t>.2.5</w:t>
      </w:r>
      <w:r>
        <w:rPr>
          <w:rFonts w:ascii="Times New Roman" w:eastAsia="宋体" w:hAnsi="Times New Roman" w:cs="Times New Roman"/>
          <w:b/>
          <w:kern w:val="0"/>
          <w:sz w:val="28"/>
          <w:szCs w:val="28"/>
        </w:rPr>
        <w:t>海域环境现状</w:t>
      </w:r>
    </w:p>
    <w:p w14:paraId="7D821D10" w14:textId="77777777" w:rsidR="00EB6ADA"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本节环境质量现状数据引用福建创投环境检测有限公司</w:t>
      </w:r>
      <w:r>
        <w:rPr>
          <w:rFonts w:ascii="Times New Roman" w:eastAsia="宋体" w:hAnsi="Times New Roman" w:cs="Times New Roman"/>
          <w:sz w:val="24"/>
        </w:rPr>
        <w:t>2023</w:t>
      </w:r>
      <w:r>
        <w:rPr>
          <w:rFonts w:ascii="Times New Roman" w:eastAsia="宋体" w:hAnsi="Times New Roman" w:cs="Times New Roman"/>
          <w:sz w:val="24"/>
        </w:rPr>
        <w:t>年</w:t>
      </w:r>
      <w:r>
        <w:rPr>
          <w:rFonts w:ascii="Times New Roman" w:eastAsia="宋体" w:hAnsi="Times New Roman" w:cs="Times New Roman"/>
          <w:sz w:val="24"/>
        </w:rPr>
        <w:t>12</w:t>
      </w:r>
      <w:r>
        <w:rPr>
          <w:rFonts w:ascii="Times New Roman" w:eastAsia="宋体" w:hAnsi="Times New Roman" w:cs="Times New Roman"/>
          <w:sz w:val="24"/>
        </w:rPr>
        <w:t>月</w:t>
      </w:r>
      <w:r>
        <w:rPr>
          <w:rFonts w:ascii="Times New Roman" w:eastAsia="宋体" w:hAnsi="Times New Roman" w:cs="Times New Roman" w:hint="eastAsia"/>
          <w:sz w:val="24"/>
        </w:rPr>
        <w:t>编制的</w:t>
      </w:r>
      <w:r>
        <w:rPr>
          <w:rFonts w:ascii="Times New Roman" w:eastAsia="宋体" w:hAnsi="Times New Roman" w:cs="Times New Roman"/>
          <w:sz w:val="24"/>
        </w:rPr>
        <w:t>《泉州湾围头湾石井作业区</w:t>
      </w:r>
      <w:r>
        <w:rPr>
          <w:rFonts w:ascii="Times New Roman" w:eastAsia="宋体" w:hAnsi="Times New Roman" w:cs="Times New Roman"/>
          <w:sz w:val="24"/>
        </w:rPr>
        <w:t>6</w:t>
      </w:r>
      <w:r>
        <w:rPr>
          <w:rFonts w:ascii="Times New Roman" w:eastAsia="宋体" w:hAnsi="Times New Roman" w:cs="Times New Roman"/>
          <w:sz w:val="24"/>
        </w:rPr>
        <w:t>号、</w:t>
      </w:r>
      <w:r>
        <w:rPr>
          <w:rFonts w:ascii="Times New Roman" w:eastAsia="宋体" w:hAnsi="Times New Roman" w:cs="Times New Roman"/>
          <w:sz w:val="24"/>
        </w:rPr>
        <w:t>7</w:t>
      </w:r>
      <w:r>
        <w:rPr>
          <w:rFonts w:ascii="Times New Roman" w:eastAsia="宋体" w:hAnsi="Times New Roman" w:cs="Times New Roman"/>
          <w:sz w:val="24"/>
        </w:rPr>
        <w:t>号泊位工程海洋环境调查报告》。</w:t>
      </w:r>
      <w:r>
        <w:rPr>
          <w:rFonts w:ascii="Times New Roman" w:eastAsia="宋体" w:hAnsi="Times New Roman" w:cs="Times New Roman" w:hint="eastAsia"/>
          <w:sz w:val="24"/>
        </w:rPr>
        <w:t>调查结果略。</w:t>
      </w:r>
    </w:p>
    <w:p w14:paraId="52BCEC88" w14:textId="77777777" w:rsidR="00EB6ADA" w:rsidRDefault="00000000">
      <w:pPr>
        <w:keepNext/>
        <w:keepLines/>
        <w:widowControl/>
        <w:adjustRightInd w:val="0"/>
        <w:spacing w:line="360" w:lineRule="auto"/>
        <w:jc w:val="left"/>
        <w:textAlignment w:val="baseline"/>
        <w:outlineLvl w:val="2"/>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2</w:t>
      </w:r>
      <w:r>
        <w:rPr>
          <w:rFonts w:ascii="Times New Roman" w:eastAsia="宋体" w:hAnsi="Times New Roman" w:cs="Times New Roman"/>
          <w:b/>
          <w:kern w:val="0"/>
          <w:sz w:val="28"/>
          <w:szCs w:val="28"/>
        </w:rPr>
        <w:t>.2.6</w:t>
      </w:r>
      <w:r>
        <w:rPr>
          <w:rFonts w:ascii="Times New Roman" w:eastAsia="宋体" w:hAnsi="Times New Roman" w:cs="Times New Roman"/>
          <w:b/>
          <w:kern w:val="0"/>
          <w:sz w:val="28"/>
          <w:szCs w:val="28"/>
        </w:rPr>
        <w:t>海域生态现状</w:t>
      </w:r>
    </w:p>
    <w:p w14:paraId="6B5C07F5" w14:textId="22A93DA5" w:rsidR="00EB6ADA" w:rsidRDefault="00000000">
      <w:pPr>
        <w:spacing w:line="360" w:lineRule="auto"/>
        <w:ind w:firstLine="480"/>
        <w:textAlignment w:val="baseline"/>
        <w:rPr>
          <w:rFonts w:ascii="Times New Roman" w:eastAsia="宋体" w:hAnsi="Times New Roman" w:cs="Times New Roman"/>
          <w:sz w:val="24"/>
          <w:szCs w:val="24"/>
        </w:rPr>
      </w:pPr>
      <w:r>
        <w:rPr>
          <w:rFonts w:ascii="Times New Roman" w:eastAsia="宋体" w:hAnsi="Times New Roman" w:cs="Times New Roman"/>
          <w:snapToGrid w:val="0"/>
          <w:kern w:val="0"/>
          <w:sz w:val="24"/>
          <w:szCs w:val="24"/>
        </w:rPr>
        <w:t>本节内容引用福建创投环境检测有限公司</w:t>
      </w:r>
      <w:r>
        <w:rPr>
          <w:rFonts w:ascii="Times New Roman" w:eastAsia="宋体" w:hAnsi="Times New Roman" w:cs="Times New Roman"/>
          <w:snapToGrid w:val="0"/>
          <w:kern w:val="0"/>
          <w:sz w:val="24"/>
          <w:szCs w:val="24"/>
        </w:rPr>
        <w:t>2023</w:t>
      </w:r>
      <w:r>
        <w:rPr>
          <w:rFonts w:ascii="Times New Roman" w:eastAsia="宋体" w:hAnsi="Times New Roman" w:cs="Times New Roman"/>
          <w:snapToGrid w:val="0"/>
          <w:kern w:val="0"/>
          <w:sz w:val="24"/>
          <w:szCs w:val="24"/>
        </w:rPr>
        <w:t>年</w:t>
      </w:r>
      <w:r>
        <w:rPr>
          <w:rFonts w:ascii="Times New Roman" w:eastAsia="宋体" w:hAnsi="Times New Roman" w:cs="Times New Roman"/>
          <w:snapToGrid w:val="0"/>
          <w:kern w:val="0"/>
          <w:sz w:val="24"/>
          <w:szCs w:val="24"/>
        </w:rPr>
        <w:t>12</w:t>
      </w:r>
      <w:r>
        <w:rPr>
          <w:rFonts w:ascii="Times New Roman" w:eastAsia="宋体" w:hAnsi="Times New Roman" w:cs="Times New Roman"/>
          <w:snapToGrid w:val="0"/>
          <w:kern w:val="0"/>
          <w:sz w:val="24"/>
          <w:szCs w:val="24"/>
        </w:rPr>
        <w:t>月</w:t>
      </w:r>
      <w:r>
        <w:rPr>
          <w:rFonts w:ascii="Times New Roman" w:eastAsia="宋体" w:hAnsi="Times New Roman" w:cs="Times New Roman" w:hint="eastAsia"/>
          <w:snapToGrid w:val="0"/>
          <w:kern w:val="0"/>
          <w:sz w:val="24"/>
          <w:szCs w:val="24"/>
        </w:rPr>
        <w:t>编制的</w:t>
      </w:r>
      <w:r>
        <w:rPr>
          <w:rFonts w:ascii="Times New Roman" w:eastAsia="宋体" w:hAnsi="Times New Roman" w:cs="Times New Roman"/>
          <w:snapToGrid w:val="0"/>
          <w:kern w:val="0"/>
          <w:sz w:val="24"/>
          <w:szCs w:val="24"/>
        </w:rPr>
        <w:t>《泉州湾围头湾石井作业区</w:t>
      </w:r>
      <w:r>
        <w:rPr>
          <w:rFonts w:ascii="Times New Roman" w:eastAsia="宋体" w:hAnsi="Times New Roman" w:cs="Times New Roman"/>
          <w:snapToGrid w:val="0"/>
          <w:kern w:val="0"/>
          <w:sz w:val="24"/>
          <w:szCs w:val="24"/>
        </w:rPr>
        <w:t>6</w:t>
      </w:r>
      <w:r>
        <w:rPr>
          <w:rFonts w:ascii="Times New Roman" w:eastAsia="宋体" w:hAnsi="Times New Roman" w:cs="Times New Roman"/>
          <w:snapToGrid w:val="0"/>
          <w:kern w:val="0"/>
          <w:sz w:val="24"/>
          <w:szCs w:val="24"/>
        </w:rPr>
        <w:t>号、</w:t>
      </w:r>
      <w:r>
        <w:rPr>
          <w:rFonts w:ascii="Times New Roman" w:eastAsia="宋体" w:hAnsi="Times New Roman" w:cs="Times New Roman"/>
          <w:snapToGrid w:val="0"/>
          <w:kern w:val="0"/>
          <w:sz w:val="24"/>
          <w:szCs w:val="24"/>
        </w:rPr>
        <w:t>7</w:t>
      </w:r>
      <w:r>
        <w:rPr>
          <w:rFonts w:ascii="Times New Roman" w:eastAsia="宋体" w:hAnsi="Times New Roman" w:cs="Times New Roman"/>
          <w:snapToGrid w:val="0"/>
          <w:kern w:val="0"/>
          <w:sz w:val="24"/>
          <w:szCs w:val="24"/>
        </w:rPr>
        <w:t>号泊位工程海洋生态调查报告》</w:t>
      </w:r>
      <w:r>
        <w:rPr>
          <w:rFonts w:ascii="Times New Roman" w:eastAsia="宋体" w:hAnsi="Times New Roman" w:cs="Times New Roman" w:hint="eastAsia"/>
          <w:snapToGrid w:val="0"/>
          <w:kern w:val="0"/>
          <w:sz w:val="24"/>
          <w:szCs w:val="24"/>
        </w:rPr>
        <w:t>。</w:t>
      </w:r>
      <w:r>
        <w:rPr>
          <w:rFonts w:ascii="Times New Roman" w:eastAsia="宋体" w:hAnsi="Times New Roman" w:cs="Times New Roman"/>
          <w:snapToGrid w:val="0"/>
          <w:kern w:val="0"/>
          <w:sz w:val="24"/>
          <w:szCs w:val="24"/>
        </w:rPr>
        <w:t>在围头湾海域共布设</w:t>
      </w:r>
      <w:r>
        <w:rPr>
          <w:rFonts w:ascii="Times New Roman" w:eastAsia="宋体" w:hAnsi="Times New Roman" w:cs="Times New Roman"/>
          <w:snapToGrid w:val="0"/>
          <w:kern w:val="0"/>
          <w:sz w:val="24"/>
          <w:szCs w:val="24"/>
        </w:rPr>
        <w:t>12</w:t>
      </w:r>
      <w:r>
        <w:rPr>
          <w:rFonts w:ascii="Times New Roman" w:eastAsia="宋体" w:hAnsi="Times New Roman" w:cs="Times New Roman"/>
          <w:snapToGrid w:val="0"/>
          <w:kern w:val="0"/>
          <w:sz w:val="24"/>
          <w:szCs w:val="24"/>
        </w:rPr>
        <w:t>个调查站位</w:t>
      </w:r>
      <w:r>
        <w:rPr>
          <w:rFonts w:ascii="Times New Roman" w:eastAsia="宋体" w:hAnsi="Times New Roman" w:cs="Times New Roman" w:hint="eastAsia"/>
          <w:snapToGrid w:val="0"/>
          <w:kern w:val="0"/>
          <w:sz w:val="24"/>
          <w:szCs w:val="24"/>
        </w:rPr>
        <w:t>，调查时间</w:t>
      </w:r>
      <w:r>
        <w:rPr>
          <w:rFonts w:ascii="Times New Roman" w:eastAsia="宋体" w:hAnsi="Times New Roman" w:cs="Times New Roman"/>
          <w:snapToGrid w:val="0"/>
          <w:kern w:val="0"/>
          <w:sz w:val="24"/>
          <w:szCs w:val="24"/>
        </w:rPr>
        <w:t>2023</w:t>
      </w:r>
      <w:r>
        <w:rPr>
          <w:rFonts w:ascii="Times New Roman" w:eastAsia="宋体" w:hAnsi="Times New Roman" w:cs="Times New Roman"/>
          <w:snapToGrid w:val="0"/>
          <w:kern w:val="0"/>
          <w:sz w:val="24"/>
          <w:szCs w:val="24"/>
        </w:rPr>
        <w:t>年</w:t>
      </w:r>
      <w:r>
        <w:rPr>
          <w:rFonts w:ascii="Times New Roman" w:eastAsia="宋体" w:hAnsi="Times New Roman" w:cs="Times New Roman"/>
          <w:snapToGrid w:val="0"/>
          <w:kern w:val="0"/>
          <w:sz w:val="24"/>
          <w:szCs w:val="24"/>
        </w:rPr>
        <w:t>11</w:t>
      </w:r>
      <w:r>
        <w:rPr>
          <w:rFonts w:ascii="Times New Roman" w:eastAsia="宋体" w:hAnsi="Times New Roman" w:cs="Times New Roman"/>
          <w:snapToGrid w:val="0"/>
          <w:kern w:val="0"/>
          <w:sz w:val="24"/>
          <w:szCs w:val="24"/>
        </w:rPr>
        <w:t>月。</w:t>
      </w:r>
      <w:r>
        <w:rPr>
          <w:rFonts w:ascii="Times New Roman" w:eastAsia="宋体" w:hAnsi="Times New Roman" w:cs="Times New Roman" w:hint="eastAsia"/>
          <w:sz w:val="24"/>
          <w:szCs w:val="24"/>
        </w:rPr>
        <w:t>调查结果略。</w:t>
      </w:r>
    </w:p>
    <w:p w14:paraId="01994F34" w14:textId="77777777" w:rsidR="00EB6ADA" w:rsidRDefault="00000000">
      <w:pPr>
        <w:pStyle w:val="3"/>
      </w:pPr>
      <w:r>
        <w:rPr>
          <w:rFonts w:hint="eastAsia"/>
        </w:rPr>
        <w:t>2.2.7</w:t>
      </w:r>
      <w:r>
        <w:rPr>
          <w:rFonts w:hint="eastAsia"/>
        </w:rPr>
        <w:t>典型生态系统和重要特殊生境</w:t>
      </w:r>
    </w:p>
    <w:p w14:paraId="71802AB2" w14:textId="77777777" w:rsidR="00EB6ADA" w:rsidRDefault="00000000">
      <w:pPr>
        <w:pStyle w:val="4"/>
      </w:pPr>
      <w:bookmarkStart w:id="12" w:name="_Toc27751163"/>
      <w:bookmarkStart w:id="13" w:name="_Toc24470736"/>
      <w:bookmarkStart w:id="14" w:name="_Toc26274115"/>
      <w:r>
        <w:rPr>
          <w:rFonts w:hint="eastAsia"/>
        </w:rPr>
        <w:t>2</w:t>
      </w:r>
      <w:r>
        <w:t>.2.7.1</w:t>
      </w:r>
      <w:r>
        <w:t>中华白海豚</w:t>
      </w:r>
    </w:p>
    <w:p w14:paraId="5CF2E054"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本节引用海洋三所</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-2023</w:t>
      </w:r>
      <w:r>
        <w:rPr>
          <w:rFonts w:ascii="Times New Roman" w:eastAsia="宋体" w:hAnsi="Times New Roman" w:cs="Times New Roman"/>
          <w:sz w:val="24"/>
          <w:szCs w:val="24"/>
        </w:rPr>
        <w:t>年间对厦门及其附近海域的中华白海豚进行的现状调查资料。</w:t>
      </w:r>
      <w:r>
        <w:rPr>
          <w:rFonts w:ascii="Times New Roman" w:eastAsia="宋体" w:hAnsi="Times New Roman" w:cs="Times New Roman" w:hint="eastAsia"/>
          <w:sz w:val="24"/>
          <w:szCs w:val="24"/>
        </w:rPr>
        <w:t>调查资料略。</w:t>
      </w:r>
    </w:p>
    <w:p w14:paraId="7EC865D3" w14:textId="77777777" w:rsidR="00EB6ADA" w:rsidRDefault="00000000">
      <w:pPr>
        <w:pStyle w:val="4"/>
        <w:rPr>
          <w:rFonts w:cs="Times New Roman"/>
        </w:rPr>
      </w:pPr>
      <w:r>
        <w:rPr>
          <w:rFonts w:cs="Times New Roman" w:hint="eastAsia"/>
        </w:rPr>
        <w:t>2</w:t>
      </w:r>
      <w:r>
        <w:rPr>
          <w:rFonts w:cs="Times New Roman"/>
        </w:rPr>
        <w:t>.2.7.2</w:t>
      </w:r>
      <w:r>
        <w:rPr>
          <w:rFonts w:cs="Times New Roman" w:hint="eastAsia"/>
        </w:rPr>
        <w:t>文昌鱼</w:t>
      </w:r>
    </w:p>
    <w:p w14:paraId="68F73999"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本节内容引用</w:t>
      </w:r>
      <w:r>
        <w:rPr>
          <w:rFonts w:ascii="Times New Roman" w:eastAsia="宋体" w:hAnsi="Times New Roman" w:cs="Times New Roman" w:hint="eastAsia"/>
          <w:bCs/>
          <w:color w:val="000000"/>
          <w:kern w:val="28"/>
          <w:sz w:val="24"/>
          <w:szCs w:val="24"/>
        </w:rPr>
        <w:t>国家林业和草原局林草调查规划院</w:t>
      </w:r>
      <w:r>
        <w:rPr>
          <w:rFonts w:ascii="Times New Roman" w:eastAsia="宋体" w:hAnsi="Times New Roman" w:cs="Times New Roman"/>
          <w:bCs/>
          <w:color w:val="000000"/>
          <w:kern w:val="28"/>
          <w:sz w:val="24"/>
          <w:szCs w:val="24"/>
        </w:rPr>
        <w:t>2024</w:t>
      </w:r>
      <w:r>
        <w:rPr>
          <w:rFonts w:ascii="Times New Roman" w:eastAsia="宋体" w:hAnsi="Times New Roman" w:cs="Times New Roman" w:hint="eastAsia"/>
          <w:bCs/>
          <w:color w:val="000000"/>
          <w:kern w:val="28"/>
          <w:sz w:val="24"/>
          <w:szCs w:val="24"/>
        </w:rPr>
        <w:t>年</w:t>
      </w:r>
      <w:r>
        <w:rPr>
          <w:rFonts w:ascii="Times New Roman" w:eastAsia="宋体" w:hAnsi="Times New Roman" w:cs="Times New Roman"/>
          <w:bCs/>
          <w:color w:val="000000"/>
          <w:kern w:val="28"/>
          <w:sz w:val="24"/>
          <w:szCs w:val="24"/>
        </w:rPr>
        <w:t>9</w:t>
      </w:r>
      <w:r>
        <w:rPr>
          <w:rFonts w:ascii="Times New Roman" w:eastAsia="宋体" w:hAnsi="Times New Roman" w:cs="Times New Roman" w:hint="eastAsia"/>
          <w:bCs/>
          <w:color w:val="000000"/>
          <w:kern w:val="28"/>
          <w:sz w:val="24"/>
          <w:szCs w:val="24"/>
        </w:rPr>
        <w:t>月</w:t>
      </w:r>
      <w:r>
        <w:rPr>
          <w:rFonts w:ascii="Times New Roman" w:eastAsia="宋体" w:hAnsi="Times New Roman" w:cs="Times New Roman" w:hint="eastAsia"/>
          <w:snapToGrid w:val="0"/>
          <w:kern w:val="0"/>
          <w:sz w:val="24"/>
        </w:rPr>
        <w:t>编制的</w:t>
      </w:r>
      <w:r>
        <w:rPr>
          <w:rFonts w:ascii="Times New Roman" w:eastAsia="宋体" w:hAnsi="Times New Roman" w:cs="Times New Roman" w:hint="eastAsia"/>
          <w:bCs/>
          <w:color w:val="000000"/>
          <w:kern w:val="28"/>
          <w:sz w:val="24"/>
          <w:szCs w:val="24"/>
        </w:rPr>
        <w:t>《福建厦门珍稀海洋物种国家级自然保护区功能区调整论证报告》</w:t>
      </w:r>
      <w:r>
        <w:rPr>
          <w:rFonts w:ascii="Times New Roman" w:eastAsia="宋体" w:hAnsi="Times New Roman" w:cs="Times New Roman" w:hint="eastAsia"/>
          <w:sz w:val="24"/>
          <w:szCs w:val="24"/>
        </w:rPr>
        <w:t>，于</w:t>
      </w:r>
      <w:r>
        <w:rPr>
          <w:rFonts w:ascii="Times New Roman" w:eastAsia="宋体" w:hAnsi="Times New Roman" w:cs="Times New Roman"/>
          <w:color w:val="000000"/>
          <w:spacing w:val="-10"/>
          <w:sz w:val="24"/>
          <w:szCs w:val="24"/>
        </w:rPr>
        <w:t>2004</w:t>
      </w:r>
      <w:r>
        <w:rPr>
          <w:rFonts w:ascii="Times New Roman" w:eastAsia="宋体" w:hAnsi="Times New Roman" w:cs="Times New Roman" w:hint="eastAsia"/>
          <w:color w:val="000000"/>
          <w:spacing w:val="-10"/>
          <w:sz w:val="24"/>
          <w:szCs w:val="24"/>
        </w:rPr>
        <w:t>年</w:t>
      </w:r>
      <w:r>
        <w:rPr>
          <w:rFonts w:ascii="Times New Roman" w:eastAsia="宋体" w:hAnsi="Times New Roman" w:cs="Times New Roman"/>
          <w:sz w:val="24"/>
          <w:szCs w:val="24"/>
        </w:rPr>
        <w:t>~2023</w:t>
      </w:r>
      <w:r>
        <w:rPr>
          <w:rFonts w:ascii="Times New Roman" w:eastAsia="宋体" w:hAnsi="Times New Roman" w:cs="Times New Roman" w:hint="eastAsia"/>
          <w:sz w:val="24"/>
          <w:szCs w:val="24"/>
        </w:rPr>
        <w:t>年对文昌鱼进行现状调查。调查结果略。</w:t>
      </w:r>
    </w:p>
    <w:bookmarkEnd w:id="12"/>
    <w:bookmarkEnd w:id="13"/>
    <w:bookmarkEnd w:id="14"/>
    <w:p w14:paraId="76EA84DA" w14:textId="77777777" w:rsidR="00EB6ADA" w:rsidRDefault="00000000">
      <w:pPr>
        <w:keepNext/>
        <w:keepLines/>
        <w:widowControl/>
        <w:adjustRightInd w:val="0"/>
        <w:spacing w:line="360" w:lineRule="auto"/>
        <w:jc w:val="left"/>
        <w:textAlignment w:val="baseline"/>
        <w:outlineLvl w:val="2"/>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lastRenderedPageBreak/>
        <w:t>2</w:t>
      </w:r>
      <w:r>
        <w:rPr>
          <w:rFonts w:ascii="Times New Roman" w:eastAsia="宋体" w:hAnsi="Times New Roman" w:cs="Times New Roman"/>
          <w:b/>
          <w:kern w:val="0"/>
          <w:sz w:val="28"/>
          <w:szCs w:val="28"/>
        </w:rPr>
        <w:t>.2.8</w:t>
      </w:r>
      <w:r>
        <w:rPr>
          <w:rFonts w:ascii="Times New Roman" w:eastAsia="宋体" w:hAnsi="Times New Roman" w:cs="Times New Roman"/>
          <w:b/>
          <w:kern w:val="0"/>
          <w:sz w:val="28"/>
          <w:szCs w:val="28"/>
        </w:rPr>
        <w:t>海洋自然灾害</w:t>
      </w:r>
    </w:p>
    <w:p w14:paraId="1DF79942" w14:textId="77777777" w:rsidR="00EB6ADA" w:rsidRPr="00A3460E" w:rsidRDefault="00000000" w:rsidP="00A3460E">
      <w:pPr>
        <w:keepNext/>
        <w:spacing w:line="360" w:lineRule="auto"/>
        <w:ind w:firstLineChars="200" w:firstLine="482"/>
        <w:rPr>
          <w:rFonts w:ascii="Times New Roman" w:eastAsia="宋体" w:hAnsi="Times New Roman" w:cs="Times New Roman"/>
          <w:b/>
          <w:sz w:val="24"/>
          <w:szCs w:val="24"/>
        </w:rPr>
      </w:pPr>
      <w:r w:rsidRPr="00A3460E">
        <w:rPr>
          <w:rFonts w:ascii="Times New Roman" w:eastAsia="宋体" w:hAnsi="Times New Roman" w:cs="Times New Roman" w:hint="eastAsia"/>
          <w:b/>
          <w:sz w:val="24"/>
          <w:szCs w:val="24"/>
        </w:rPr>
        <w:t>（</w:t>
      </w:r>
      <w:r w:rsidRPr="00A3460E">
        <w:rPr>
          <w:rFonts w:ascii="Times New Roman" w:eastAsia="宋体" w:hAnsi="Times New Roman" w:cs="Times New Roman"/>
          <w:b/>
          <w:sz w:val="24"/>
          <w:szCs w:val="24"/>
        </w:rPr>
        <w:t>1</w:t>
      </w:r>
      <w:r w:rsidRPr="00A3460E">
        <w:rPr>
          <w:rFonts w:ascii="Times New Roman" w:eastAsia="宋体" w:hAnsi="Times New Roman" w:cs="Times New Roman" w:hint="eastAsia"/>
          <w:b/>
          <w:sz w:val="24"/>
          <w:szCs w:val="24"/>
        </w:rPr>
        <w:t>）台风</w:t>
      </w:r>
    </w:p>
    <w:p w14:paraId="3EBF2868" w14:textId="77777777" w:rsidR="00EB6ADA" w:rsidRDefault="00000000">
      <w:pPr>
        <w:widowControl/>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围头湾的围头角是福建十大风区之一，</w:t>
      </w:r>
      <w:r>
        <w:rPr>
          <w:rFonts w:ascii="Times New Roman" w:eastAsia="宋体" w:hAnsi="Times New Roman" w:cs="Times New Roman"/>
          <w:bCs/>
          <w:kern w:val="0"/>
          <w:sz w:val="24"/>
          <w:szCs w:val="24"/>
        </w:rPr>
        <w:t>台风多出现在</w:t>
      </w:r>
      <w:r>
        <w:rPr>
          <w:rFonts w:ascii="Times New Roman" w:eastAsia="宋体" w:hAnsi="Times New Roman" w:cs="Times New Roman"/>
          <w:bCs/>
          <w:kern w:val="0"/>
          <w:sz w:val="24"/>
          <w:szCs w:val="24"/>
        </w:rPr>
        <w:t>7~9</w:t>
      </w:r>
      <w:r>
        <w:rPr>
          <w:rFonts w:ascii="Times New Roman" w:eastAsia="宋体" w:hAnsi="Times New Roman" w:cs="Times New Roman"/>
          <w:bCs/>
          <w:kern w:val="0"/>
          <w:sz w:val="24"/>
          <w:szCs w:val="24"/>
        </w:rPr>
        <w:t>月，其中以</w:t>
      </w:r>
      <w:r>
        <w:rPr>
          <w:rFonts w:ascii="Times New Roman" w:eastAsia="宋体" w:hAnsi="Times New Roman" w:cs="Times New Roman"/>
          <w:bCs/>
          <w:kern w:val="0"/>
          <w:sz w:val="24"/>
          <w:szCs w:val="24"/>
        </w:rPr>
        <w:t>8</w:t>
      </w:r>
      <w:r>
        <w:rPr>
          <w:rFonts w:ascii="Times New Roman" w:eastAsia="宋体" w:hAnsi="Times New Roman" w:cs="Times New Roman"/>
          <w:bCs/>
          <w:kern w:val="0"/>
          <w:sz w:val="24"/>
          <w:szCs w:val="24"/>
        </w:rPr>
        <w:t>月份最多。</w:t>
      </w:r>
      <w:r>
        <w:rPr>
          <w:rFonts w:ascii="Times New Roman" w:eastAsia="宋体" w:hAnsi="Times New Roman" w:cs="Times New Roman"/>
          <w:bCs/>
          <w:sz w:val="24"/>
          <w:szCs w:val="24"/>
        </w:rPr>
        <w:t>1961</w:t>
      </w:r>
      <w:r>
        <w:rPr>
          <w:rFonts w:ascii="Times New Roman" w:eastAsia="宋体" w:hAnsi="Times New Roman" w:cs="Times New Roman"/>
          <w:bCs/>
          <w:sz w:val="24"/>
          <w:szCs w:val="24"/>
        </w:rPr>
        <w:t>年至</w:t>
      </w:r>
      <w:r>
        <w:rPr>
          <w:rFonts w:ascii="Times New Roman" w:eastAsia="宋体" w:hAnsi="Times New Roman" w:cs="Times New Roman"/>
          <w:bCs/>
          <w:sz w:val="24"/>
          <w:szCs w:val="24"/>
        </w:rPr>
        <w:t>2023</w:t>
      </w:r>
      <w:r>
        <w:rPr>
          <w:rFonts w:ascii="Times New Roman" w:eastAsia="宋体" w:hAnsi="Times New Roman" w:cs="Times New Roman"/>
          <w:bCs/>
          <w:sz w:val="24"/>
          <w:szCs w:val="24"/>
        </w:rPr>
        <w:t>年的气象资料统计，登陆晋江的台风共有</w:t>
      </w:r>
      <w:r>
        <w:rPr>
          <w:rFonts w:ascii="Times New Roman" w:eastAsia="宋体" w:hAnsi="Times New Roman" w:cs="Times New Roman"/>
          <w:bCs/>
          <w:sz w:val="24"/>
          <w:szCs w:val="24"/>
        </w:rPr>
        <w:t>16</w:t>
      </w:r>
      <w:r>
        <w:rPr>
          <w:rFonts w:ascii="Times New Roman" w:eastAsia="宋体" w:hAnsi="Times New Roman" w:cs="Times New Roman"/>
          <w:bCs/>
          <w:sz w:val="24"/>
          <w:szCs w:val="24"/>
        </w:rPr>
        <w:t>次，位居福建榜首。其中，</w:t>
      </w:r>
      <w:r>
        <w:rPr>
          <w:rFonts w:ascii="Times New Roman" w:eastAsia="宋体" w:hAnsi="Times New Roman" w:cs="Times New Roman"/>
          <w:bCs/>
          <w:sz w:val="24"/>
          <w:szCs w:val="24"/>
        </w:rPr>
        <w:t>2005</w:t>
      </w:r>
      <w:r>
        <w:rPr>
          <w:rFonts w:ascii="Times New Roman" w:eastAsia="宋体" w:hAnsi="Times New Roman" w:cs="Times New Roman"/>
          <w:bCs/>
          <w:sz w:val="24"/>
          <w:szCs w:val="24"/>
        </w:rPr>
        <w:t>年第</w:t>
      </w:r>
      <w:r>
        <w:rPr>
          <w:rFonts w:ascii="Times New Roman" w:eastAsia="宋体" w:hAnsi="Times New Roman" w:cs="Times New Roman"/>
          <w:bCs/>
          <w:sz w:val="24"/>
          <w:szCs w:val="24"/>
        </w:rPr>
        <w:t>19</w:t>
      </w:r>
      <w:r>
        <w:rPr>
          <w:rFonts w:ascii="Times New Roman" w:eastAsia="宋体" w:hAnsi="Times New Roman" w:cs="Times New Roman"/>
          <w:bCs/>
          <w:sz w:val="24"/>
          <w:szCs w:val="24"/>
        </w:rPr>
        <w:t>号强台风</w:t>
      </w:r>
      <w:r>
        <w:rPr>
          <w:rFonts w:ascii="Times New Roman" w:eastAsia="宋体" w:hAnsi="Times New Roman" w:cs="Times New Roman"/>
          <w:bCs/>
          <w:sz w:val="24"/>
          <w:szCs w:val="24"/>
        </w:rPr>
        <w:t>“</w:t>
      </w:r>
      <w:r>
        <w:rPr>
          <w:rFonts w:ascii="Times New Roman" w:eastAsia="宋体" w:hAnsi="Times New Roman" w:cs="Times New Roman"/>
          <w:bCs/>
          <w:sz w:val="24"/>
          <w:szCs w:val="24"/>
        </w:rPr>
        <w:t>龙王</w:t>
      </w:r>
      <w:r>
        <w:rPr>
          <w:rFonts w:ascii="Times New Roman" w:eastAsia="宋体" w:hAnsi="Times New Roman" w:cs="Times New Roman"/>
          <w:bCs/>
          <w:sz w:val="24"/>
          <w:szCs w:val="24"/>
        </w:rPr>
        <w:t>”</w:t>
      </w:r>
      <w:r>
        <w:rPr>
          <w:rFonts w:ascii="Times New Roman" w:eastAsia="宋体" w:hAnsi="Times New Roman" w:cs="Times New Roman"/>
          <w:bCs/>
          <w:sz w:val="24"/>
          <w:szCs w:val="24"/>
        </w:rPr>
        <w:t>于</w:t>
      </w:r>
      <w:r>
        <w:rPr>
          <w:rFonts w:ascii="Times New Roman" w:eastAsia="宋体" w:hAnsi="Times New Roman" w:cs="Times New Roman"/>
          <w:bCs/>
          <w:sz w:val="24"/>
          <w:szCs w:val="24"/>
        </w:rPr>
        <w:t>10</w:t>
      </w:r>
      <w:r>
        <w:rPr>
          <w:rFonts w:ascii="Times New Roman" w:eastAsia="宋体" w:hAnsi="Times New Roman" w:cs="Times New Roman"/>
          <w:bCs/>
          <w:sz w:val="24"/>
          <w:szCs w:val="24"/>
        </w:rPr>
        <w:t>月</w:t>
      </w:r>
      <w:r>
        <w:rPr>
          <w:rFonts w:ascii="Times New Roman" w:eastAsia="宋体" w:hAnsi="Times New Roman" w:cs="Times New Roman"/>
          <w:bCs/>
          <w:sz w:val="24"/>
          <w:szCs w:val="24"/>
        </w:rPr>
        <w:t>2</w:t>
      </w:r>
      <w:r>
        <w:rPr>
          <w:rFonts w:ascii="Times New Roman" w:eastAsia="宋体" w:hAnsi="Times New Roman" w:cs="Times New Roman"/>
          <w:bCs/>
          <w:sz w:val="24"/>
          <w:szCs w:val="24"/>
        </w:rPr>
        <w:t>日晋江市围头登陆，台风中心在福建省境内滞留时间长达</w:t>
      </w:r>
      <w:r>
        <w:rPr>
          <w:rFonts w:ascii="Times New Roman" w:eastAsia="宋体" w:hAnsi="Times New Roman" w:cs="Times New Roman"/>
          <w:bCs/>
          <w:sz w:val="24"/>
          <w:szCs w:val="24"/>
        </w:rPr>
        <w:t>10</w:t>
      </w:r>
      <w:r>
        <w:rPr>
          <w:rFonts w:ascii="Times New Roman" w:eastAsia="宋体" w:hAnsi="Times New Roman" w:cs="Times New Roman"/>
          <w:bCs/>
          <w:sz w:val="24"/>
          <w:szCs w:val="24"/>
        </w:rPr>
        <w:t>小时，造成了较为严重的人员和财产危害；全省有</w:t>
      </w:r>
      <w:r>
        <w:rPr>
          <w:rFonts w:ascii="Times New Roman" w:eastAsia="宋体" w:hAnsi="Times New Roman" w:cs="Times New Roman"/>
          <w:bCs/>
          <w:sz w:val="24"/>
          <w:szCs w:val="24"/>
        </w:rPr>
        <w:t>8</w:t>
      </w:r>
      <w:r>
        <w:rPr>
          <w:rFonts w:ascii="Times New Roman" w:eastAsia="宋体" w:hAnsi="Times New Roman" w:cs="Times New Roman"/>
          <w:bCs/>
          <w:sz w:val="24"/>
          <w:szCs w:val="24"/>
        </w:rPr>
        <w:t>个设区市、</w:t>
      </w:r>
      <w:r>
        <w:rPr>
          <w:rFonts w:ascii="Times New Roman" w:eastAsia="宋体" w:hAnsi="Times New Roman" w:cs="Times New Roman"/>
          <w:bCs/>
          <w:sz w:val="24"/>
          <w:szCs w:val="24"/>
        </w:rPr>
        <w:t>50</w:t>
      </w:r>
      <w:r>
        <w:rPr>
          <w:rFonts w:ascii="Times New Roman" w:eastAsia="宋体" w:hAnsi="Times New Roman" w:cs="Times New Roman"/>
          <w:bCs/>
          <w:sz w:val="24"/>
          <w:szCs w:val="24"/>
        </w:rPr>
        <w:t>个县（市区）</w:t>
      </w:r>
      <w:r>
        <w:rPr>
          <w:rFonts w:ascii="Times New Roman" w:eastAsia="宋体" w:hAnsi="Times New Roman" w:cs="Times New Roman"/>
          <w:bCs/>
          <w:sz w:val="24"/>
          <w:szCs w:val="24"/>
        </w:rPr>
        <w:t>246.35</w:t>
      </w:r>
      <w:r>
        <w:rPr>
          <w:rFonts w:ascii="Times New Roman" w:eastAsia="宋体" w:hAnsi="Times New Roman" w:cs="Times New Roman"/>
          <w:bCs/>
          <w:sz w:val="24"/>
          <w:szCs w:val="24"/>
        </w:rPr>
        <w:t>万人受灾，紧急转移危险地带的群众</w:t>
      </w:r>
      <w:r>
        <w:rPr>
          <w:rFonts w:ascii="Times New Roman" w:eastAsia="宋体" w:hAnsi="Times New Roman" w:cs="Times New Roman"/>
          <w:bCs/>
          <w:sz w:val="24"/>
          <w:szCs w:val="24"/>
        </w:rPr>
        <w:t>53.7</w:t>
      </w:r>
      <w:r>
        <w:rPr>
          <w:rFonts w:ascii="Times New Roman" w:eastAsia="宋体" w:hAnsi="Times New Roman" w:cs="Times New Roman"/>
          <w:bCs/>
          <w:sz w:val="24"/>
          <w:szCs w:val="24"/>
        </w:rPr>
        <w:t>万；</w:t>
      </w:r>
      <w:r>
        <w:rPr>
          <w:rFonts w:ascii="Times New Roman" w:eastAsia="宋体" w:hAnsi="Times New Roman" w:cs="Times New Roman"/>
          <w:bCs/>
          <w:sz w:val="24"/>
          <w:szCs w:val="24"/>
        </w:rPr>
        <w:t>3</w:t>
      </w:r>
      <w:r>
        <w:rPr>
          <w:rFonts w:ascii="Times New Roman" w:eastAsia="宋体" w:hAnsi="Times New Roman" w:cs="Times New Roman"/>
          <w:bCs/>
          <w:sz w:val="24"/>
          <w:szCs w:val="24"/>
        </w:rPr>
        <w:t>人因山洪滑坡死亡。</w:t>
      </w:r>
      <w:r>
        <w:rPr>
          <w:rFonts w:ascii="Times New Roman" w:eastAsia="宋体" w:hAnsi="Times New Roman" w:cs="Times New Roman"/>
          <w:bCs/>
          <w:sz w:val="24"/>
          <w:szCs w:val="24"/>
        </w:rPr>
        <w:t>2010</w:t>
      </w:r>
      <w:r>
        <w:rPr>
          <w:rFonts w:ascii="Times New Roman" w:eastAsia="宋体" w:hAnsi="Times New Roman" w:cs="Times New Roman"/>
          <w:bCs/>
          <w:sz w:val="24"/>
          <w:szCs w:val="24"/>
        </w:rPr>
        <w:t>年</w:t>
      </w:r>
      <w:r>
        <w:rPr>
          <w:rFonts w:ascii="Times New Roman" w:eastAsia="宋体" w:hAnsi="Times New Roman" w:cs="Times New Roman"/>
          <w:bCs/>
          <w:sz w:val="24"/>
          <w:szCs w:val="24"/>
        </w:rPr>
        <w:t>9</w:t>
      </w:r>
      <w:r>
        <w:rPr>
          <w:rFonts w:ascii="Times New Roman" w:eastAsia="宋体" w:hAnsi="Times New Roman" w:cs="Times New Roman"/>
          <w:bCs/>
          <w:sz w:val="24"/>
          <w:szCs w:val="24"/>
        </w:rPr>
        <w:t>月</w:t>
      </w:r>
      <w:r>
        <w:rPr>
          <w:rFonts w:ascii="Times New Roman" w:eastAsia="宋体" w:hAnsi="Times New Roman" w:cs="Times New Roman"/>
          <w:bCs/>
          <w:sz w:val="24"/>
          <w:szCs w:val="24"/>
        </w:rPr>
        <w:t>20</w:t>
      </w:r>
      <w:r>
        <w:rPr>
          <w:rFonts w:ascii="Times New Roman" w:eastAsia="宋体" w:hAnsi="Times New Roman" w:cs="Times New Roman"/>
          <w:bCs/>
          <w:sz w:val="24"/>
          <w:szCs w:val="24"/>
        </w:rPr>
        <w:t>日，受第十一号台风</w:t>
      </w:r>
      <w:r>
        <w:rPr>
          <w:rFonts w:ascii="Times New Roman" w:eastAsia="宋体" w:hAnsi="Times New Roman" w:cs="Times New Roman"/>
          <w:bCs/>
          <w:sz w:val="24"/>
          <w:szCs w:val="24"/>
        </w:rPr>
        <w:t>“</w:t>
      </w:r>
      <w:r>
        <w:rPr>
          <w:rFonts w:ascii="Times New Roman" w:eastAsia="宋体" w:hAnsi="Times New Roman" w:cs="Times New Roman"/>
          <w:bCs/>
          <w:sz w:val="24"/>
          <w:szCs w:val="24"/>
        </w:rPr>
        <w:t>凡亚比</w:t>
      </w:r>
      <w:r>
        <w:rPr>
          <w:rFonts w:ascii="Times New Roman" w:eastAsia="宋体" w:hAnsi="Times New Roman" w:cs="Times New Roman"/>
          <w:bCs/>
          <w:sz w:val="24"/>
          <w:szCs w:val="24"/>
        </w:rPr>
        <w:t>”</w:t>
      </w:r>
      <w:r>
        <w:rPr>
          <w:rFonts w:ascii="Times New Roman" w:eastAsia="宋体" w:hAnsi="Times New Roman" w:cs="Times New Roman"/>
          <w:bCs/>
          <w:sz w:val="24"/>
          <w:szCs w:val="24"/>
        </w:rPr>
        <w:t>的影响，福建泉州晋江围头的海堤发生堤坝决口，</w:t>
      </w:r>
      <w:r>
        <w:rPr>
          <w:rFonts w:ascii="Times New Roman" w:eastAsia="宋体" w:hAnsi="Times New Roman" w:cs="Times New Roman"/>
          <w:bCs/>
          <w:sz w:val="24"/>
          <w:szCs w:val="24"/>
        </w:rPr>
        <w:t>400</w:t>
      </w:r>
      <w:r>
        <w:rPr>
          <w:rFonts w:ascii="Times New Roman" w:eastAsia="宋体" w:hAnsi="Times New Roman" w:cs="Times New Roman"/>
          <w:bCs/>
          <w:sz w:val="24"/>
          <w:szCs w:val="24"/>
        </w:rPr>
        <w:t>多处防护堤在大风大浪中被拦腰折断，从</w:t>
      </w:r>
      <w:r>
        <w:rPr>
          <w:rFonts w:ascii="Times New Roman" w:eastAsia="宋体" w:hAnsi="Times New Roman" w:cs="Times New Roman"/>
          <w:bCs/>
          <w:sz w:val="24"/>
          <w:szCs w:val="24"/>
        </w:rPr>
        <w:t>1m</w:t>
      </w:r>
      <w:r>
        <w:rPr>
          <w:rFonts w:ascii="Times New Roman" w:eastAsia="宋体" w:hAnsi="Times New Roman" w:cs="Times New Roman"/>
          <w:bCs/>
          <w:sz w:val="24"/>
          <w:szCs w:val="24"/>
        </w:rPr>
        <w:t>高的位置上全部被冲垮下来。</w:t>
      </w:r>
      <w:r>
        <w:rPr>
          <w:rFonts w:ascii="Times New Roman" w:eastAsia="宋体" w:hAnsi="Times New Roman" w:cs="Times New Roman"/>
          <w:bCs/>
          <w:sz w:val="24"/>
          <w:szCs w:val="24"/>
        </w:rPr>
        <w:t>2016</w:t>
      </w:r>
      <w:r>
        <w:rPr>
          <w:rFonts w:ascii="Times New Roman" w:eastAsia="宋体" w:hAnsi="Times New Roman" w:cs="Times New Roman"/>
          <w:bCs/>
          <w:sz w:val="24"/>
          <w:szCs w:val="24"/>
        </w:rPr>
        <w:t>年</w:t>
      </w:r>
      <w:r>
        <w:rPr>
          <w:rFonts w:ascii="Times New Roman" w:eastAsia="宋体" w:hAnsi="Times New Roman" w:cs="Times New Roman"/>
          <w:bCs/>
          <w:sz w:val="24"/>
          <w:szCs w:val="24"/>
        </w:rPr>
        <w:t>9</w:t>
      </w:r>
      <w:r>
        <w:rPr>
          <w:rFonts w:ascii="Times New Roman" w:eastAsia="宋体" w:hAnsi="Times New Roman" w:cs="Times New Roman"/>
          <w:bCs/>
          <w:sz w:val="24"/>
          <w:szCs w:val="24"/>
        </w:rPr>
        <w:t>月</w:t>
      </w:r>
      <w:r>
        <w:rPr>
          <w:rFonts w:ascii="Times New Roman" w:eastAsia="宋体" w:hAnsi="Times New Roman" w:cs="Times New Roman"/>
          <w:bCs/>
          <w:sz w:val="24"/>
          <w:szCs w:val="24"/>
        </w:rPr>
        <w:t>15</w:t>
      </w:r>
      <w:r>
        <w:rPr>
          <w:rFonts w:ascii="Times New Roman" w:eastAsia="宋体" w:hAnsi="Times New Roman" w:cs="Times New Roman"/>
          <w:bCs/>
          <w:sz w:val="24"/>
          <w:szCs w:val="24"/>
        </w:rPr>
        <w:t>日第</w:t>
      </w:r>
      <w:r>
        <w:rPr>
          <w:rFonts w:ascii="Times New Roman" w:eastAsia="宋体" w:hAnsi="Times New Roman" w:cs="Times New Roman"/>
          <w:bCs/>
          <w:sz w:val="24"/>
          <w:szCs w:val="24"/>
        </w:rPr>
        <w:t>14</w:t>
      </w:r>
      <w:r>
        <w:rPr>
          <w:rFonts w:ascii="Times New Roman" w:eastAsia="宋体" w:hAnsi="Times New Roman" w:cs="Times New Roman"/>
          <w:bCs/>
          <w:sz w:val="24"/>
          <w:szCs w:val="24"/>
        </w:rPr>
        <w:t>号台风</w:t>
      </w:r>
      <w:r>
        <w:rPr>
          <w:rFonts w:ascii="Times New Roman" w:eastAsia="宋体" w:hAnsi="Times New Roman" w:cs="Times New Roman"/>
          <w:bCs/>
          <w:sz w:val="24"/>
          <w:szCs w:val="24"/>
        </w:rPr>
        <w:t>“</w:t>
      </w:r>
      <w:r>
        <w:rPr>
          <w:rFonts w:ascii="Times New Roman" w:eastAsia="宋体" w:hAnsi="Times New Roman" w:cs="Times New Roman"/>
          <w:bCs/>
          <w:sz w:val="24"/>
          <w:szCs w:val="24"/>
        </w:rPr>
        <w:t>莫兰蒂</w:t>
      </w:r>
      <w:r>
        <w:rPr>
          <w:rFonts w:ascii="Times New Roman" w:eastAsia="宋体" w:hAnsi="Times New Roman" w:cs="Times New Roman"/>
          <w:bCs/>
          <w:sz w:val="24"/>
          <w:szCs w:val="24"/>
        </w:rPr>
        <w:t>”</w:t>
      </w:r>
      <w:r>
        <w:rPr>
          <w:rFonts w:ascii="Times New Roman" w:eastAsia="宋体" w:hAnsi="Times New Roman" w:cs="Times New Roman"/>
          <w:bCs/>
          <w:sz w:val="24"/>
          <w:szCs w:val="24"/>
        </w:rPr>
        <w:t>在石狮登陆。</w:t>
      </w:r>
      <w:r>
        <w:rPr>
          <w:rFonts w:ascii="Times New Roman" w:eastAsia="宋体" w:hAnsi="Times New Roman" w:cs="Times New Roman"/>
          <w:bCs/>
          <w:sz w:val="24"/>
          <w:szCs w:val="24"/>
        </w:rPr>
        <w:t>“</w:t>
      </w:r>
      <w:r>
        <w:rPr>
          <w:rFonts w:ascii="Times New Roman" w:eastAsia="宋体" w:hAnsi="Times New Roman" w:cs="Times New Roman"/>
          <w:bCs/>
          <w:sz w:val="24"/>
          <w:szCs w:val="24"/>
        </w:rPr>
        <w:t>莫兰蒂</w:t>
      </w:r>
      <w:r>
        <w:rPr>
          <w:rFonts w:ascii="Times New Roman" w:eastAsia="宋体" w:hAnsi="Times New Roman" w:cs="Times New Roman"/>
          <w:bCs/>
          <w:sz w:val="24"/>
          <w:szCs w:val="24"/>
        </w:rPr>
        <w:t>”</w:t>
      </w:r>
      <w:r>
        <w:rPr>
          <w:rFonts w:ascii="Times New Roman" w:eastAsia="宋体" w:hAnsi="Times New Roman" w:cs="Times New Roman"/>
          <w:bCs/>
          <w:sz w:val="24"/>
          <w:szCs w:val="24"/>
        </w:rPr>
        <w:t>造成的破坏力是近年来影响晋江的台风中较大的一次。</w:t>
      </w:r>
      <w:r>
        <w:rPr>
          <w:rFonts w:ascii="Times New Roman" w:eastAsia="宋体" w:hAnsi="Times New Roman" w:cs="Times New Roman"/>
          <w:bCs/>
          <w:sz w:val="24"/>
          <w:szCs w:val="24"/>
        </w:rPr>
        <w:t>“</w:t>
      </w:r>
      <w:r>
        <w:rPr>
          <w:rFonts w:ascii="Times New Roman" w:eastAsia="宋体" w:hAnsi="Times New Roman" w:cs="Times New Roman"/>
          <w:bCs/>
          <w:sz w:val="24"/>
          <w:szCs w:val="24"/>
        </w:rPr>
        <w:t>莫兰蒂</w:t>
      </w:r>
      <w:r>
        <w:rPr>
          <w:rFonts w:ascii="Times New Roman" w:eastAsia="宋体" w:hAnsi="Times New Roman" w:cs="Times New Roman"/>
          <w:bCs/>
          <w:sz w:val="24"/>
          <w:szCs w:val="24"/>
        </w:rPr>
        <w:t>”</w:t>
      </w:r>
      <w:r>
        <w:rPr>
          <w:rFonts w:ascii="Times New Roman" w:eastAsia="宋体" w:hAnsi="Times New Roman" w:cs="Times New Roman"/>
          <w:bCs/>
          <w:sz w:val="24"/>
          <w:szCs w:val="24"/>
        </w:rPr>
        <w:t>的猛烈袭击给晋江造成</w:t>
      </w:r>
      <w:r>
        <w:rPr>
          <w:rFonts w:ascii="Times New Roman" w:eastAsia="宋体" w:hAnsi="Times New Roman" w:cs="Times New Roman"/>
          <w:bCs/>
          <w:sz w:val="24"/>
          <w:szCs w:val="24"/>
        </w:rPr>
        <w:t>1.0595</w:t>
      </w:r>
      <w:r>
        <w:rPr>
          <w:rFonts w:ascii="Times New Roman" w:eastAsia="宋体" w:hAnsi="Times New Roman" w:cs="Times New Roman"/>
          <w:bCs/>
          <w:sz w:val="24"/>
          <w:szCs w:val="24"/>
        </w:rPr>
        <w:t>亿元经济损失，有</w:t>
      </w:r>
      <w:r>
        <w:rPr>
          <w:rFonts w:ascii="Times New Roman" w:eastAsia="宋体" w:hAnsi="Times New Roman" w:cs="Times New Roman"/>
          <w:bCs/>
          <w:sz w:val="24"/>
          <w:szCs w:val="24"/>
        </w:rPr>
        <w:t>2</w:t>
      </w:r>
      <w:r>
        <w:rPr>
          <w:rFonts w:ascii="Times New Roman" w:eastAsia="宋体" w:hAnsi="Times New Roman" w:cs="Times New Roman"/>
          <w:bCs/>
          <w:sz w:val="24"/>
          <w:szCs w:val="24"/>
        </w:rPr>
        <w:t>人死亡，</w:t>
      </w:r>
      <w:r>
        <w:rPr>
          <w:rFonts w:ascii="Times New Roman" w:eastAsia="宋体" w:hAnsi="Times New Roman" w:cs="Times New Roman"/>
          <w:bCs/>
          <w:sz w:val="24"/>
          <w:szCs w:val="24"/>
        </w:rPr>
        <w:t>1500</w:t>
      </w:r>
      <w:r>
        <w:rPr>
          <w:rFonts w:ascii="Times New Roman" w:eastAsia="宋体" w:hAnsi="Times New Roman" w:cs="Times New Roman"/>
          <w:bCs/>
          <w:sz w:val="24"/>
          <w:szCs w:val="24"/>
        </w:rPr>
        <w:t>多人受灾，倒塌房屋</w:t>
      </w:r>
      <w:r>
        <w:rPr>
          <w:rFonts w:ascii="Times New Roman" w:eastAsia="宋体" w:hAnsi="Times New Roman" w:cs="Times New Roman"/>
          <w:bCs/>
          <w:sz w:val="24"/>
          <w:szCs w:val="24"/>
        </w:rPr>
        <w:t>252</w:t>
      </w:r>
      <w:r>
        <w:rPr>
          <w:rFonts w:ascii="Times New Roman" w:eastAsia="宋体" w:hAnsi="Times New Roman" w:cs="Times New Roman"/>
          <w:bCs/>
          <w:sz w:val="24"/>
          <w:szCs w:val="24"/>
        </w:rPr>
        <w:t>间，农作物受灾面积</w:t>
      </w:r>
      <w:r>
        <w:rPr>
          <w:rFonts w:ascii="Times New Roman" w:eastAsia="宋体" w:hAnsi="Times New Roman" w:cs="Times New Roman"/>
          <w:bCs/>
          <w:sz w:val="24"/>
          <w:szCs w:val="24"/>
        </w:rPr>
        <w:t>28944</w:t>
      </w:r>
      <w:r>
        <w:rPr>
          <w:rFonts w:ascii="Times New Roman" w:eastAsia="宋体" w:hAnsi="Times New Roman" w:cs="Times New Roman"/>
          <w:bCs/>
          <w:sz w:val="24"/>
          <w:szCs w:val="24"/>
        </w:rPr>
        <w:t>亩。水利设施方面，有</w:t>
      </w:r>
      <w:r>
        <w:rPr>
          <w:rFonts w:ascii="Times New Roman" w:eastAsia="宋体" w:hAnsi="Times New Roman" w:cs="Times New Roman"/>
          <w:bCs/>
          <w:sz w:val="24"/>
          <w:szCs w:val="24"/>
        </w:rPr>
        <w:t>4</w:t>
      </w:r>
      <w:r>
        <w:rPr>
          <w:rFonts w:ascii="Times New Roman" w:eastAsia="宋体" w:hAnsi="Times New Roman" w:cs="Times New Roman"/>
          <w:bCs/>
          <w:sz w:val="24"/>
          <w:szCs w:val="24"/>
        </w:rPr>
        <w:t>处堤防、</w:t>
      </w:r>
      <w:r>
        <w:rPr>
          <w:rFonts w:ascii="Times New Roman" w:eastAsia="宋体" w:hAnsi="Times New Roman" w:cs="Times New Roman"/>
          <w:bCs/>
          <w:sz w:val="24"/>
          <w:szCs w:val="24"/>
        </w:rPr>
        <w:t>7</w:t>
      </w:r>
      <w:r>
        <w:rPr>
          <w:rFonts w:ascii="Times New Roman" w:eastAsia="宋体" w:hAnsi="Times New Roman" w:cs="Times New Roman"/>
          <w:bCs/>
          <w:sz w:val="24"/>
          <w:szCs w:val="24"/>
        </w:rPr>
        <w:t>处护岸遭遇损坏。</w:t>
      </w:r>
      <w:r>
        <w:rPr>
          <w:rFonts w:ascii="Times New Roman" w:eastAsia="宋体" w:hAnsi="Times New Roman" w:cs="Times New Roman"/>
          <w:bCs/>
          <w:sz w:val="24"/>
          <w:szCs w:val="24"/>
        </w:rPr>
        <w:t>2023</w:t>
      </w:r>
      <w:r>
        <w:rPr>
          <w:rFonts w:ascii="Times New Roman" w:eastAsia="宋体" w:hAnsi="Times New Roman" w:cs="Times New Roman"/>
          <w:bCs/>
          <w:sz w:val="24"/>
          <w:szCs w:val="24"/>
        </w:rPr>
        <w:t>年</w:t>
      </w:r>
      <w:r>
        <w:rPr>
          <w:rFonts w:ascii="Times New Roman" w:eastAsia="宋体" w:hAnsi="Times New Roman" w:cs="Times New Roman"/>
          <w:bCs/>
          <w:sz w:val="24"/>
          <w:szCs w:val="24"/>
        </w:rPr>
        <w:t>7</w:t>
      </w:r>
      <w:r>
        <w:rPr>
          <w:rFonts w:ascii="Times New Roman" w:eastAsia="宋体" w:hAnsi="Times New Roman" w:cs="Times New Roman"/>
          <w:bCs/>
          <w:sz w:val="24"/>
          <w:szCs w:val="24"/>
        </w:rPr>
        <w:t>月</w:t>
      </w:r>
      <w:r>
        <w:rPr>
          <w:rFonts w:ascii="Times New Roman" w:eastAsia="宋体" w:hAnsi="Times New Roman" w:cs="Times New Roman"/>
          <w:bCs/>
          <w:sz w:val="24"/>
          <w:szCs w:val="24"/>
        </w:rPr>
        <w:t>28</w:t>
      </w:r>
      <w:r>
        <w:rPr>
          <w:rFonts w:ascii="Times New Roman" w:eastAsia="宋体" w:hAnsi="Times New Roman" w:cs="Times New Roman"/>
          <w:bCs/>
          <w:sz w:val="24"/>
          <w:szCs w:val="24"/>
        </w:rPr>
        <w:t>日第</w:t>
      </w:r>
      <w:r>
        <w:rPr>
          <w:rFonts w:ascii="Times New Roman" w:eastAsia="宋体" w:hAnsi="Times New Roman" w:cs="Times New Roman"/>
          <w:bCs/>
          <w:sz w:val="24"/>
          <w:szCs w:val="24"/>
        </w:rPr>
        <w:t>5</w:t>
      </w:r>
      <w:r>
        <w:rPr>
          <w:rFonts w:ascii="Times New Roman" w:eastAsia="宋体" w:hAnsi="Times New Roman" w:cs="Times New Roman"/>
          <w:bCs/>
          <w:sz w:val="24"/>
          <w:szCs w:val="24"/>
        </w:rPr>
        <w:t>号台风</w:t>
      </w:r>
      <w:r>
        <w:rPr>
          <w:rFonts w:ascii="Times New Roman" w:eastAsia="宋体" w:hAnsi="Times New Roman" w:cs="Times New Roman"/>
          <w:bCs/>
          <w:sz w:val="24"/>
          <w:szCs w:val="24"/>
        </w:rPr>
        <w:t>“</w:t>
      </w:r>
      <w:r>
        <w:rPr>
          <w:rFonts w:ascii="Times New Roman" w:eastAsia="宋体" w:hAnsi="Times New Roman" w:cs="Times New Roman"/>
          <w:bCs/>
          <w:sz w:val="24"/>
          <w:szCs w:val="24"/>
        </w:rPr>
        <w:t>杜苏芮</w:t>
      </w:r>
      <w:r>
        <w:rPr>
          <w:rFonts w:ascii="Times New Roman" w:eastAsia="宋体" w:hAnsi="Times New Roman" w:cs="Times New Roman"/>
          <w:bCs/>
          <w:sz w:val="24"/>
          <w:szCs w:val="24"/>
        </w:rPr>
        <w:t>”</w:t>
      </w:r>
      <w:r>
        <w:rPr>
          <w:rFonts w:ascii="Times New Roman" w:eastAsia="宋体" w:hAnsi="Times New Roman" w:cs="Times New Roman"/>
          <w:bCs/>
          <w:sz w:val="24"/>
          <w:szCs w:val="24"/>
        </w:rPr>
        <w:t>登录晋江沿海。台风</w:t>
      </w:r>
      <w:r>
        <w:rPr>
          <w:rFonts w:ascii="Times New Roman" w:eastAsia="宋体" w:hAnsi="Times New Roman" w:cs="Times New Roman"/>
          <w:bCs/>
          <w:sz w:val="24"/>
          <w:szCs w:val="24"/>
        </w:rPr>
        <w:t>“</w:t>
      </w:r>
      <w:r>
        <w:rPr>
          <w:rFonts w:ascii="Times New Roman" w:eastAsia="宋体" w:hAnsi="Times New Roman" w:cs="Times New Roman"/>
          <w:bCs/>
          <w:sz w:val="24"/>
          <w:szCs w:val="24"/>
        </w:rPr>
        <w:t>杜苏芮</w:t>
      </w:r>
      <w:r>
        <w:rPr>
          <w:rFonts w:ascii="Times New Roman" w:eastAsia="宋体" w:hAnsi="Times New Roman" w:cs="Times New Roman"/>
          <w:bCs/>
          <w:sz w:val="24"/>
          <w:szCs w:val="24"/>
        </w:rPr>
        <w:t>”</w:t>
      </w:r>
      <w:r>
        <w:rPr>
          <w:rFonts w:ascii="Times New Roman" w:eastAsia="宋体" w:hAnsi="Times New Roman" w:cs="Times New Roman"/>
          <w:bCs/>
          <w:sz w:val="24"/>
          <w:szCs w:val="24"/>
        </w:rPr>
        <w:t>共造成福建省</w:t>
      </w:r>
      <w:r>
        <w:rPr>
          <w:rFonts w:ascii="Times New Roman" w:eastAsia="宋体" w:hAnsi="Times New Roman" w:cs="Times New Roman"/>
          <w:bCs/>
          <w:sz w:val="24"/>
          <w:szCs w:val="24"/>
        </w:rPr>
        <w:t>266.69</w:t>
      </w:r>
      <w:r>
        <w:rPr>
          <w:rFonts w:ascii="Times New Roman" w:eastAsia="宋体" w:hAnsi="Times New Roman" w:cs="Times New Roman"/>
          <w:bCs/>
          <w:sz w:val="24"/>
          <w:szCs w:val="24"/>
        </w:rPr>
        <w:t>万人受灾，紧急避险转移</w:t>
      </w:r>
      <w:r>
        <w:rPr>
          <w:rFonts w:ascii="Times New Roman" w:eastAsia="宋体" w:hAnsi="Times New Roman" w:cs="Times New Roman"/>
          <w:bCs/>
          <w:sz w:val="24"/>
          <w:szCs w:val="24"/>
        </w:rPr>
        <w:t>39.95</w:t>
      </w:r>
      <w:r>
        <w:rPr>
          <w:rFonts w:ascii="Times New Roman" w:eastAsia="宋体" w:hAnsi="Times New Roman" w:cs="Times New Roman"/>
          <w:bCs/>
          <w:sz w:val="24"/>
          <w:szCs w:val="24"/>
        </w:rPr>
        <w:t>万人，紧急转移安置</w:t>
      </w:r>
      <w:r>
        <w:rPr>
          <w:rFonts w:ascii="Times New Roman" w:eastAsia="宋体" w:hAnsi="Times New Roman" w:cs="Times New Roman"/>
          <w:bCs/>
          <w:sz w:val="24"/>
          <w:szCs w:val="24"/>
        </w:rPr>
        <w:t>16.24</w:t>
      </w:r>
      <w:r>
        <w:rPr>
          <w:rFonts w:ascii="Times New Roman" w:eastAsia="宋体" w:hAnsi="Times New Roman" w:cs="Times New Roman"/>
          <w:bCs/>
          <w:sz w:val="24"/>
          <w:szCs w:val="24"/>
        </w:rPr>
        <w:t>万人；农作物受灾面积</w:t>
      </w:r>
      <w:r>
        <w:rPr>
          <w:rFonts w:ascii="Times New Roman" w:eastAsia="宋体" w:hAnsi="Times New Roman" w:cs="Times New Roman"/>
          <w:bCs/>
          <w:sz w:val="24"/>
          <w:szCs w:val="24"/>
        </w:rPr>
        <w:t>37396.27</w:t>
      </w:r>
      <w:r>
        <w:rPr>
          <w:rFonts w:ascii="Times New Roman" w:eastAsia="宋体" w:hAnsi="Times New Roman" w:cs="Times New Roman"/>
          <w:bCs/>
          <w:sz w:val="24"/>
          <w:szCs w:val="24"/>
        </w:rPr>
        <w:t>公顷，其中绝收面积</w:t>
      </w:r>
      <w:r>
        <w:rPr>
          <w:rFonts w:ascii="Times New Roman" w:eastAsia="宋体" w:hAnsi="Times New Roman" w:cs="Times New Roman"/>
          <w:bCs/>
          <w:sz w:val="24"/>
          <w:szCs w:val="24"/>
        </w:rPr>
        <w:t>1701.76</w:t>
      </w:r>
      <w:r>
        <w:rPr>
          <w:rFonts w:ascii="Times New Roman" w:eastAsia="宋体" w:hAnsi="Times New Roman" w:cs="Times New Roman"/>
          <w:bCs/>
          <w:sz w:val="24"/>
          <w:szCs w:val="24"/>
        </w:rPr>
        <w:t>公顷；倒塌和严重损坏房屋</w:t>
      </w:r>
      <w:r>
        <w:rPr>
          <w:rFonts w:ascii="Times New Roman" w:eastAsia="宋体" w:hAnsi="Times New Roman" w:cs="Times New Roman"/>
          <w:bCs/>
          <w:sz w:val="24"/>
          <w:szCs w:val="24"/>
        </w:rPr>
        <w:t>3357</w:t>
      </w:r>
      <w:r>
        <w:rPr>
          <w:rFonts w:ascii="Times New Roman" w:eastAsia="宋体" w:hAnsi="Times New Roman" w:cs="Times New Roman"/>
          <w:bCs/>
          <w:sz w:val="24"/>
          <w:szCs w:val="24"/>
        </w:rPr>
        <w:t>间，一般损坏房屋间数</w:t>
      </w:r>
      <w:r>
        <w:rPr>
          <w:rFonts w:ascii="Times New Roman" w:eastAsia="宋体" w:hAnsi="Times New Roman" w:cs="Times New Roman"/>
          <w:bCs/>
          <w:sz w:val="24"/>
          <w:szCs w:val="24"/>
        </w:rPr>
        <w:t>14998</w:t>
      </w:r>
      <w:r>
        <w:rPr>
          <w:rFonts w:ascii="Times New Roman" w:eastAsia="宋体" w:hAnsi="Times New Roman" w:cs="Times New Roman"/>
          <w:bCs/>
          <w:sz w:val="24"/>
          <w:szCs w:val="24"/>
        </w:rPr>
        <w:t>间，直接经济损失</w:t>
      </w:r>
      <w:r>
        <w:rPr>
          <w:rFonts w:ascii="Times New Roman" w:eastAsia="宋体" w:hAnsi="Times New Roman" w:cs="Times New Roman"/>
          <w:bCs/>
          <w:sz w:val="24"/>
          <w:szCs w:val="24"/>
        </w:rPr>
        <w:t>147.55</w:t>
      </w:r>
      <w:r>
        <w:rPr>
          <w:rFonts w:ascii="Times New Roman" w:eastAsia="宋体" w:hAnsi="Times New Roman" w:cs="Times New Roman"/>
          <w:bCs/>
          <w:sz w:val="24"/>
          <w:szCs w:val="24"/>
        </w:rPr>
        <w:t>亿元，台风</w:t>
      </w:r>
      <w:r>
        <w:rPr>
          <w:rFonts w:ascii="Times New Roman" w:eastAsia="宋体" w:hAnsi="Times New Roman" w:cs="Times New Roman"/>
          <w:bCs/>
          <w:sz w:val="24"/>
          <w:szCs w:val="24"/>
        </w:rPr>
        <w:t>“</w:t>
      </w:r>
      <w:r>
        <w:rPr>
          <w:rFonts w:ascii="Times New Roman" w:eastAsia="宋体" w:hAnsi="Times New Roman" w:cs="Times New Roman"/>
          <w:bCs/>
          <w:sz w:val="24"/>
          <w:szCs w:val="24"/>
        </w:rPr>
        <w:t>杜苏芮</w:t>
      </w:r>
      <w:r>
        <w:rPr>
          <w:rFonts w:ascii="Times New Roman" w:eastAsia="宋体" w:hAnsi="Times New Roman" w:cs="Times New Roman"/>
          <w:bCs/>
          <w:sz w:val="24"/>
          <w:szCs w:val="24"/>
        </w:rPr>
        <w:t>”</w:t>
      </w:r>
      <w:r>
        <w:rPr>
          <w:rFonts w:ascii="Times New Roman" w:eastAsia="宋体" w:hAnsi="Times New Roman" w:cs="Times New Roman"/>
          <w:bCs/>
          <w:sz w:val="24"/>
          <w:szCs w:val="24"/>
        </w:rPr>
        <w:t>是</w:t>
      </w:r>
      <w:r>
        <w:rPr>
          <w:rFonts w:ascii="Times New Roman" w:eastAsia="宋体" w:hAnsi="Times New Roman" w:cs="Times New Roman"/>
          <w:bCs/>
          <w:sz w:val="24"/>
          <w:szCs w:val="24"/>
        </w:rPr>
        <w:t>2023</w:t>
      </w:r>
      <w:r>
        <w:rPr>
          <w:rFonts w:ascii="Times New Roman" w:eastAsia="宋体" w:hAnsi="Times New Roman" w:cs="Times New Roman"/>
          <w:bCs/>
          <w:sz w:val="24"/>
          <w:szCs w:val="24"/>
        </w:rPr>
        <w:t>年来登陆中国的最强台风，也是有完整观测记录以来登陆福建第二强的台风</w:t>
      </w:r>
      <w:r>
        <w:rPr>
          <w:rFonts w:ascii="Times New Roman" w:eastAsia="宋体" w:hAnsi="Times New Roman" w:cs="Times New Roman" w:hint="eastAsia"/>
          <w:bCs/>
          <w:sz w:val="24"/>
          <w:szCs w:val="24"/>
        </w:rPr>
        <w:t>。</w:t>
      </w:r>
    </w:p>
    <w:p w14:paraId="467DF6CC" w14:textId="77777777" w:rsidR="00EB6ADA" w:rsidRPr="00A3460E" w:rsidRDefault="00000000">
      <w:pPr>
        <w:widowControl/>
        <w:spacing w:line="360" w:lineRule="auto"/>
        <w:ind w:firstLineChars="200" w:firstLine="482"/>
        <w:rPr>
          <w:rFonts w:ascii="Times New Roman" w:eastAsia="宋体" w:hAnsi="Times New Roman" w:cs="Times New Roman"/>
          <w:b/>
          <w:sz w:val="24"/>
          <w:szCs w:val="24"/>
        </w:rPr>
      </w:pPr>
      <w:r w:rsidRPr="00A3460E">
        <w:rPr>
          <w:rFonts w:ascii="Times New Roman" w:eastAsia="宋体" w:hAnsi="Times New Roman" w:cs="Times New Roman" w:hint="eastAsia"/>
          <w:b/>
          <w:sz w:val="24"/>
          <w:szCs w:val="24"/>
        </w:rPr>
        <w:t>（</w:t>
      </w:r>
      <w:r w:rsidRPr="00A3460E">
        <w:rPr>
          <w:rFonts w:ascii="Times New Roman" w:eastAsia="宋体" w:hAnsi="Times New Roman" w:cs="Times New Roman"/>
          <w:b/>
          <w:sz w:val="24"/>
          <w:szCs w:val="24"/>
        </w:rPr>
        <w:t>2</w:t>
      </w:r>
      <w:r w:rsidRPr="00A3460E">
        <w:rPr>
          <w:rFonts w:ascii="Times New Roman" w:eastAsia="宋体" w:hAnsi="Times New Roman" w:cs="Times New Roman" w:hint="eastAsia"/>
          <w:b/>
          <w:sz w:val="24"/>
          <w:szCs w:val="24"/>
        </w:rPr>
        <w:t>）地震</w:t>
      </w:r>
    </w:p>
    <w:p w14:paraId="6971C1DB" w14:textId="77777777" w:rsidR="00EB6ADA" w:rsidRDefault="00000000">
      <w:pPr>
        <w:widowControl/>
        <w:adjustRightInd w:val="0"/>
        <w:snapToGrid w:val="0"/>
        <w:spacing w:before="40"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具有记载的资料显示，本工程所属的泉州地区地震活动非常强烈，历史上共发生过</w:t>
      </w:r>
      <w:r>
        <w:rPr>
          <w:rFonts w:ascii="Times New Roman" w:eastAsia="宋体" w:hAnsi="Times New Roman" w:cs="Times New Roman"/>
          <w:sz w:val="24"/>
        </w:rPr>
        <w:t>0.5~4.0</w:t>
      </w:r>
      <w:r>
        <w:rPr>
          <w:rFonts w:ascii="Times New Roman" w:eastAsia="宋体" w:hAnsi="Times New Roman" w:cs="Times New Roman"/>
          <w:sz w:val="24"/>
        </w:rPr>
        <w:t>级地震</w:t>
      </w:r>
      <w:r>
        <w:rPr>
          <w:rFonts w:ascii="Times New Roman" w:eastAsia="宋体" w:hAnsi="Times New Roman" w:cs="Times New Roman"/>
          <w:sz w:val="24"/>
        </w:rPr>
        <w:t>61</w:t>
      </w:r>
      <w:r>
        <w:rPr>
          <w:rFonts w:ascii="Times New Roman" w:eastAsia="宋体" w:hAnsi="Times New Roman" w:cs="Times New Roman"/>
          <w:sz w:val="24"/>
        </w:rPr>
        <w:t>次，最大地震为</w:t>
      </w:r>
      <w:r>
        <w:rPr>
          <w:rFonts w:ascii="Times New Roman" w:eastAsia="宋体" w:hAnsi="Times New Roman" w:cs="Times New Roman"/>
          <w:sz w:val="24"/>
        </w:rPr>
        <w:t>8</w:t>
      </w:r>
      <w:r>
        <w:rPr>
          <w:rFonts w:ascii="Times New Roman" w:eastAsia="宋体" w:hAnsi="Times New Roman" w:cs="Times New Roman"/>
          <w:sz w:val="24"/>
        </w:rPr>
        <w:t>级。据资料分析，新构造运动期内本区域没有产生新的断裂构造，本工程区域属于相对稳定区。</w:t>
      </w:r>
    </w:p>
    <w:p w14:paraId="4C26CEEA" w14:textId="77777777" w:rsidR="00EB6ADA" w:rsidRDefault="00EB6ADA">
      <w:pPr>
        <w:widowControl/>
        <w:adjustRightInd w:val="0"/>
        <w:snapToGrid w:val="0"/>
        <w:spacing w:before="40" w:line="360" w:lineRule="auto"/>
        <w:ind w:firstLineChars="200" w:firstLine="480"/>
        <w:jc w:val="left"/>
        <w:rPr>
          <w:rFonts w:ascii="Times New Roman" w:eastAsia="宋体" w:hAnsi="Times New Roman" w:cs="Times New Roman"/>
          <w:sz w:val="24"/>
        </w:rPr>
      </w:pPr>
    </w:p>
    <w:p w14:paraId="07DCD77B" w14:textId="77777777" w:rsidR="00EB6ADA" w:rsidRDefault="00EB6ADA">
      <w:pPr>
        <w:widowControl/>
        <w:adjustRightInd w:val="0"/>
        <w:snapToGrid w:val="0"/>
        <w:spacing w:before="40" w:line="360" w:lineRule="auto"/>
        <w:ind w:firstLineChars="200" w:firstLine="480"/>
        <w:jc w:val="left"/>
        <w:rPr>
          <w:rFonts w:ascii="Times New Roman" w:eastAsia="宋体" w:hAnsi="Times New Roman" w:cs="Times New Roman"/>
          <w:sz w:val="24"/>
        </w:rPr>
        <w:sectPr w:rsidR="00EB6ADA">
          <w:pgSz w:w="11906" w:h="16838"/>
          <w:pgMar w:top="1134" w:right="1134" w:bottom="1134" w:left="1134" w:header="851" w:footer="850" w:gutter="0"/>
          <w:cols w:space="425"/>
          <w:docGrid w:type="lines" w:linePitch="312"/>
        </w:sectPr>
      </w:pPr>
    </w:p>
    <w:p w14:paraId="3E432F73" w14:textId="77777777" w:rsidR="00EB6ADA" w:rsidRDefault="00000000">
      <w:pPr>
        <w:pStyle w:val="1"/>
        <w:rPr>
          <w:rFonts w:cs="Times New Roman"/>
        </w:rPr>
      </w:pPr>
      <w:bookmarkStart w:id="15" w:name="_Toc224053286"/>
      <w:r>
        <w:rPr>
          <w:rFonts w:cs="Times New Roman" w:hint="eastAsia"/>
        </w:rPr>
        <w:lastRenderedPageBreak/>
        <w:t>3</w:t>
      </w:r>
      <w:r>
        <w:rPr>
          <w:rFonts w:cs="Times New Roman"/>
        </w:rPr>
        <w:t>资源生态影响分析</w:t>
      </w:r>
      <w:bookmarkEnd w:id="15"/>
    </w:p>
    <w:p w14:paraId="3280173C" w14:textId="77777777" w:rsidR="00EB6ADA" w:rsidRDefault="00000000">
      <w:pPr>
        <w:pStyle w:val="2"/>
      </w:pPr>
      <w:bookmarkStart w:id="16" w:name="_Toc224053287"/>
      <w:r>
        <w:rPr>
          <w:rFonts w:hint="eastAsia"/>
        </w:rPr>
        <w:t>3</w:t>
      </w:r>
      <w:r>
        <w:t>.1</w:t>
      </w:r>
      <w:r>
        <w:t>资源影响分析</w:t>
      </w:r>
      <w:bookmarkEnd w:id="16"/>
    </w:p>
    <w:p w14:paraId="77082512" w14:textId="77777777" w:rsidR="00EB6ADA" w:rsidRDefault="00000000">
      <w:pPr>
        <w:pStyle w:val="3"/>
      </w:pPr>
      <w:r>
        <w:rPr>
          <w:rFonts w:hint="eastAsia"/>
        </w:rPr>
        <w:t>3</w:t>
      </w:r>
      <w:r>
        <w:t>.1.1</w:t>
      </w:r>
      <w:r>
        <w:t>对空间资源的影响分析</w:t>
      </w:r>
    </w:p>
    <w:p w14:paraId="0E83204C" w14:textId="77777777" w:rsidR="00EB6ADA" w:rsidRDefault="00000000">
      <w:pPr>
        <w:pStyle w:val="4"/>
      </w:pPr>
      <w:r>
        <w:rPr>
          <w:rFonts w:hint="eastAsia"/>
        </w:rPr>
        <w:t>3</w:t>
      </w:r>
      <w:r>
        <w:t>.1.1.1</w:t>
      </w:r>
      <w:r>
        <w:t>对海岸线资源的影响分析</w:t>
      </w:r>
    </w:p>
    <w:p w14:paraId="577AC7B8"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项目用海不涉及岸线，对岸线资源没有影响。</w:t>
      </w:r>
    </w:p>
    <w:p w14:paraId="1C4CBBF5" w14:textId="77777777" w:rsidR="00EB6ADA" w:rsidRDefault="00000000">
      <w:pPr>
        <w:pStyle w:val="4"/>
      </w:pPr>
      <w:r>
        <w:rPr>
          <w:rFonts w:hint="eastAsia"/>
        </w:rPr>
        <w:t>3</w:t>
      </w:r>
      <w:r>
        <w:t>.1.1.2</w:t>
      </w:r>
      <w:r>
        <w:t>对湿地资源的影响分析</w:t>
      </w:r>
    </w:p>
    <w:p w14:paraId="46D35EE0" w14:textId="31314E5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项目用海不涉及重要湿地及一般湿地名录范围</w:t>
      </w:r>
      <w:r>
        <w:rPr>
          <w:rFonts w:ascii="Times New Roman" w:eastAsia="宋体" w:hAnsi="Times New Roman" w:cs="Times New Roman" w:hint="eastAsia"/>
          <w:sz w:val="24"/>
        </w:rPr>
        <w:t>，涉及</w:t>
      </w:r>
      <w:r>
        <w:rPr>
          <w:rFonts w:ascii="Times New Roman" w:eastAsia="宋体" w:hAnsi="Times New Roman" w:cs="Times New Roman"/>
          <w:sz w:val="24"/>
        </w:rPr>
        <w:t>三调一般湿地</w:t>
      </w:r>
      <w:r>
        <w:rPr>
          <w:rFonts w:ascii="Times New Roman" w:eastAsia="宋体" w:hAnsi="Times New Roman" w:cs="Times New Roman" w:hint="eastAsia"/>
          <w:sz w:val="24"/>
        </w:rPr>
        <w:t>约</w:t>
      </w:r>
      <w:r>
        <w:rPr>
          <w:rFonts w:ascii="Times New Roman" w:eastAsia="宋体" w:hAnsi="Times New Roman" w:cs="Times New Roman"/>
          <w:sz w:val="24"/>
        </w:rPr>
        <w:t>15.1</w:t>
      </w:r>
      <w:r>
        <w:rPr>
          <w:rFonts w:ascii="Times New Roman" w:eastAsia="宋体" w:hAnsi="Times New Roman" w:cs="Times New Roman" w:hint="eastAsia"/>
          <w:sz w:val="24"/>
        </w:rPr>
        <w:t>2</w:t>
      </w:r>
      <w:r>
        <w:rPr>
          <w:rFonts w:ascii="Times New Roman" w:eastAsia="宋体" w:hAnsi="Times New Roman" w:cs="Times New Roman"/>
          <w:sz w:val="24"/>
        </w:rPr>
        <w:t>公顷，湿地类型为沿海滩涂。转运坑现状</w:t>
      </w:r>
      <w:r>
        <w:rPr>
          <w:rFonts w:ascii="Times New Roman" w:eastAsia="宋体" w:hAnsi="Times New Roman" w:cs="Times New Roman" w:hint="eastAsia"/>
          <w:sz w:val="24"/>
        </w:rPr>
        <w:t>泥面</w:t>
      </w:r>
      <w:r>
        <w:rPr>
          <w:rFonts w:ascii="Times New Roman" w:eastAsia="宋体" w:hAnsi="Times New Roman" w:cs="Times New Roman"/>
          <w:sz w:val="24"/>
        </w:rPr>
        <w:t>标高</w:t>
      </w:r>
      <w:r>
        <w:rPr>
          <w:rFonts w:ascii="Times New Roman" w:eastAsia="宋体" w:hAnsi="Times New Roman" w:cs="Times New Roman"/>
          <w:sz w:val="24"/>
        </w:rPr>
        <w:t>-3.5m~-8.5m</w:t>
      </w:r>
      <w:r>
        <w:rPr>
          <w:rFonts w:ascii="Times New Roman" w:eastAsia="宋体" w:hAnsi="Times New Roman" w:cs="Times New Roman"/>
          <w:sz w:val="24"/>
        </w:rPr>
        <w:t>之间，</w:t>
      </w:r>
      <w:r>
        <w:rPr>
          <w:rFonts w:ascii="Times New Roman" w:eastAsia="宋体" w:hAnsi="Times New Roman" w:cs="Times New Roman" w:hint="eastAsia"/>
          <w:sz w:val="24"/>
        </w:rPr>
        <w:t>航道后续施工的</w:t>
      </w:r>
      <w:r>
        <w:rPr>
          <w:rFonts w:ascii="Times New Roman" w:eastAsia="宋体" w:hAnsi="Times New Roman" w:cs="Times New Roman"/>
          <w:sz w:val="24"/>
        </w:rPr>
        <w:t>疏浚物抛掷后</w:t>
      </w:r>
      <w:r>
        <w:rPr>
          <w:rFonts w:ascii="Times New Roman" w:eastAsia="宋体" w:hAnsi="Times New Roman" w:cs="Times New Roman" w:hint="eastAsia"/>
          <w:sz w:val="24"/>
        </w:rPr>
        <w:t>，转运坑内的</w:t>
      </w:r>
      <w:r>
        <w:rPr>
          <w:rFonts w:ascii="Times New Roman" w:eastAsia="宋体" w:hAnsi="Times New Roman" w:cs="Times New Roman"/>
          <w:sz w:val="24"/>
        </w:rPr>
        <w:t>平均</w:t>
      </w:r>
      <w:r>
        <w:rPr>
          <w:rFonts w:ascii="Times New Roman" w:eastAsia="宋体" w:hAnsi="Times New Roman" w:cs="Times New Roman" w:hint="eastAsia"/>
          <w:sz w:val="24"/>
        </w:rPr>
        <w:t>泥面标高将达到</w:t>
      </w:r>
      <w:r>
        <w:rPr>
          <w:rFonts w:ascii="Times New Roman" w:eastAsia="宋体" w:hAnsi="Times New Roman" w:cs="Times New Roman"/>
          <w:sz w:val="24"/>
        </w:rPr>
        <w:t>-4.0m</w:t>
      </w:r>
      <w:r>
        <w:rPr>
          <w:rFonts w:ascii="Times New Roman" w:eastAsia="宋体" w:hAnsi="Times New Roman" w:cs="Times New Roman"/>
          <w:sz w:val="24"/>
        </w:rPr>
        <w:t>，根据数模专题计算结果，</w:t>
      </w:r>
      <w:r>
        <w:rPr>
          <w:rFonts w:ascii="Times New Roman" w:eastAsia="宋体" w:hAnsi="Times New Roman" w:cs="Times New Roman" w:hint="eastAsia"/>
          <w:sz w:val="24"/>
        </w:rPr>
        <w:t>本次</w:t>
      </w:r>
      <w:r>
        <w:rPr>
          <w:rFonts w:ascii="Times New Roman" w:eastAsia="宋体" w:hAnsi="Times New Roman" w:cs="Times New Roman"/>
          <w:sz w:val="24"/>
        </w:rPr>
        <w:t>用海对周边地形地貌及冲淤环境影响较小</w:t>
      </w:r>
      <w:r>
        <w:rPr>
          <w:rFonts w:ascii="Times New Roman" w:eastAsia="宋体" w:hAnsi="Times New Roman" w:cs="Times New Roman" w:hint="eastAsia"/>
          <w:sz w:val="24"/>
        </w:rPr>
        <w:t>，</w:t>
      </w:r>
      <w:r>
        <w:rPr>
          <w:rFonts w:ascii="Times New Roman" w:eastAsia="宋体" w:hAnsi="Times New Roman" w:cs="Times New Roman"/>
          <w:sz w:val="24"/>
        </w:rPr>
        <w:t>不会改变湿地性质及湿地功能。</w:t>
      </w:r>
    </w:p>
    <w:p w14:paraId="480DA19A" w14:textId="77777777" w:rsidR="00EB6ADA" w:rsidRDefault="00000000">
      <w:pPr>
        <w:pStyle w:val="4"/>
      </w:pPr>
      <w:r>
        <w:rPr>
          <w:rFonts w:hint="eastAsia"/>
        </w:rPr>
        <w:t>3</w:t>
      </w:r>
      <w:r>
        <w:t>.1.1.3</w:t>
      </w:r>
      <w:r>
        <w:t>对岛礁资源的影响分析</w:t>
      </w:r>
    </w:p>
    <w:p w14:paraId="4DFD6BAF"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用海区</w:t>
      </w:r>
      <w:r>
        <w:rPr>
          <w:rFonts w:ascii="Times New Roman" w:eastAsia="宋体" w:hAnsi="Times New Roman" w:cs="Times New Roman" w:hint="eastAsia"/>
          <w:sz w:val="24"/>
        </w:rPr>
        <w:t>较</w:t>
      </w:r>
      <w:r>
        <w:rPr>
          <w:rFonts w:ascii="Times New Roman" w:eastAsia="宋体" w:hAnsi="Times New Roman" w:cs="Times New Roman"/>
          <w:sz w:val="24"/>
        </w:rPr>
        <w:t>近的岛礁为小百屿和大百屿，距离分别为</w:t>
      </w:r>
      <w:r>
        <w:rPr>
          <w:rFonts w:ascii="Times New Roman" w:eastAsia="宋体" w:hAnsi="Times New Roman" w:cs="Times New Roman"/>
          <w:sz w:val="24"/>
        </w:rPr>
        <w:t>5.1km</w:t>
      </w:r>
      <w:r>
        <w:rPr>
          <w:rFonts w:ascii="Times New Roman" w:eastAsia="宋体" w:hAnsi="Times New Roman" w:cs="Times New Roman"/>
          <w:sz w:val="24"/>
        </w:rPr>
        <w:t>和</w:t>
      </w:r>
      <w:r>
        <w:rPr>
          <w:rFonts w:ascii="Times New Roman" w:eastAsia="宋体" w:hAnsi="Times New Roman" w:cs="Times New Roman"/>
          <w:sz w:val="24"/>
        </w:rPr>
        <w:t>6.4km</w:t>
      </w:r>
      <w:r>
        <w:rPr>
          <w:rFonts w:ascii="Times New Roman" w:eastAsia="宋体" w:hAnsi="Times New Roman" w:cs="Times New Roman"/>
          <w:sz w:val="24"/>
        </w:rPr>
        <w:t>。根据数值模拟结果，项目实施后，水动力和冲淤环境的影响主要在工程区及附近，对小百屿和大百屿没有影响。</w:t>
      </w:r>
    </w:p>
    <w:p w14:paraId="0E18F125" w14:textId="77777777" w:rsidR="00EB6ADA" w:rsidRDefault="00000000">
      <w:pPr>
        <w:pStyle w:val="3"/>
      </w:pPr>
      <w:r>
        <w:rPr>
          <w:rFonts w:hint="eastAsia"/>
        </w:rPr>
        <w:t>3</w:t>
      </w:r>
      <w:r>
        <w:t>.1.2</w:t>
      </w:r>
      <w:r>
        <w:t>对海洋生物资源的影响分析</w:t>
      </w:r>
    </w:p>
    <w:p w14:paraId="6DE7C060"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项目对海洋生物资源的影响主要为</w:t>
      </w:r>
      <w:r>
        <w:rPr>
          <w:rFonts w:ascii="Times New Roman" w:eastAsia="宋体" w:hAnsi="Times New Roman" w:cs="Times New Roman" w:hint="eastAsia"/>
          <w:sz w:val="24"/>
        </w:rPr>
        <w:t>航道</w:t>
      </w:r>
      <w:r>
        <w:rPr>
          <w:rFonts w:ascii="Times New Roman" w:eastAsia="宋体" w:hAnsi="Times New Roman" w:cs="Times New Roman"/>
          <w:sz w:val="24"/>
        </w:rPr>
        <w:t>疏浚物抛掷</w:t>
      </w:r>
      <w:r>
        <w:rPr>
          <w:rFonts w:ascii="Times New Roman" w:eastAsia="宋体" w:hAnsi="Times New Roman" w:cs="Times New Roman" w:hint="eastAsia"/>
          <w:sz w:val="24"/>
        </w:rPr>
        <w:t>掩埋底栖生物，以及施工</w:t>
      </w:r>
      <w:r>
        <w:rPr>
          <w:rFonts w:ascii="Times New Roman" w:eastAsia="宋体" w:hAnsi="Times New Roman" w:cs="Times New Roman"/>
          <w:sz w:val="24"/>
        </w:rPr>
        <w:t>过程产生的悬浮泥沙影响。</w:t>
      </w:r>
    </w:p>
    <w:p w14:paraId="6ECC1BF5" w14:textId="77777777" w:rsidR="00EB6ADA" w:rsidRDefault="00000000">
      <w:pPr>
        <w:pStyle w:val="4"/>
      </w:pPr>
      <w:r>
        <w:rPr>
          <w:rFonts w:hint="eastAsia"/>
        </w:rPr>
        <w:t>3</w:t>
      </w:r>
      <w:r>
        <w:t>.1.2.1</w:t>
      </w:r>
      <w:r>
        <w:t>疏浚物抛掷底栖生物资源损失</w:t>
      </w:r>
    </w:p>
    <w:p w14:paraId="2759743A"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随着石井航道二期工程</w:t>
      </w:r>
      <w:r>
        <w:rPr>
          <w:rFonts w:ascii="Times New Roman" w:eastAsia="宋体" w:hAnsi="Times New Roman" w:cs="Times New Roman" w:hint="eastAsia"/>
          <w:sz w:val="24"/>
        </w:rPr>
        <w:t>2025</w:t>
      </w:r>
      <w:r>
        <w:rPr>
          <w:rFonts w:ascii="Times New Roman" w:eastAsia="宋体" w:hAnsi="Times New Roman" w:cs="Times New Roman" w:hint="eastAsia"/>
          <w:sz w:val="24"/>
        </w:rPr>
        <w:t>年</w:t>
      </w:r>
      <w:r>
        <w:rPr>
          <w:rFonts w:ascii="Times New Roman" w:eastAsia="宋体" w:hAnsi="Times New Roman" w:cs="Times New Roman" w:hint="eastAsia"/>
          <w:sz w:val="24"/>
        </w:rPr>
        <w:t>10</w:t>
      </w:r>
      <w:r>
        <w:rPr>
          <w:rFonts w:ascii="Times New Roman" w:eastAsia="宋体" w:hAnsi="Times New Roman" w:cs="Times New Roman" w:hint="eastAsia"/>
          <w:sz w:val="24"/>
        </w:rPr>
        <w:t>月疏浚作业的暂停，项目转运坑内抛泥作业也暂停，转运坑内原损失的底栖生物可能逐步恢复。因此后续</w:t>
      </w:r>
      <w:r>
        <w:rPr>
          <w:rFonts w:ascii="Times New Roman" w:eastAsia="宋体" w:hAnsi="Times New Roman" w:cs="Times New Roman"/>
          <w:sz w:val="24"/>
        </w:rPr>
        <w:t>疏浚物抛掷将掩埋项目区</w:t>
      </w:r>
      <w:r>
        <w:rPr>
          <w:rFonts w:ascii="Times New Roman" w:eastAsia="宋体" w:hAnsi="Times New Roman" w:cs="Times New Roman" w:hint="eastAsia"/>
          <w:sz w:val="24"/>
        </w:rPr>
        <w:t>内</w:t>
      </w:r>
      <w:r>
        <w:rPr>
          <w:rFonts w:ascii="Times New Roman" w:eastAsia="宋体" w:hAnsi="Times New Roman" w:cs="Times New Roman"/>
          <w:sz w:val="24"/>
        </w:rPr>
        <w:t>的底栖生物，造成部分底栖生物损伤或死亡。</w:t>
      </w:r>
    </w:p>
    <w:p w14:paraId="2DCC900A"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疏浚物抛掷造成的底栖生物直接损失量</w:t>
      </w:r>
      <w:r>
        <w:rPr>
          <w:rFonts w:ascii="Times New Roman" w:eastAsia="宋体" w:hAnsi="Times New Roman" w:cs="Times New Roman"/>
          <w:sz w:val="24"/>
        </w:rPr>
        <w:t>=</w:t>
      </w:r>
      <w:r>
        <w:rPr>
          <w:rFonts w:ascii="Times New Roman" w:eastAsia="宋体" w:hAnsi="Times New Roman" w:cs="Times New Roman"/>
          <w:sz w:val="24"/>
        </w:rPr>
        <w:t>平均生物量</w:t>
      </w:r>
      <w:r>
        <w:rPr>
          <w:rFonts w:ascii="Times New Roman" w:eastAsia="宋体" w:hAnsi="Times New Roman" w:cs="Times New Roman"/>
          <w:sz w:val="24"/>
        </w:rPr>
        <w:t>×</w:t>
      </w:r>
      <w:r>
        <w:rPr>
          <w:rFonts w:ascii="Times New Roman" w:eastAsia="宋体" w:hAnsi="Times New Roman" w:cs="Times New Roman"/>
          <w:sz w:val="24"/>
        </w:rPr>
        <w:t>抛掷面积</w:t>
      </w:r>
      <w:r>
        <w:rPr>
          <w:rFonts w:ascii="Times New Roman" w:eastAsia="宋体" w:hAnsi="Times New Roman" w:cs="Times New Roman"/>
          <w:sz w:val="24"/>
        </w:rPr>
        <w:t>=7.75g/m²×21.9736</w:t>
      </w:r>
      <w:r>
        <w:rPr>
          <w:rFonts w:ascii="Times New Roman" w:eastAsia="宋体" w:hAnsi="Times New Roman" w:cs="Times New Roman"/>
          <w:sz w:val="24"/>
        </w:rPr>
        <w:t>公顷</w:t>
      </w:r>
      <w:r>
        <w:rPr>
          <w:rFonts w:ascii="Times New Roman" w:eastAsia="宋体" w:hAnsi="Times New Roman" w:cs="Times New Roman"/>
          <w:sz w:val="24"/>
        </w:rPr>
        <w:t>=1.70t</w:t>
      </w:r>
      <w:r>
        <w:rPr>
          <w:rFonts w:ascii="Times New Roman" w:eastAsia="宋体" w:hAnsi="Times New Roman" w:cs="Times New Roman"/>
          <w:sz w:val="24"/>
        </w:rPr>
        <w:t>。</w:t>
      </w:r>
    </w:p>
    <w:p w14:paraId="1BBEA79A" w14:textId="77777777" w:rsidR="00EB6ADA" w:rsidRDefault="00000000">
      <w:pPr>
        <w:pStyle w:val="4"/>
      </w:pPr>
      <w:r>
        <w:rPr>
          <w:rFonts w:hint="eastAsia"/>
        </w:rPr>
        <w:t>3</w:t>
      </w:r>
      <w:r>
        <w:t>.1.2.2</w:t>
      </w:r>
      <w:r>
        <w:t>悬浮泥沙扩散引起的生物资源损失</w:t>
      </w:r>
    </w:p>
    <w:p w14:paraId="7C307BDC" w14:textId="77777777" w:rsidR="00EB6ADA" w:rsidRDefault="00000000">
      <w:pPr>
        <w:widowControl/>
        <w:adjustRightIn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w:t>
      </w:r>
      <w:r>
        <w:rPr>
          <w:rFonts w:ascii="Times New Roman" w:eastAsia="宋体" w:hAnsi="Times New Roman" w:cs="Times New Roman"/>
          <w:b/>
          <w:bCs/>
          <w:sz w:val="24"/>
        </w:rPr>
        <w:t>1</w:t>
      </w:r>
      <w:r>
        <w:rPr>
          <w:rFonts w:ascii="Times New Roman" w:eastAsia="宋体" w:hAnsi="Times New Roman" w:cs="Times New Roman"/>
          <w:b/>
          <w:bCs/>
          <w:sz w:val="24"/>
        </w:rPr>
        <w:t>）悬浮泥沙入海造成底栖生物资源的损失</w:t>
      </w:r>
    </w:p>
    <w:p w14:paraId="6B0C9A9C"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施工悬浮泥沙的再沉降也将掩埋项目附近海域的底栖生物。悬浮泥沙再沉降可能对部分底栖生物的繁殖和生长造成影响，但具有行动能力的底栖生物可能主动回避从而免遭受损</w:t>
      </w:r>
      <w:r>
        <w:rPr>
          <w:rFonts w:ascii="Times New Roman" w:eastAsia="宋体" w:hAnsi="Times New Roman" w:cs="Times New Roman" w:hint="eastAsia"/>
          <w:sz w:val="24"/>
        </w:rPr>
        <w:t>。</w:t>
      </w:r>
      <w:r>
        <w:rPr>
          <w:rFonts w:ascii="Times New Roman" w:eastAsia="宋体" w:hAnsi="Times New Roman" w:cs="Times New Roman"/>
          <w:sz w:val="24"/>
        </w:rPr>
        <w:t>按悬浮泥沙浓度增量超过</w:t>
      </w:r>
      <w:r>
        <w:rPr>
          <w:rFonts w:ascii="Times New Roman" w:eastAsia="宋体" w:hAnsi="Times New Roman" w:cs="Times New Roman"/>
          <w:sz w:val="24"/>
        </w:rPr>
        <w:t>10mg/L</w:t>
      </w:r>
      <w:r>
        <w:rPr>
          <w:rFonts w:ascii="Times New Roman" w:eastAsia="宋体" w:hAnsi="Times New Roman" w:cs="Times New Roman"/>
          <w:sz w:val="24"/>
        </w:rPr>
        <w:t>范围内</w:t>
      </w:r>
      <w:r>
        <w:rPr>
          <w:rFonts w:ascii="Times New Roman" w:eastAsia="宋体" w:hAnsi="Times New Roman" w:cs="Times New Roman"/>
          <w:sz w:val="24"/>
        </w:rPr>
        <w:t>10%</w:t>
      </w:r>
      <w:r>
        <w:rPr>
          <w:rFonts w:ascii="Times New Roman" w:eastAsia="宋体" w:hAnsi="Times New Roman" w:cs="Times New Roman"/>
          <w:sz w:val="24"/>
        </w:rPr>
        <w:t>的底栖生物受到致命伤害估算</w:t>
      </w:r>
      <w:r>
        <w:rPr>
          <w:rFonts w:ascii="Times New Roman" w:eastAsia="宋体" w:hAnsi="Times New Roman" w:cs="Times New Roman" w:hint="eastAsia"/>
          <w:sz w:val="24"/>
        </w:rPr>
        <w:t>由此造成的底栖生物损失</w:t>
      </w:r>
      <w:r>
        <w:rPr>
          <w:rFonts w:ascii="Times New Roman" w:eastAsia="宋体" w:hAnsi="Times New Roman" w:cs="Times New Roman"/>
          <w:sz w:val="24"/>
        </w:rPr>
        <w:t>。悬浮泥沙浓度增量超过</w:t>
      </w:r>
      <w:r>
        <w:rPr>
          <w:rFonts w:ascii="Times New Roman" w:eastAsia="宋体" w:hAnsi="Times New Roman" w:cs="Times New Roman"/>
          <w:sz w:val="24"/>
        </w:rPr>
        <w:t>10mg/L</w:t>
      </w:r>
      <w:r>
        <w:rPr>
          <w:rFonts w:ascii="Times New Roman" w:eastAsia="宋体" w:hAnsi="Times New Roman" w:cs="Times New Roman"/>
          <w:sz w:val="24"/>
        </w:rPr>
        <w:t>的范围约</w:t>
      </w:r>
      <w:r>
        <w:rPr>
          <w:rFonts w:ascii="Times New Roman" w:eastAsia="宋体" w:hAnsi="Times New Roman" w:cs="Times New Roman"/>
          <w:sz w:val="24"/>
        </w:rPr>
        <w:t>514.1</w:t>
      </w:r>
      <w:r>
        <w:rPr>
          <w:rFonts w:ascii="Times New Roman" w:eastAsia="宋体" w:hAnsi="Times New Roman" w:cs="Times New Roman"/>
          <w:sz w:val="24"/>
        </w:rPr>
        <w:t>公顷</w:t>
      </w:r>
      <w:r>
        <w:rPr>
          <w:rFonts w:ascii="Times New Roman" w:eastAsia="宋体" w:hAnsi="Times New Roman" w:cs="Times New Roman" w:hint="eastAsia"/>
          <w:sz w:val="24"/>
        </w:rPr>
        <w:t>，</w:t>
      </w:r>
      <w:r>
        <w:rPr>
          <w:rFonts w:ascii="Times New Roman" w:eastAsia="宋体" w:hAnsi="Times New Roman" w:cs="Times New Roman"/>
          <w:sz w:val="24"/>
        </w:rPr>
        <w:t>悬浮泥沙导致的底栖生物量损失</w:t>
      </w:r>
      <w:r>
        <w:rPr>
          <w:rFonts w:ascii="Times New Roman" w:eastAsia="宋体" w:hAnsi="Times New Roman" w:cs="Times New Roman"/>
          <w:sz w:val="24"/>
        </w:rPr>
        <w:t>=7.75g/m²×514.1</w:t>
      </w:r>
      <w:r>
        <w:rPr>
          <w:rFonts w:ascii="Times New Roman" w:eastAsia="宋体" w:hAnsi="Times New Roman" w:cs="Times New Roman"/>
          <w:sz w:val="24"/>
        </w:rPr>
        <w:t>公顷</w:t>
      </w:r>
      <w:r>
        <w:rPr>
          <w:rFonts w:ascii="Times New Roman" w:eastAsia="宋体" w:hAnsi="Times New Roman" w:cs="Times New Roman"/>
          <w:sz w:val="24"/>
        </w:rPr>
        <w:t>×10%=3.98t</w:t>
      </w:r>
      <w:r>
        <w:rPr>
          <w:rFonts w:ascii="Times New Roman" w:eastAsia="宋体" w:hAnsi="Times New Roman" w:cs="Times New Roman"/>
          <w:sz w:val="24"/>
        </w:rPr>
        <w:t>。</w:t>
      </w:r>
    </w:p>
    <w:p w14:paraId="5D943DE5" w14:textId="77777777" w:rsidR="00EB6ADA" w:rsidRDefault="00000000">
      <w:pPr>
        <w:widowControl/>
        <w:adjustRightIn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lastRenderedPageBreak/>
        <w:t>（</w:t>
      </w:r>
      <w:r>
        <w:rPr>
          <w:rFonts w:ascii="Times New Roman" w:eastAsia="宋体" w:hAnsi="Times New Roman" w:cs="Times New Roman"/>
          <w:b/>
          <w:bCs/>
          <w:sz w:val="24"/>
        </w:rPr>
        <w:t>2</w:t>
      </w:r>
      <w:r>
        <w:rPr>
          <w:rFonts w:ascii="Times New Roman" w:eastAsia="宋体" w:hAnsi="Times New Roman" w:cs="Times New Roman"/>
          <w:b/>
          <w:bCs/>
          <w:sz w:val="24"/>
        </w:rPr>
        <w:t>）悬浮泥沙导致的生物损失量分析</w:t>
      </w:r>
    </w:p>
    <w:p w14:paraId="1B175156"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根据《建设项目对海洋生物资源影响评价技术规程》，悬浮泥沙导致的生物损失量计算公式如下：</w:t>
      </w:r>
    </w:p>
    <w:p w14:paraId="68980D3B"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一次性平均受损量</w:t>
      </w:r>
      <w:r>
        <w:rPr>
          <w:rFonts w:ascii="Times New Roman" w:eastAsia="宋体" w:hAnsi="Times New Roman" w:cs="Times New Roman"/>
          <w:sz w:val="24"/>
        </w:rPr>
        <w:t>=</w:t>
      </w:r>
      <w:r>
        <w:rPr>
          <w:rFonts w:ascii="Times New Roman" w:eastAsia="宋体" w:hAnsi="Times New Roman" w:cs="Times New Roman"/>
          <w:sz w:val="24"/>
        </w:rPr>
        <w:t>生物资源密度</w:t>
      </w:r>
      <w:r>
        <w:rPr>
          <w:rFonts w:ascii="Times New Roman" w:eastAsia="宋体" w:hAnsi="Times New Roman" w:cs="Times New Roman"/>
          <w:sz w:val="24"/>
        </w:rPr>
        <w:t>×</w:t>
      </w:r>
      <w:r>
        <w:rPr>
          <w:rFonts w:ascii="Times New Roman" w:eastAsia="宋体" w:hAnsi="Times New Roman" w:cs="Times New Roman"/>
          <w:sz w:val="24"/>
        </w:rPr>
        <w:t>污染物增量区面积</w:t>
      </w:r>
      <w:r>
        <w:rPr>
          <w:rFonts w:ascii="Times New Roman" w:eastAsia="宋体" w:hAnsi="Times New Roman" w:cs="Times New Roman"/>
          <w:sz w:val="24"/>
        </w:rPr>
        <w:t>×</w:t>
      </w:r>
      <w:r>
        <w:rPr>
          <w:rFonts w:ascii="Times New Roman" w:eastAsia="宋体" w:hAnsi="Times New Roman" w:cs="Times New Roman"/>
          <w:sz w:val="24"/>
        </w:rPr>
        <w:t>生物资源损失率</w:t>
      </w:r>
    </w:p>
    <w:p w14:paraId="2C408B18"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持续性平均受损量</w:t>
      </w:r>
      <w:r>
        <w:rPr>
          <w:rFonts w:ascii="Times New Roman" w:eastAsia="宋体" w:hAnsi="Times New Roman" w:cs="Times New Roman"/>
          <w:sz w:val="24"/>
        </w:rPr>
        <w:t>=</w:t>
      </w:r>
      <w:r>
        <w:rPr>
          <w:rFonts w:ascii="Times New Roman" w:eastAsia="宋体" w:hAnsi="Times New Roman" w:cs="Times New Roman"/>
          <w:sz w:val="24"/>
        </w:rPr>
        <w:t>一次性平均受损量</w:t>
      </w:r>
      <w:r>
        <w:rPr>
          <w:rFonts w:ascii="Times New Roman" w:eastAsia="宋体" w:hAnsi="Times New Roman" w:cs="Times New Roman"/>
          <w:sz w:val="24"/>
        </w:rPr>
        <w:t>×</w:t>
      </w:r>
      <w:r>
        <w:rPr>
          <w:rFonts w:ascii="Times New Roman" w:eastAsia="宋体" w:hAnsi="Times New Roman" w:cs="Times New Roman"/>
          <w:sz w:val="24"/>
        </w:rPr>
        <w:t>浓度增量影响的持续周期数</w:t>
      </w:r>
    </w:p>
    <w:p w14:paraId="088F6BD0" w14:textId="0522EAE1"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经计算</w:t>
      </w:r>
      <w:r>
        <w:rPr>
          <w:rFonts w:ascii="Times New Roman" w:eastAsia="宋体" w:hAnsi="Times New Roman" w:cs="Times New Roman"/>
          <w:sz w:val="24"/>
        </w:rPr>
        <w:t>，施工过程导致浮游植物、浮游动物、鱼卵、仔稚鱼、游泳动物、底栖生物损失量分别为</w:t>
      </w:r>
      <w:r>
        <w:rPr>
          <w:rFonts w:ascii="Times New Roman" w:eastAsia="宋体" w:hAnsi="Times New Roman" w:cs="Times New Roman"/>
          <w:sz w:val="24"/>
        </w:rPr>
        <w:t>4.72×10</w:t>
      </w:r>
      <w:r>
        <w:rPr>
          <w:rFonts w:ascii="Times New Roman" w:eastAsia="宋体" w:hAnsi="Times New Roman" w:cs="Times New Roman"/>
          <w:sz w:val="24"/>
          <w:vertAlign w:val="superscript"/>
        </w:rPr>
        <w:t>12</w:t>
      </w:r>
      <w:r>
        <w:rPr>
          <w:rFonts w:ascii="Times New Roman" w:eastAsia="宋体" w:hAnsi="Times New Roman" w:cs="Times New Roman"/>
          <w:sz w:val="24"/>
        </w:rPr>
        <w:t>cells</w:t>
      </w:r>
      <w:r>
        <w:rPr>
          <w:rFonts w:ascii="Times New Roman" w:eastAsia="宋体" w:hAnsi="Times New Roman" w:cs="Times New Roman"/>
          <w:sz w:val="24"/>
        </w:rPr>
        <w:t>、</w:t>
      </w:r>
      <w:r>
        <w:rPr>
          <w:rFonts w:ascii="Times New Roman" w:eastAsia="宋体" w:hAnsi="Times New Roman" w:cs="Times New Roman"/>
          <w:sz w:val="24"/>
        </w:rPr>
        <w:t>12.33t</w:t>
      </w:r>
      <w:r>
        <w:rPr>
          <w:rFonts w:ascii="Times New Roman" w:eastAsia="宋体" w:hAnsi="Times New Roman" w:cs="Times New Roman"/>
          <w:sz w:val="24"/>
        </w:rPr>
        <w:t>、</w:t>
      </w:r>
      <w:r>
        <w:rPr>
          <w:rFonts w:ascii="Times New Roman" w:eastAsia="宋体" w:hAnsi="Times New Roman" w:cs="Times New Roman"/>
          <w:sz w:val="24"/>
        </w:rPr>
        <w:t>4.72×10</w:t>
      </w:r>
      <w:r>
        <w:rPr>
          <w:rFonts w:ascii="Times New Roman" w:eastAsia="宋体" w:hAnsi="Times New Roman" w:cs="Times New Roman"/>
          <w:sz w:val="24"/>
          <w:vertAlign w:val="superscript"/>
        </w:rPr>
        <w:t>7</w:t>
      </w:r>
      <w:r>
        <w:rPr>
          <w:rFonts w:ascii="Times New Roman" w:eastAsia="宋体" w:hAnsi="Times New Roman" w:cs="Times New Roman"/>
          <w:sz w:val="24"/>
        </w:rPr>
        <w:t>ind.</w:t>
      </w:r>
      <w:r>
        <w:rPr>
          <w:rFonts w:ascii="Times New Roman" w:eastAsia="宋体" w:hAnsi="Times New Roman" w:cs="Times New Roman"/>
          <w:sz w:val="24"/>
        </w:rPr>
        <w:t>、</w:t>
      </w:r>
      <w:r>
        <w:rPr>
          <w:rFonts w:ascii="Times New Roman" w:eastAsia="宋体" w:hAnsi="Times New Roman" w:cs="Times New Roman"/>
          <w:sz w:val="24"/>
        </w:rPr>
        <w:t>9.73×10</w:t>
      </w:r>
      <w:r>
        <w:rPr>
          <w:rFonts w:ascii="Times New Roman" w:eastAsia="宋体" w:hAnsi="Times New Roman" w:cs="Times New Roman"/>
          <w:sz w:val="24"/>
          <w:vertAlign w:val="superscript"/>
        </w:rPr>
        <w:t>6</w:t>
      </w:r>
      <w:r>
        <w:rPr>
          <w:rFonts w:ascii="Times New Roman" w:eastAsia="宋体" w:hAnsi="Times New Roman" w:cs="Times New Roman"/>
          <w:sz w:val="24"/>
        </w:rPr>
        <w:t>尾、</w:t>
      </w:r>
      <w:r>
        <w:rPr>
          <w:rFonts w:ascii="Times New Roman" w:eastAsia="宋体" w:hAnsi="Times New Roman" w:cs="Times New Roman"/>
          <w:sz w:val="24"/>
        </w:rPr>
        <w:t>1.03t</w:t>
      </w:r>
      <w:r>
        <w:rPr>
          <w:rFonts w:ascii="Times New Roman" w:eastAsia="宋体" w:hAnsi="Times New Roman" w:cs="Times New Roman"/>
          <w:sz w:val="24"/>
        </w:rPr>
        <w:t>、</w:t>
      </w:r>
      <w:r>
        <w:rPr>
          <w:rFonts w:ascii="Times New Roman" w:eastAsia="宋体" w:hAnsi="Times New Roman" w:cs="Times New Roman"/>
          <w:sz w:val="24"/>
        </w:rPr>
        <w:t>5.68t</w:t>
      </w:r>
      <w:r>
        <w:rPr>
          <w:rFonts w:ascii="Times New Roman" w:eastAsia="宋体" w:hAnsi="Times New Roman" w:cs="Times New Roman"/>
          <w:sz w:val="24"/>
        </w:rPr>
        <w:t>。</w:t>
      </w:r>
    </w:p>
    <w:p w14:paraId="0127BB7F" w14:textId="77777777" w:rsidR="00EB6ADA" w:rsidRDefault="00000000">
      <w:pPr>
        <w:pStyle w:val="2"/>
      </w:pPr>
      <w:bookmarkStart w:id="17" w:name="_Toc224053288"/>
      <w:r>
        <w:rPr>
          <w:rFonts w:hint="eastAsia"/>
        </w:rPr>
        <w:t>3</w:t>
      </w:r>
      <w:r>
        <w:t>.2</w:t>
      </w:r>
      <w:r>
        <w:t>生态影响分析</w:t>
      </w:r>
      <w:bookmarkEnd w:id="17"/>
    </w:p>
    <w:p w14:paraId="6C509BB3" w14:textId="77777777" w:rsidR="00EB6ADA" w:rsidRDefault="00000000">
      <w:pPr>
        <w:pStyle w:val="3"/>
      </w:pPr>
      <w:r>
        <w:rPr>
          <w:rFonts w:hint="eastAsia"/>
        </w:rPr>
        <w:t>3</w:t>
      </w:r>
      <w:r>
        <w:t>.2.1</w:t>
      </w:r>
      <w:r>
        <w:t>对水动力条件的影响分析</w:t>
      </w:r>
    </w:p>
    <w:p w14:paraId="6B721471"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以下内容</w:t>
      </w:r>
      <w:r>
        <w:rPr>
          <w:rFonts w:ascii="Times New Roman" w:eastAsia="宋体" w:hAnsi="Times New Roman" w:cs="Times New Roman" w:hint="eastAsia"/>
          <w:sz w:val="24"/>
        </w:rPr>
        <w:t>引用海洋三所</w:t>
      </w:r>
      <w:r>
        <w:rPr>
          <w:rFonts w:ascii="Times New Roman" w:eastAsia="宋体" w:hAnsi="Times New Roman" w:cs="Times New Roman" w:hint="eastAsia"/>
          <w:sz w:val="24"/>
        </w:rPr>
        <w:t>2016</w:t>
      </w:r>
      <w:r>
        <w:rPr>
          <w:rFonts w:ascii="Times New Roman" w:eastAsia="宋体" w:hAnsi="Times New Roman" w:cs="Times New Roman" w:hint="eastAsia"/>
          <w:sz w:val="24"/>
        </w:rPr>
        <w:t>年</w:t>
      </w:r>
      <w:r>
        <w:rPr>
          <w:rFonts w:ascii="Times New Roman" w:eastAsia="宋体" w:hAnsi="Times New Roman" w:cs="Times New Roman" w:hint="eastAsia"/>
          <w:sz w:val="24"/>
        </w:rPr>
        <w:t>1</w:t>
      </w:r>
      <w:r>
        <w:rPr>
          <w:rFonts w:ascii="Times New Roman" w:eastAsia="宋体" w:hAnsi="Times New Roman" w:cs="Times New Roman" w:hint="eastAsia"/>
          <w:sz w:val="24"/>
        </w:rPr>
        <w:t>月编制的</w:t>
      </w:r>
      <w:r>
        <w:rPr>
          <w:rFonts w:ascii="Times New Roman" w:eastAsia="宋体" w:hAnsi="Times New Roman" w:cs="Times New Roman"/>
          <w:sz w:val="24"/>
        </w:rPr>
        <w:t>《泉州围头湾石井航道二期工程疏浚物综合处置配套项目数值模拟专题研究报告》。</w:t>
      </w:r>
    </w:p>
    <w:p w14:paraId="7BF3A5CF" w14:textId="77777777" w:rsidR="00EB6ADA" w:rsidRDefault="00000000">
      <w:pPr>
        <w:spacing w:line="360" w:lineRule="auto"/>
        <w:ind w:firstLineChars="200" w:firstLine="480"/>
        <w:rPr>
          <w:rFonts w:ascii="Times New Roman" w:eastAsia="宋体" w:hAnsi="Times New Roman" w:cs="Times New Roman"/>
          <w:color w:val="FF0000"/>
          <w:sz w:val="24"/>
        </w:rPr>
      </w:pPr>
      <w:r>
        <w:rPr>
          <w:rFonts w:ascii="Times New Roman" w:eastAsia="宋体" w:hAnsi="Times New Roman" w:cs="Times New Roman"/>
          <w:sz w:val="24"/>
        </w:rPr>
        <w:t>本工程</w:t>
      </w:r>
      <w:r>
        <w:rPr>
          <w:rFonts w:ascii="Times New Roman" w:eastAsia="宋体" w:hAnsi="Times New Roman" w:cs="Times New Roman" w:hint="eastAsia"/>
          <w:sz w:val="24"/>
        </w:rPr>
        <w:t>将</w:t>
      </w:r>
      <w:r>
        <w:rPr>
          <w:rFonts w:ascii="Times New Roman" w:eastAsia="宋体" w:hAnsi="Times New Roman" w:cs="Times New Roman"/>
          <w:sz w:val="24"/>
        </w:rPr>
        <w:t>航道疏浚</w:t>
      </w:r>
      <w:r>
        <w:rPr>
          <w:rFonts w:ascii="Times New Roman" w:eastAsia="宋体" w:hAnsi="Times New Roman" w:cs="Times New Roman" w:hint="eastAsia"/>
          <w:sz w:val="24"/>
        </w:rPr>
        <w:t>物</w:t>
      </w:r>
      <w:r>
        <w:rPr>
          <w:rFonts w:ascii="Times New Roman" w:eastAsia="宋体" w:hAnsi="Times New Roman" w:cs="Times New Roman"/>
          <w:sz w:val="24"/>
        </w:rPr>
        <w:t>运输到转运坑</w:t>
      </w:r>
      <w:r>
        <w:rPr>
          <w:rFonts w:ascii="Times New Roman" w:eastAsia="宋体" w:hAnsi="Times New Roman" w:cs="Times New Roman" w:hint="eastAsia"/>
          <w:sz w:val="24"/>
        </w:rPr>
        <w:t>抛掷</w:t>
      </w:r>
      <w:r>
        <w:rPr>
          <w:rFonts w:ascii="Times New Roman" w:eastAsia="宋体" w:hAnsi="Times New Roman" w:cs="Times New Roman"/>
          <w:sz w:val="24"/>
        </w:rPr>
        <w:t>，总体上</w:t>
      </w:r>
      <w:r>
        <w:rPr>
          <w:rFonts w:ascii="Times New Roman" w:eastAsia="宋体" w:hAnsi="Times New Roman" w:cs="Times New Roman" w:hint="eastAsia"/>
          <w:sz w:val="24"/>
        </w:rPr>
        <w:t>工程实施前后转运坑</w:t>
      </w:r>
      <w:r>
        <w:rPr>
          <w:rFonts w:ascii="Times New Roman" w:eastAsia="宋体" w:hAnsi="Times New Roman" w:cs="Times New Roman"/>
          <w:sz w:val="24"/>
        </w:rPr>
        <w:t>所在海域涨落潮流流态结构基本不变，对周边水域影响较小。</w:t>
      </w:r>
      <w:r>
        <w:rPr>
          <w:rFonts w:ascii="Times New Roman" w:eastAsia="宋体" w:hAnsi="Times New Roman" w:cs="Times New Roman" w:hint="eastAsia"/>
          <w:sz w:val="24"/>
        </w:rPr>
        <w:t>疏浚物抛掷</w:t>
      </w:r>
      <w:r>
        <w:rPr>
          <w:rFonts w:ascii="Times New Roman" w:eastAsia="宋体" w:hAnsi="Times New Roman" w:cs="Times New Roman"/>
          <w:sz w:val="24"/>
        </w:rPr>
        <w:t>后，平均流速变化范围主要在转运坑及其周边水域。转运坑内涨落潮过程平均流速增加，转运坑东南及西北角涨落潮过程平均流速减少，平均流速变化范围</w:t>
      </w:r>
      <w:r>
        <w:rPr>
          <w:rFonts w:ascii="Times New Roman" w:eastAsia="宋体" w:hAnsi="Times New Roman" w:cs="Times New Roman"/>
          <w:sz w:val="24"/>
        </w:rPr>
        <w:t>±0.06m/s</w:t>
      </w:r>
      <w:r>
        <w:rPr>
          <w:rFonts w:ascii="Times New Roman" w:eastAsia="宋体" w:hAnsi="Times New Roman" w:cs="Times New Roman"/>
          <w:sz w:val="24"/>
        </w:rPr>
        <w:t>。</w:t>
      </w:r>
    </w:p>
    <w:p w14:paraId="2CC65C96" w14:textId="77777777" w:rsidR="00EB6ADA" w:rsidRDefault="00000000">
      <w:pPr>
        <w:pStyle w:val="3"/>
      </w:pPr>
      <w:r>
        <w:rPr>
          <w:rFonts w:hint="eastAsia"/>
        </w:rPr>
        <w:t>3</w:t>
      </w:r>
      <w:r>
        <w:t>.2.2</w:t>
      </w:r>
      <w:r>
        <w:t>对海域泥沙冲淤变化的影响分析</w:t>
      </w:r>
    </w:p>
    <w:p w14:paraId="3D57D7EF" w14:textId="77777777" w:rsidR="00EB6ADA" w:rsidRDefault="00000000">
      <w:pPr>
        <w:pStyle w:val="10"/>
        <w:ind w:firstLine="480"/>
      </w:pPr>
      <w:bookmarkStart w:id="18" w:name="_Hlk171349711"/>
      <w:bookmarkStart w:id="19" w:name="_Hlk156556561"/>
      <w:r>
        <w:rPr>
          <w:rFonts w:hint="eastAsia"/>
        </w:rPr>
        <w:t>本项目利用石井航道二期工程剩余的</w:t>
      </w:r>
      <w:r>
        <w:rPr>
          <w:rFonts w:hint="eastAsia"/>
        </w:rPr>
        <w:t>30.91</w:t>
      </w:r>
      <w:r>
        <w:rPr>
          <w:rFonts w:hint="eastAsia"/>
        </w:rPr>
        <w:t>万</w:t>
      </w:r>
      <w:r>
        <w:rPr>
          <w:rFonts w:hint="eastAsia"/>
        </w:rPr>
        <w:t>m</w:t>
      </w:r>
      <w:r>
        <w:rPr>
          <w:rFonts w:hint="eastAsia"/>
        </w:rPr>
        <w:t>³疏浚物对转运坑进行地形恢复，疏浚物抛掷完成后，转运坑现有泥面标高由</w:t>
      </w:r>
      <w:r>
        <w:rPr>
          <w:rFonts w:hint="eastAsia"/>
        </w:rPr>
        <w:t>-6.0m</w:t>
      </w:r>
      <w:r>
        <w:rPr>
          <w:rFonts w:hint="eastAsia"/>
        </w:rPr>
        <w:t>抬高至</w:t>
      </w:r>
      <w:r>
        <w:rPr>
          <w:rFonts w:hint="eastAsia"/>
        </w:rPr>
        <w:t>-4.0m</w:t>
      </w:r>
      <w:r>
        <w:rPr>
          <w:rFonts w:hint="eastAsia"/>
        </w:rPr>
        <w:t>，有利于转运坑地形恢复。泥沙冲淤影响范围主要位于转运坑周边，对围头湾海域海底地形影响较小。</w:t>
      </w:r>
    </w:p>
    <w:p w14:paraId="6E03C3DD" w14:textId="77777777" w:rsidR="00EB6ADA" w:rsidRDefault="00000000">
      <w:pPr>
        <w:pStyle w:val="10"/>
        <w:ind w:firstLine="480"/>
      </w:pPr>
      <w:r>
        <w:rPr>
          <w:rFonts w:hint="eastAsia"/>
        </w:rPr>
        <w:t>泥驳抛泥施工时，泥驳船进入转运坑后控制航速缓慢前行，通过定位设备精准定位到达抛泥区域后，控制泥舱舱门，边航行边缓慢卸泥，整个抛泥过程约</w:t>
      </w:r>
      <w:r>
        <w:rPr>
          <w:rFonts w:hint="eastAsia"/>
        </w:rPr>
        <w:t>30</w:t>
      </w:r>
      <w:r>
        <w:rPr>
          <w:rFonts w:hint="eastAsia"/>
        </w:rPr>
        <w:t>分钟，均匀卸泥，避免集中抛泥形成浅点。疏浚物全部抛掷完成后应及时开展海底地形测量，如出现海底地形浅点应及时进行整平，避免影响海域船舶航行安全和水动力流态。</w:t>
      </w:r>
    </w:p>
    <w:bookmarkEnd w:id="18"/>
    <w:bookmarkEnd w:id="19"/>
    <w:p w14:paraId="217DDF89" w14:textId="77777777" w:rsidR="00EB6ADA" w:rsidRDefault="00000000">
      <w:pPr>
        <w:pStyle w:val="3"/>
      </w:pPr>
      <w:r>
        <w:rPr>
          <w:rFonts w:hint="eastAsia"/>
        </w:rPr>
        <w:t>3</w:t>
      </w:r>
      <w:r>
        <w:t>.2.3</w:t>
      </w:r>
      <w:r>
        <w:t>对海域水质环境的影响分析</w:t>
      </w:r>
    </w:p>
    <w:p w14:paraId="33399BA5" w14:textId="54E874C6" w:rsidR="00EB6ADA" w:rsidRDefault="00000000">
      <w:pPr>
        <w:adjustRightInd w:val="0"/>
        <w:spacing w:line="360" w:lineRule="auto"/>
        <w:ind w:firstLineChars="200" w:firstLine="480"/>
        <w:textAlignment w:val="baseline"/>
        <w:rPr>
          <w:rFonts w:ascii="Times New Roman" w:eastAsia="宋体" w:hAnsi="Times New Roman" w:cs="Times New Roman"/>
          <w:spacing w:val="-4"/>
          <w:sz w:val="24"/>
          <w:szCs w:val="28"/>
        </w:rPr>
      </w:pPr>
      <w:r>
        <w:rPr>
          <w:rFonts w:ascii="Times New Roman" w:eastAsia="宋体" w:hAnsi="Times New Roman" w:cs="Times New Roman"/>
          <w:sz w:val="24"/>
        </w:rPr>
        <w:t>根据数模研究结果，施工入海悬沙主要在作业区东、西两侧海域随涨落潮流扩散，</w:t>
      </w:r>
      <w:r>
        <w:rPr>
          <w:rFonts w:ascii="Times New Roman" w:eastAsia="宋体" w:hAnsi="Times New Roman" w:cs="Times New Roman" w:hint="eastAsia"/>
          <w:sz w:val="24"/>
        </w:rPr>
        <w:t>悬浮泥沙浓度增量</w:t>
      </w:r>
      <w:r>
        <w:rPr>
          <w:rFonts w:ascii="Times New Roman" w:eastAsia="宋体" w:hAnsi="Times New Roman" w:cs="Times New Roman"/>
          <w:sz w:val="24"/>
        </w:rPr>
        <w:t>超过</w:t>
      </w:r>
      <w:r>
        <w:rPr>
          <w:rFonts w:ascii="Times New Roman" w:eastAsia="宋体" w:hAnsi="Times New Roman" w:cs="Times New Roman"/>
          <w:sz w:val="24"/>
        </w:rPr>
        <w:t>10mg/L</w:t>
      </w:r>
      <w:r>
        <w:rPr>
          <w:rFonts w:ascii="Times New Roman" w:eastAsia="宋体" w:hAnsi="Times New Roman" w:cs="Times New Roman"/>
          <w:sz w:val="24"/>
        </w:rPr>
        <w:t>包络线东西最长约</w:t>
      </w:r>
      <w:r>
        <w:rPr>
          <w:rFonts w:ascii="Times New Roman" w:eastAsia="宋体" w:hAnsi="Times New Roman" w:cs="Times New Roman"/>
          <w:sz w:val="24"/>
        </w:rPr>
        <w:t>3.8km</w:t>
      </w:r>
      <w:r>
        <w:rPr>
          <w:rFonts w:ascii="Times New Roman" w:eastAsia="宋体" w:hAnsi="Times New Roman" w:cs="Times New Roman"/>
          <w:sz w:val="24"/>
        </w:rPr>
        <w:t>，南北最宽约</w:t>
      </w:r>
      <w:r>
        <w:rPr>
          <w:rFonts w:ascii="Times New Roman" w:eastAsia="宋体" w:hAnsi="Times New Roman" w:cs="Times New Roman"/>
          <w:sz w:val="24"/>
        </w:rPr>
        <w:t>1.2km</w:t>
      </w:r>
      <w:r>
        <w:rPr>
          <w:rFonts w:ascii="Times New Roman" w:eastAsia="宋体" w:hAnsi="Times New Roman" w:cs="Times New Roman"/>
          <w:sz w:val="24"/>
        </w:rPr>
        <w:t>，影响</w:t>
      </w:r>
      <w:r>
        <w:rPr>
          <w:rFonts w:ascii="Times New Roman" w:eastAsia="宋体" w:hAnsi="Times New Roman" w:cs="Times New Roman"/>
          <w:spacing w:val="-4"/>
          <w:sz w:val="24"/>
          <w:szCs w:val="28"/>
        </w:rPr>
        <w:t>包络面积</w:t>
      </w:r>
      <w:r>
        <w:rPr>
          <w:rFonts w:ascii="Times New Roman" w:eastAsia="宋体" w:hAnsi="Times New Roman" w:cs="Times New Roman"/>
          <w:sz w:val="24"/>
        </w:rPr>
        <w:t>5.141</w:t>
      </w:r>
      <w:r>
        <w:rPr>
          <w:rFonts w:ascii="Times New Roman" w:eastAsia="宋体" w:hAnsi="Times New Roman" w:cs="Times New Roman"/>
          <w:spacing w:val="-4"/>
          <w:sz w:val="24"/>
          <w:szCs w:val="28"/>
        </w:rPr>
        <w:t>km</w:t>
      </w:r>
      <w:r>
        <w:rPr>
          <w:rFonts w:ascii="Times New Roman" w:eastAsia="宋体" w:hAnsi="Times New Roman" w:cs="Times New Roman"/>
          <w:spacing w:val="-4"/>
          <w:sz w:val="24"/>
          <w:szCs w:val="28"/>
          <w:vertAlign w:val="superscript"/>
        </w:rPr>
        <w:t>2</w:t>
      </w:r>
      <w:r>
        <w:rPr>
          <w:rFonts w:ascii="Times New Roman" w:eastAsia="宋体" w:hAnsi="Times New Roman" w:cs="Times New Roman"/>
          <w:spacing w:val="-4"/>
          <w:sz w:val="24"/>
          <w:szCs w:val="28"/>
        </w:rPr>
        <w:t>；大于</w:t>
      </w:r>
      <w:r>
        <w:rPr>
          <w:rFonts w:ascii="Times New Roman" w:eastAsia="宋体" w:hAnsi="Times New Roman" w:cs="Times New Roman"/>
          <w:spacing w:val="-4"/>
          <w:sz w:val="24"/>
          <w:szCs w:val="28"/>
        </w:rPr>
        <w:t>100mg/L</w:t>
      </w:r>
      <w:r>
        <w:rPr>
          <w:rFonts w:ascii="Times New Roman" w:eastAsia="宋体" w:hAnsi="Times New Roman" w:cs="Times New Roman"/>
          <w:spacing w:val="-4"/>
          <w:sz w:val="24"/>
          <w:szCs w:val="28"/>
        </w:rPr>
        <w:t>的包络面积为</w:t>
      </w:r>
      <w:r>
        <w:rPr>
          <w:rFonts w:ascii="Times New Roman" w:eastAsia="宋体" w:hAnsi="Times New Roman" w:cs="Times New Roman"/>
          <w:spacing w:val="-4"/>
          <w:sz w:val="24"/>
          <w:szCs w:val="28"/>
        </w:rPr>
        <w:t>0.735km</w:t>
      </w:r>
      <w:r>
        <w:rPr>
          <w:rFonts w:ascii="Times New Roman" w:eastAsia="宋体" w:hAnsi="Times New Roman" w:cs="Times New Roman"/>
          <w:spacing w:val="-4"/>
          <w:sz w:val="24"/>
          <w:szCs w:val="28"/>
          <w:vertAlign w:val="superscript"/>
        </w:rPr>
        <w:t>2</w:t>
      </w:r>
      <w:r>
        <w:rPr>
          <w:rFonts w:ascii="Times New Roman" w:eastAsia="宋体" w:hAnsi="Times New Roman" w:cs="Times New Roman"/>
          <w:spacing w:val="-4"/>
          <w:sz w:val="24"/>
          <w:szCs w:val="28"/>
        </w:rPr>
        <w:t>，大于</w:t>
      </w:r>
      <w:r>
        <w:rPr>
          <w:rFonts w:ascii="Times New Roman" w:eastAsia="宋体" w:hAnsi="Times New Roman" w:cs="Times New Roman"/>
          <w:spacing w:val="-4"/>
          <w:sz w:val="24"/>
          <w:szCs w:val="28"/>
        </w:rPr>
        <w:t>150mg/L</w:t>
      </w:r>
      <w:r>
        <w:rPr>
          <w:rFonts w:ascii="Times New Roman" w:eastAsia="宋体" w:hAnsi="Times New Roman" w:cs="Times New Roman"/>
          <w:spacing w:val="-4"/>
          <w:sz w:val="24"/>
          <w:szCs w:val="28"/>
        </w:rPr>
        <w:t>的包络面积为</w:t>
      </w:r>
      <w:r>
        <w:rPr>
          <w:rFonts w:ascii="Times New Roman" w:eastAsia="宋体" w:hAnsi="Times New Roman" w:cs="Times New Roman"/>
          <w:sz w:val="24"/>
        </w:rPr>
        <w:t>0.449</w:t>
      </w:r>
      <w:r>
        <w:rPr>
          <w:rFonts w:ascii="Times New Roman" w:eastAsia="宋体" w:hAnsi="Times New Roman" w:cs="Times New Roman"/>
          <w:spacing w:val="-4"/>
          <w:sz w:val="24"/>
          <w:szCs w:val="28"/>
        </w:rPr>
        <w:t>km</w:t>
      </w:r>
      <w:r>
        <w:rPr>
          <w:rFonts w:ascii="Times New Roman" w:eastAsia="宋体" w:hAnsi="Times New Roman" w:cs="Times New Roman"/>
          <w:spacing w:val="-4"/>
          <w:sz w:val="24"/>
          <w:szCs w:val="28"/>
          <w:vertAlign w:val="superscript"/>
        </w:rPr>
        <w:t>2</w:t>
      </w:r>
      <w:r>
        <w:rPr>
          <w:rFonts w:ascii="Times New Roman" w:eastAsia="宋体" w:hAnsi="Times New Roman" w:cs="Times New Roman"/>
          <w:spacing w:val="-4"/>
          <w:sz w:val="24"/>
          <w:szCs w:val="28"/>
        </w:rPr>
        <w:t>。</w:t>
      </w:r>
    </w:p>
    <w:p w14:paraId="11316AE5"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建设单位于</w:t>
      </w:r>
      <w:r>
        <w:rPr>
          <w:rFonts w:ascii="Times New Roman" w:eastAsia="宋体" w:hAnsi="Times New Roman" w:cs="Times New Roman"/>
          <w:sz w:val="24"/>
        </w:rPr>
        <w:t>2024</w:t>
      </w:r>
      <w:r>
        <w:rPr>
          <w:rFonts w:ascii="Times New Roman" w:eastAsia="宋体" w:hAnsi="Times New Roman" w:cs="Times New Roman"/>
          <w:sz w:val="24"/>
        </w:rPr>
        <w:t>年第二季度</w:t>
      </w:r>
      <w:r>
        <w:rPr>
          <w:rFonts w:ascii="Times New Roman" w:eastAsia="宋体" w:hAnsi="Times New Roman" w:cs="Times New Roman"/>
          <w:sz w:val="24"/>
        </w:rPr>
        <w:t>~2025</w:t>
      </w:r>
      <w:r>
        <w:rPr>
          <w:rFonts w:ascii="Times New Roman" w:eastAsia="宋体" w:hAnsi="Times New Roman" w:cs="Times New Roman"/>
          <w:sz w:val="24"/>
        </w:rPr>
        <w:t>年第二季度每季度</w:t>
      </w:r>
      <w:r>
        <w:rPr>
          <w:rFonts w:ascii="Times New Roman" w:eastAsia="宋体" w:hAnsi="Times New Roman" w:cs="Times New Roman" w:hint="eastAsia"/>
          <w:sz w:val="24"/>
        </w:rPr>
        <w:t>组织</w:t>
      </w:r>
      <w:r>
        <w:rPr>
          <w:rFonts w:ascii="Times New Roman" w:eastAsia="宋体" w:hAnsi="Times New Roman" w:cs="Times New Roman"/>
          <w:sz w:val="24"/>
        </w:rPr>
        <w:t>开展</w:t>
      </w:r>
      <w:r>
        <w:rPr>
          <w:rFonts w:ascii="Times New Roman" w:eastAsia="宋体" w:hAnsi="Times New Roman" w:cs="Times New Roman"/>
          <w:sz w:val="24"/>
        </w:rPr>
        <w:t>1</w:t>
      </w:r>
      <w:r>
        <w:rPr>
          <w:rFonts w:ascii="Times New Roman" w:eastAsia="宋体" w:hAnsi="Times New Roman" w:cs="Times New Roman"/>
          <w:sz w:val="24"/>
        </w:rPr>
        <w:t>次施工期海洋环境影响跟踪监测，海水水质检测因子为水温、盐度、化学需氧量、悬浮物、石油类。</w:t>
      </w:r>
    </w:p>
    <w:p w14:paraId="2FDE7C07" w14:textId="6B214F1B"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lastRenderedPageBreak/>
        <w:t>根据《泉州围头湾石井航道二期工程疏浚物综合处置配套项目施工期海洋环境影响跟踪监测报告》，监测海域水质执行《海水水质标准》</w:t>
      </w:r>
      <w:r w:rsidR="004A55CE">
        <w:rPr>
          <w:rFonts w:ascii="Times New Roman" w:eastAsia="宋体" w:hAnsi="Times New Roman" w:cs="Times New Roman"/>
          <w:sz w:val="24"/>
        </w:rPr>
        <w:t>（</w:t>
      </w:r>
      <w:r>
        <w:rPr>
          <w:rFonts w:ascii="Times New Roman" w:eastAsia="宋体" w:hAnsi="Times New Roman" w:cs="Times New Roman"/>
          <w:sz w:val="24"/>
        </w:rPr>
        <w:t>GB3097-1997</w:t>
      </w:r>
      <w:r w:rsidR="004A55CE">
        <w:rPr>
          <w:rFonts w:ascii="Times New Roman" w:eastAsia="宋体" w:hAnsi="Times New Roman" w:cs="Times New Roman"/>
          <w:sz w:val="24"/>
        </w:rPr>
        <w:t>）</w:t>
      </w:r>
      <w:r>
        <w:rPr>
          <w:rFonts w:ascii="Times New Roman" w:eastAsia="宋体" w:hAnsi="Times New Roman" w:cs="Times New Roman"/>
          <w:sz w:val="24"/>
        </w:rPr>
        <w:t>第二类标准，跟踪监测期间，所有站位化学需氧量</w:t>
      </w:r>
      <w:r>
        <w:rPr>
          <w:rFonts w:ascii="Times New Roman" w:eastAsia="宋体" w:hAnsi="Times New Roman" w:cs="Times New Roman" w:hint="eastAsia"/>
          <w:sz w:val="24"/>
        </w:rPr>
        <w:t>、</w:t>
      </w:r>
      <w:r>
        <w:rPr>
          <w:rFonts w:ascii="Times New Roman" w:eastAsia="宋体" w:hAnsi="Times New Roman" w:cs="Times New Roman"/>
          <w:sz w:val="24"/>
        </w:rPr>
        <w:t>石油类含量符合海水水质标准。</w:t>
      </w:r>
    </w:p>
    <w:p w14:paraId="0548F229" w14:textId="77777777" w:rsidR="00EB6ADA" w:rsidRDefault="00000000">
      <w:pPr>
        <w:pStyle w:val="3"/>
      </w:pPr>
      <w:r>
        <w:rPr>
          <w:rFonts w:hint="eastAsia"/>
        </w:rPr>
        <w:t>3</w:t>
      </w:r>
      <w:r>
        <w:t>.2.4</w:t>
      </w:r>
      <w:r>
        <w:t>海域沉积物环境的影响</w:t>
      </w:r>
    </w:p>
    <w:p w14:paraId="5A7ECBA9" w14:textId="1D8C2752"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w:t>
      </w:r>
      <w:r>
        <w:rPr>
          <w:rFonts w:ascii="Times New Roman" w:eastAsia="宋体" w:hAnsi="Times New Roman" w:cs="Times New Roman" w:hint="eastAsia"/>
          <w:sz w:val="24"/>
        </w:rPr>
        <w:t>拟</w:t>
      </w:r>
      <w:r>
        <w:rPr>
          <w:rFonts w:ascii="Times New Roman" w:eastAsia="宋体" w:hAnsi="Times New Roman" w:cs="Times New Roman"/>
          <w:sz w:val="24"/>
        </w:rPr>
        <w:t>将石井航道二期</w:t>
      </w:r>
      <w:r>
        <w:rPr>
          <w:rFonts w:ascii="Times New Roman" w:eastAsia="宋体" w:hAnsi="Times New Roman" w:cs="Times New Roman" w:hint="eastAsia"/>
          <w:sz w:val="24"/>
        </w:rPr>
        <w:t>主航道的</w:t>
      </w:r>
      <w:r>
        <w:rPr>
          <w:rFonts w:ascii="Times New Roman" w:eastAsia="宋体" w:hAnsi="Times New Roman" w:cs="Times New Roman"/>
          <w:sz w:val="24"/>
        </w:rPr>
        <w:t>疏浚物抛掷于现有转运坑，根据</w:t>
      </w:r>
      <w:r>
        <w:rPr>
          <w:rFonts w:ascii="Times New Roman" w:eastAsia="宋体" w:hAnsi="Times New Roman" w:cs="Times New Roman"/>
          <w:sz w:val="24"/>
        </w:rPr>
        <w:t>2023</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月的沉积物质量调查结果，</w:t>
      </w:r>
      <w:r>
        <w:rPr>
          <w:rFonts w:ascii="Times New Roman" w:eastAsia="宋体" w:hAnsi="Times New Roman" w:cs="Times New Roman" w:hint="eastAsia"/>
          <w:sz w:val="24"/>
        </w:rPr>
        <w:t>航道</w:t>
      </w:r>
      <w:r>
        <w:rPr>
          <w:rFonts w:ascii="Times New Roman" w:eastAsia="宋体" w:hAnsi="Times New Roman" w:cs="Times New Roman"/>
          <w:sz w:val="24"/>
        </w:rPr>
        <w:t>疏浚区及其附近海域表层沉积物中油类、有机碳、硫化物、铜、锌、铅、镉、汞、铬和砷等的含量较低，各调查因子均能符合海洋沉积物质量第一类标准，因此疏浚物抛掷不会引起海域沉积物质量变化，对沉积物环境影响较小。</w:t>
      </w:r>
    </w:p>
    <w:p w14:paraId="4D57F826" w14:textId="77777777" w:rsidR="00EB6ADA" w:rsidRDefault="00000000">
      <w:pPr>
        <w:pStyle w:val="3"/>
      </w:pPr>
      <w:r>
        <w:rPr>
          <w:rFonts w:hint="eastAsia"/>
        </w:rPr>
        <w:t>3</w:t>
      </w:r>
      <w:r>
        <w:t>.2.5</w:t>
      </w:r>
      <w:r>
        <w:t>施工悬浮泥沙入海对海洋生物的影响</w:t>
      </w:r>
    </w:p>
    <w:p w14:paraId="42D796E8" w14:textId="77777777" w:rsidR="00EB6ADA" w:rsidRPr="00A3460E" w:rsidRDefault="00000000">
      <w:pPr>
        <w:widowControl/>
        <w:adjustRightInd w:val="0"/>
        <w:spacing w:line="360" w:lineRule="auto"/>
        <w:ind w:firstLineChars="200" w:firstLine="482"/>
        <w:rPr>
          <w:rFonts w:ascii="Times New Roman" w:eastAsia="宋体" w:hAnsi="Times New Roman" w:cs="Times New Roman"/>
          <w:b/>
          <w:bCs/>
          <w:sz w:val="24"/>
        </w:rPr>
      </w:pPr>
      <w:r w:rsidRPr="00A3460E">
        <w:rPr>
          <w:rFonts w:ascii="Times New Roman" w:eastAsia="宋体" w:hAnsi="Times New Roman" w:cs="Times New Roman" w:hint="eastAsia"/>
          <w:b/>
          <w:bCs/>
          <w:sz w:val="24"/>
        </w:rPr>
        <w:t>（</w:t>
      </w:r>
      <w:r w:rsidRPr="00A3460E">
        <w:rPr>
          <w:rFonts w:ascii="Times New Roman" w:eastAsia="宋体" w:hAnsi="Times New Roman" w:cs="Times New Roman"/>
          <w:b/>
          <w:bCs/>
          <w:sz w:val="24"/>
        </w:rPr>
        <w:t>1</w:t>
      </w:r>
      <w:r w:rsidRPr="00A3460E">
        <w:rPr>
          <w:rFonts w:ascii="Times New Roman" w:eastAsia="宋体" w:hAnsi="Times New Roman" w:cs="Times New Roman" w:hint="eastAsia"/>
          <w:b/>
          <w:bCs/>
          <w:sz w:val="24"/>
        </w:rPr>
        <w:t>）对浮游生物的影响</w:t>
      </w:r>
    </w:p>
    <w:p w14:paraId="63C51899"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施工泥沙入海导致工程区周边局部海域水质混浊，使海水的光线透射率下降，溶解氧降低，对浮游动物和浮游植物产生不同程度的不利影响。首先反应在导致海水透明度下降，溶解氧降低，不利于浮游植物的光合作用，进而影响浮游植物的细胞分裂和生长，使单位水体内浮游植物的数量降低，导致该水域内初级生产力水平下降。其次，海水中悬浮物增加，悬浮颗粒会黏附在浮游动物体表，干扰其正常的生理功能，尤其是滤食性浮游动物会吞食一定粒径的悬浮颗粒，造成内部消化系统紊乱；还将对浮游动物的生长率、摄食率、丰度、生产量及群落结构等方面的影响；此外，由于悬浮物快速下沉，有部分浮游植物被携带下沉，导致浮游植物受到一定损害。</w:t>
      </w:r>
    </w:p>
    <w:p w14:paraId="1B4D8904" w14:textId="40E48CB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数模预测结果表明，本工程施工期悬沙增量超过</w:t>
      </w:r>
      <w:r>
        <w:rPr>
          <w:rFonts w:ascii="Times New Roman" w:eastAsia="宋体" w:hAnsi="Times New Roman" w:cs="Times New Roman"/>
          <w:sz w:val="24"/>
        </w:rPr>
        <w:t>10mg/L</w:t>
      </w:r>
      <w:r>
        <w:rPr>
          <w:rFonts w:ascii="Times New Roman" w:eastAsia="宋体" w:hAnsi="Times New Roman" w:cs="Times New Roman"/>
          <w:sz w:val="24"/>
        </w:rPr>
        <w:t>水域最大影响面积为</w:t>
      </w:r>
      <w:r>
        <w:rPr>
          <w:rFonts w:ascii="Times New Roman" w:eastAsia="宋体" w:hAnsi="Times New Roman" w:cs="Times New Roman"/>
          <w:sz w:val="24"/>
        </w:rPr>
        <w:t>5.141km²</w:t>
      </w:r>
      <w:r>
        <w:rPr>
          <w:rFonts w:ascii="Times New Roman" w:eastAsia="宋体" w:hAnsi="Times New Roman" w:cs="Times New Roman"/>
          <w:sz w:val="24"/>
        </w:rPr>
        <w:t>，扩散的悬沙在</w:t>
      </w:r>
      <w:r>
        <w:rPr>
          <w:rFonts w:ascii="Times New Roman" w:eastAsia="宋体" w:hAnsi="Times New Roman" w:cs="Times New Roman"/>
          <w:sz w:val="24"/>
        </w:rPr>
        <w:t>10</w:t>
      </w:r>
      <w:r>
        <w:rPr>
          <w:rFonts w:ascii="Times New Roman" w:eastAsia="宋体" w:hAnsi="Times New Roman" w:cs="Times New Roman"/>
          <w:sz w:val="24"/>
        </w:rPr>
        <w:t>小时后基本落淤完毕，持续影响时间不长；同时较大增量的悬浮物虽然能致使</w:t>
      </w:r>
      <w:r>
        <w:rPr>
          <w:rFonts w:ascii="Times New Roman" w:eastAsia="宋体" w:hAnsi="Times New Roman" w:cs="Times New Roman" w:hint="eastAsia"/>
          <w:sz w:val="24"/>
        </w:rPr>
        <w:t>浮游生物</w:t>
      </w:r>
      <w:r>
        <w:rPr>
          <w:rFonts w:ascii="Times New Roman" w:eastAsia="宋体" w:hAnsi="Times New Roman" w:cs="Times New Roman"/>
          <w:sz w:val="24"/>
        </w:rPr>
        <w:t>死亡，但每天施工活动停止后，由于潮汐作用，会将外海</w:t>
      </w:r>
      <w:r>
        <w:rPr>
          <w:rFonts w:ascii="Times New Roman" w:eastAsia="宋体" w:hAnsi="Times New Roman" w:cs="Times New Roman" w:hint="eastAsia"/>
          <w:sz w:val="24"/>
        </w:rPr>
        <w:t>浮游生物</w:t>
      </w:r>
      <w:r>
        <w:rPr>
          <w:rFonts w:ascii="Times New Roman" w:eastAsia="宋体" w:hAnsi="Times New Roman" w:cs="Times New Roman"/>
          <w:sz w:val="24"/>
        </w:rPr>
        <w:t>带入施工区及其附近海域，使施工区</w:t>
      </w:r>
      <w:r>
        <w:rPr>
          <w:rFonts w:ascii="Times New Roman" w:eastAsia="宋体" w:hAnsi="Times New Roman" w:cs="Times New Roman" w:hint="eastAsia"/>
          <w:sz w:val="24"/>
        </w:rPr>
        <w:t>浮游生物</w:t>
      </w:r>
      <w:r>
        <w:rPr>
          <w:rFonts w:ascii="Times New Roman" w:eastAsia="宋体" w:hAnsi="Times New Roman" w:cs="Times New Roman"/>
          <w:sz w:val="24"/>
        </w:rPr>
        <w:t>得以补充，对海域浮游生物影响较小。</w:t>
      </w:r>
    </w:p>
    <w:p w14:paraId="088E135B" w14:textId="77777777" w:rsidR="00EB6ADA" w:rsidRPr="00A3460E" w:rsidRDefault="00000000">
      <w:pPr>
        <w:widowControl/>
        <w:adjustRightInd w:val="0"/>
        <w:spacing w:line="360" w:lineRule="auto"/>
        <w:ind w:firstLineChars="200" w:firstLine="482"/>
        <w:rPr>
          <w:rFonts w:ascii="Times New Roman" w:eastAsia="宋体" w:hAnsi="Times New Roman" w:cs="Times New Roman"/>
          <w:b/>
          <w:bCs/>
          <w:sz w:val="24"/>
        </w:rPr>
      </w:pPr>
      <w:r w:rsidRPr="00A3460E">
        <w:rPr>
          <w:rFonts w:ascii="Times New Roman" w:eastAsia="宋体" w:hAnsi="Times New Roman" w:cs="Times New Roman" w:hint="eastAsia"/>
          <w:b/>
          <w:bCs/>
          <w:sz w:val="24"/>
        </w:rPr>
        <w:t>（</w:t>
      </w:r>
      <w:r w:rsidRPr="00A3460E">
        <w:rPr>
          <w:rFonts w:ascii="Times New Roman" w:eastAsia="宋体" w:hAnsi="Times New Roman" w:cs="Times New Roman"/>
          <w:b/>
          <w:bCs/>
          <w:sz w:val="24"/>
        </w:rPr>
        <w:t>2</w:t>
      </w:r>
      <w:r w:rsidRPr="00A3460E">
        <w:rPr>
          <w:rFonts w:ascii="Times New Roman" w:eastAsia="宋体" w:hAnsi="Times New Roman" w:cs="Times New Roman" w:hint="eastAsia"/>
          <w:b/>
          <w:bCs/>
          <w:sz w:val="24"/>
        </w:rPr>
        <w:t>）对底栖生物的影响</w:t>
      </w:r>
    </w:p>
    <w:p w14:paraId="4D8946AD"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施工悬浮泥沙沉降也将改变施工点周围原有底栖生物生境，</w:t>
      </w:r>
      <w:r>
        <w:rPr>
          <w:rFonts w:ascii="Times New Roman" w:eastAsia="宋体" w:hAnsi="Times New Roman" w:cs="Times New Roman" w:hint="eastAsia"/>
          <w:sz w:val="24"/>
        </w:rPr>
        <w:t>悬浮泥沙二次沉降</w:t>
      </w:r>
      <w:r>
        <w:rPr>
          <w:rFonts w:ascii="Times New Roman" w:eastAsia="宋体" w:hAnsi="Times New Roman" w:cs="Times New Roman"/>
          <w:sz w:val="24"/>
        </w:rPr>
        <w:t>将覆盖原有滩涂表面，生存于底质表层的底栖动物（如虾类）会因缺氧窒息和机械压迫而死亡；常年生存于底质内部的底栖动物（如沙蚕、有壳软体类）绝大多数仍能正常存活；活动能力较强的底栖动物（如鰕虎鱼）在受到惊扰后，会迅速逃离受污染的区域。施工结束后一段时间内，工程区附近海域受影响的底栖生物群落将重新分布、恢复或重建，对附近海域底栖生物生物量、密度、种群结构等影响不大。</w:t>
      </w:r>
    </w:p>
    <w:p w14:paraId="266932AA" w14:textId="77777777" w:rsidR="00EB6ADA" w:rsidRPr="00A3460E" w:rsidRDefault="00000000" w:rsidP="00A3460E">
      <w:pPr>
        <w:keepNext/>
        <w:adjustRightInd w:val="0"/>
        <w:spacing w:line="360" w:lineRule="auto"/>
        <w:ind w:firstLineChars="200" w:firstLine="482"/>
        <w:rPr>
          <w:rFonts w:ascii="Times New Roman" w:eastAsia="宋体" w:hAnsi="Times New Roman" w:cs="Times New Roman"/>
          <w:b/>
          <w:bCs/>
          <w:sz w:val="24"/>
        </w:rPr>
      </w:pPr>
      <w:r w:rsidRPr="00A3460E">
        <w:rPr>
          <w:rFonts w:ascii="Times New Roman" w:eastAsia="宋体" w:hAnsi="Times New Roman" w:cs="Times New Roman" w:hint="eastAsia"/>
          <w:b/>
          <w:bCs/>
          <w:sz w:val="24"/>
        </w:rPr>
        <w:lastRenderedPageBreak/>
        <w:t>（</w:t>
      </w:r>
      <w:r w:rsidRPr="00A3460E">
        <w:rPr>
          <w:rFonts w:ascii="Times New Roman" w:eastAsia="宋体" w:hAnsi="Times New Roman" w:cs="Times New Roman"/>
          <w:b/>
          <w:bCs/>
          <w:sz w:val="24"/>
        </w:rPr>
        <w:t>3</w:t>
      </w:r>
      <w:r w:rsidRPr="00A3460E">
        <w:rPr>
          <w:rFonts w:ascii="Times New Roman" w:eastAsia="宋体" w:hAnsi="Times New Roman" w:cs="Times New Roman" w:hint="eastAsia"/>
          <w:b/>
          <w:bCs/>
          <w:sz w:val="24"/>
        </w:rPr>
        <w:t>）对鱼卵、仔稚鱼的影响</w:t>
      </w:r>
    </w:p>
    <w:p w14:paraId="2CC9791A" w14:textId="77777777" w:rsidR="00EB6ADA" w:rsidRDefault="00000000" w:rsidP="00A3460E">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施工期间，高浓度悬浮颗粒扩散场对海洋生物仔幼体会造成伤害，主要表现为影响胚胎发育，悬浮物堵塞生物的鳃部造成窒息死亡，大量悬浮物造成水体严重缺氧而导致生物死亡，悬浮物有害物质二次污染造成生物死亡等。不同种类的海洋生物对悬浮物浓度的忍受限度不同，一般说来，仔幼体对悬浮物浓度的忍受限度比成鱼低得多。根据渔业水质</w:t>
      </w:r>
      <w:r>
        <w:rPr>
          <w:rFonts w:ascii="Times New Roman" w:eastAsia="宋体" w:hAnsi="Times New Roman" w:cs="Times New Roman" w:hint="eastAsia"/>
          <w:sz w:val="24"/>
        </w:rPr>
        <w:t>相关</w:t>
      </w:r>
      <w:r>
        <w:rPr>
          <w:rFonts w:ascii="Times New Roman" w:eastAsia="宋体" w:hAnsi="Times New Roman" w:cs="Times New Roman"/>
          <w:sz w:val="24"/>
        </w:rPr>
        <w:t>标准要求，渔业水域的水质，悬浮物质人为增加的量不得超过</w:t>
      </w:r>
      <w:r>
        <w:rPr>
          <w:rFonts w:ascii="Times New Roman" w:eastAsia="宋体" w:hAnsi="Times New Roman" w:cs="Times New Roman"/>
          <w:sz w:val="24"/>
        </w:rPr>
        <w:t>10mg/L</w:t>
      </w:r>
      <w:r>
        <w:rPr>
          <w:rFonts w:ascii="Times New Roman" w:eastAsia="宋体" w:hAnsi="Times New Roman" w:cs="Times New Roman"/>
          <w:sz w:val="24"/>
        </w:rPr>
        <w:t>。根据预测结果，引起海水中悬浮物的人为增量超过</w:t>
      </w:r>
      <w:r>
        <w:rPr>
          <w:rFonts w:ascii="Times New Roman" w:eastAsia="宋体" w:hAnsi="Times New Roman" w:cs="Times New Roman"/>
          <w:sz w:val="24"/>
        </w:rPr>
        <w:t>10mg/L</w:t>
      </w:r>
      <w:r>
        <w:rPr>
          <w:rFonts w:ascii="Times New Roman" w:eastAsia="宋体" w:hAnsi="Times New Roman" w:cs="Times New Roman"/>
          <w:sz w:val="24"/>
        </w:rPr>
        <w:t>的最大影响范围约</w:t>
      </w:r>
      <w:r>
        <w:rPr>
          <w:rFonts w:ascii="Times New Roman" w:eastAsia="宋体" w:hAnsi="Times New Roman" w:cs="Times New Roman"/>
          <w:sz w:val="24"/>
        </w:rPr>
        <w:t>5.141km²</w:t>
      </w:r>
      <w:r>
        <w:rPr>
          <w:rFonts w:ascii="Times New Roman" w:eastAsia="宋体" w:hAnsi="Times New Roman" w:cs="Times New Roman"/>
          <w:sz w:val="24"/>
        </w:rPr>
        <w:t>，在此水域范围内，鱼卵、仔稚鱼可能会受悬浮泥沙影响。</w:t>
      </w:r>
    </w:p>
    <w:p w14:paraId="4837B003" w14:textId="77777777" w:rsidR="00EB6ADA" w:rsidRPr="00A3460E" w:rsidRDefault="00000000">
      <w:pPr>
        <w:keepNext/>
        <w:adjustRightInd w:val="0"/>
        <w:spacing w:line="360" w:lineRule="auto"/>
        <w:ind w:firstLineChars="200" w:firstLine="482"/>
        <w:rPr>
          <w:rFonts w:ascii="Times New Roman" w:eastAsia="宋体" w:hAnsi="Times New Roman" w:cs="Times New Roman"/>
          <w:b/>
          <w:bCs/>
          <w:sz w:val="24"/>
        </w:rPr>
      </w:pPr>
      <w:r w:rsidRPr="00A3460E">
        <w:rPr>
          <w:rFonts w:ascii="Times New Roman" w:eastAsia="宋体" w:hAnsi="Times New Roman" w:cs="Times New Roman" w:hint="eastAsia"/>
          <w:b/>
          <w:bCs/>
          <w:sz w:val="24"/>
        </w:rPr>
        <w:t>（</w:t>
      </w:r>
      <w:r w:rsidRPr="00A3460E">
        <w:rPr>
          <w:rFonts w:ascii="Times New Roman" w:eastAsia="宋体" w:hAnsi="Times New Roman" w:cs="Times New Roman"/>
          <w:b/>
          <w:bCs/>
          <w:sz w:val="24"/>
        </w:rPr>
        <w:t>4</w:t>
      </w:r>
      <w:r w:rsidRPr="00A3460E">
        <w:rPr>
          <w:rFonts w:ascii="Times New Roman" w:eastAsia="宋体" w:hAnsi="Times New Roman" w:cs="Times New Roman" w:hint="eastAsia"/>
          <w:b/>
          <w:bCs/>
          <w:sz w:val="24"/>
        </w:rPr>
        <w:t>）对游泳动物的影响</w:t>
      </w:r>
    </w:p>
    <w:p w14:paraId="1B684D91" w14:textId="77777777" w:rsidR="00EB6ADA" w:rsidRDefault="00000000">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海水中悬浮物在许多方面对游泳动物产生不同影响。首先是水体中悬浮微粒过多时将导致水的混浊度增大，透明度降低现象，不利于天然饵料的繁殖生长，其次水中大量存在的悬浮物也会使游泳生物特别是鱼类造成呼吸困难和窒息现象。另外，悬浮物扩散场还会导致鱼类的回避反应，产生</w:t>
      </w:r>
      <w:r>
        <w:rPr>
          <w:rFonts w:ascii="Times New Roman" w:eastAsia="宋体" w:hAnsi="Times New Roman" w:cs="Times New Roman"/>
          <w:sz w:val="24"/>
        </w:rPr>
        <w:t>“</w:t>
      </w:r>
      <w:r>
        <w:rPr>
          <w:rFonts w:ascii="Times New Roman" w:eastAsia="宋体" w:hAnsi="Times New Roman" w:cs="Times New Roman"/>
          <w:sz w:val="24"/>
        </w:rPr>
        <w:t>驱散效应</w:t>
      </w:r>
      <w:r>
        <w:rPr>
          <w:rFonts w:ascii="Times New Roman" w:eastAsia="宋体" w:hAnsi="Times New Roman" w:cs="Times New Roman"/>
          <w:sz w:val="24"/>
        </w:rPr>
        <w:t>”</w:t>
      </w:r>
      <w:r>
        <w:rPr>
          <w:rFonts w:ascii="Times New Roman" w:eastAsia="宋体" w:hAnsi="Times New Roman" w:cs="Times New Roman"/>
          <w:sz w:val="24"/>
        </w:rPr>
        <w:t>。考虑到自然生长的鱼类具有相对较强的避害能力，在作业期间海水混浊时，成鱼一般会自动避开，而虾蟹类因其本身的生活习性，大多对悬浮泥沙有较强的抗性，因此施工悬浮泥沙对海域游泳动物的影响较小。</w:t>
      </w:r>
    </w:p>
    <w:p w14:paraId="0B746B6D" w14:textId="77777777" w:rsidR="00EB6ADA" w:rsidRDefault="00000000">
      <w:pPr>
        <w:pStyle w:val="3"/>
      </w:pPr>
      <w:r>
        <w:rPr>
          <w:rFonts w:hint="eastAsia"/>
        </w:rPr>
        <w:t>3</w:t>
      </w:r>
      <w:r>
        <w:t>.2.6</w:t>
      </w:r>
      <w:r>
        <w:t>对生态保护红线区的影响</w:t>
      </w:r>
    </w:p>
    <w:p w14:paraId="152C92EC" w14:textId="02C3761C" w:rsidR="00EB6ADA" w:rsidRDefault="00000000" w:rsidP="00A3460E">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项目距离</w:t>
      </w:r>
      <w:r>
        <w:rPr>
          <w:rFonts w:ascii="宋体" w:eastAsia="宋体" w:hAnsi="宋体" w:cs="宋体" w:hint="eastAsia"/>
          <w:sz w:val="24"/>
        </w:rPr>
        <w:t>“小百屿生态保护红线区”</w:t>
      </w:r>
      <w:r>
        <w:rPr>
          <w:rFonts w:ascii="Times New Roman" w:eastAsia="宋体" w:hAnsi="Times New Roman" w:cs="Times New Roman"/>
          <w:sz w:val="24"/>
        </w:rPr>
        <w:t>3.8km</w:t>
      </w:r>
      <w:r>
        <w:rPr>
          <w:rFonts w:ascii="Times New Roman" w:eastAsia="宋体" w:hAnsi="Times New Roman" w:cs="Times New Roman" w:hint="eastAsia"/>
          <w:sz w:val="24"/>
        </w:rPr>
        <w:t>，</w:t>
      </w:r>
      <w:r>
        <w:rPr>
          <w:rFonts w:ascii="Times New Roman" w:eastAsia="宋体" w:hAnsi="Times New Roman" w:cs="Times New Roman"/>
          <w:sz w:val="24"/>
        </w:rPr>
        <w:t>施工悬浮泥沙及冲淤变化产生的影响主要集中在用海区附近，对小百屿生态保护红线区没有影响。</w:t>
      </w:r>
    </w:p>
    <w:p w14:paraId="6A0D2A91" w14:textId="77777777" w:rsidR="00EB6ADA" w:rsidRDefault="00000000">
      <w:pPr>
        <w:pStyle w:val="3"/>
      </w:pPr>
      <w:r>
        <w:rPr>
          <w:rFonts w:hint="eastAsia"/>
        </w:rPr>
        <w:t>3</w:t>
      </w:r>
      <w:r>
        <w:t>.2.7</w:t>
      </w:r>
      <w:r>
        <w:t>对中华白海豚的影响</w:t>
      </w:r>
    </w:p>
    <w:p w14:paraId="1626FDC8"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根据中华白海豚分布情况调查，围头湾是中华白海豚的活动区域</w:t>
      </w:r>
      <w:r>
        <w:rPr>
          <w:rFonts w:ascii="Times New Roman" w:eastAsia="宋体" w:hAnsi="Times New Roman" w:cs="Times New Roman" w:hint="eastAsia"/>
          <w:sz w:val="24"/>
        </w:rPr>
        <w:t>之一</w:t>
      </w:r>
      <w:r>
        <w:rPr>
          <w:rFonts w:ascii="Times New Roman" w:eastAsia="宋体" w:hAnsi="Times New Roman" w:cs="Times New Roman"/>
          <w:sz w:val="24"/>
        </w:rPr>
        <w:t>，以下分析项目用海对中华白海豚的影响。</w:t>
      </w:r>
    </w:p>
    <w:p w14:paraId="70E293DB" w14:textId="77777777" w:rsidR="00EB6ADA" w:rsidRDefault="00000000">
      <w:pPr>
        <w:pStyle w:val="4"/>
      </w:pPr>
      <w:r>
        <w:rPr>
          <w:rFonts w:hint="eastAsia"/>
        </w:rPr>
        <w:t>3</w:t>
      </w:r>
      <w:r>
        <w:t>.2.7.1</w:t>
      </w:r>
      <w:r>
        <w:t>原项目对中华白海豚的影响</w:t>
      </w:r>
    </w:p>
    <w:p w14:paraId="3F4F2D39" w14:textId="360C8564"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《泉州围头湾石井航道二期工程疏浚物综合处置配套项目环境影响报告书》于</w:t>
      </w: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4</w:t>
      </w:r>
      <w:r>
        <w:rPr>
          <w:rFonts w:ascii="Times New Roman" w:eastAsia="宋体" w:hAnsi="Times New Roman" w:cs="Times New Roman"/>
          <w:sz w:val="24"/>
        </w:rPr>
        <w:t>月取得泉州市生态环境局批复，环评报告对中华白海豚的影响分析主要结论及提出的中华白海豚保护措施如下：</w:t>
      </w:r>
    </w:p>
    <w:p w14:paraId="5B86B680" w14:textId="77777777" w:rsidR="00EB6ADA" w:rsidRPr="00A3460E" w:rsidRDefault="00000000">
      <w:pPr>
        <w:widowControl/>
        <w:adjustRightInd w:val="0"/>
        <w:spacing w:line="360" w:lineRule="auto"/>
        <w:ind w:firstLineChars="200" w:firstLine="482"/>
        <w:rPr>
          <w:rFonts w:ascii="Times New Roman" w:eastAsia="宋体" w:hAnsi="Times New Roman" w:cs="Times New Roman"/>
          <w:b/>
          <w:bCs/>
          <w:sz w:val="24"/>
        </w:rPr>
      </w:pPr>
      <w:r w:rsidRPr="00A3460E">
        <w:rPr>
          <w:rFonts w:ascii="Times New Roman" w:eastAsia="宋体" w:hAnsi="Times New Roman" w:cs="Times New Roman" w:hint="eastAsia"/>
          <w:b/>
          <w:bCs/>
          <w:sz w:val="24"/>
        </w:rPr>
        <w:t>（</w:t>
      </w:r>
      <w:r w:rsidRPr="00A3460E">
        <w:rPr>
          <w:rFonts w:ascii="Times New Roman" w:eastAsia="宋体" w:hAnsi="Times New Roman" w:cs="Times New Roman"/>
          <w:b/>
          <w:bCs/>
          <w:sz w:val="24"/>
        </w:rPr>
        <w:t>1</w:t>
      </w:r>
      <w:r w:rsidRPr="00A3460E">
        <w:rPr>
          <w:rFonts w:ascii="Times New Roman" w:eastAsia="宋体" w:hAnsi="Times New Roman" w:cs="Times New Roman" w:hint="eastAsia"/>
          <w:b/>
          <w:bCs/>
          <w:sz w:val="24"/>
        </w:rPr>
        <w:t>）施工期悬浮泥沙扩散对中华白海豚的影响</w:t>
      </w:r>
    </w:p>
    <w:p w14:paraId="5A1441B0" w14:textId="77777777" w:rsidR="00EB6ADA" w:rsidRDefault="00000000">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从生理结构上来说，中华白海豚是用肺呼吸的水生哺乳动物，视觉不发达，主要靠位于头部的回声定位系统来探测周围环境和识别物体，进行摄食活动和个体间的沟通联系，因此推测水中泥沙悬浮物的增加对中华白海豚的摄食影响较小。</w:t>
      </w:r>
    </w:p>
    <w:p w14:paraId="5628DA13"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lastRenderedPageBreak/>
        <w:t>从生态习性上来说，中华白海豚长期生活在河口海域，通常河口海域水体较浑浊，表明中华白海豚对浑浊水体具有一定的适应性。一般来说，海水中的悬浮泥沙增量不超过</w:t>
      </w:r>
      <w:r>
        <w:rPr>
          <w:rFonts w:ascii="Times New Roman" w:eastAsia="宋体" w:hAnsi="Times New Roman" w:cs="Times New Roman"/>
          <w:sz w:val="24"/>
        </w:rPr>
        <w:t>10mg/L</w:t>
      </w:r>
      <w:r>
        <w:rPr>
          <w:rFonts w:ascii="Times New Roman" w:eastAsia="宋体" w:hAnsi="Times New Roman" w:cs="Times New Roman"/>
          <w:sz w:val="24"/>
        </w:rPr>
        <w:t>时，中华白海豚是可以自由活动的。</w:t>
      </w:r>
    </w:p>
    <w:p w14:paraId="7842DC45"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从行为学上来说，中华白海豚长期的进化也使其对外界环境变化具有一定的趋避能力。假设海水中的悬浮泥沙明显影响了白海豚的正常活动，白海豚将会选择逃避来减少受到的伤害。而且中华白海豚对悬浮泥沙有一定的耐受性，由此可知本项目产生的悬浮泥沙对白海豚的影响非常有限。但考虑悬浮泥沙对工程海域的浮游生物、底栖生物、游泳动物造成一定程度的影响，即对白海豚赖以生存的饵料环境存在一定的影响，因此在进行施工作业时，应采取严格的环保措施减少悬浮泥沙的产生量。</w:t>
      </w:r>
    </w:p>
    <w:p w14:paraId="38094D4F" w14:textId="77777777" w:rsidR="00EB6ADA" w:rsidRPr="00A3460E" w:rsidRDefault="00000000">
      <w:pPr>
        <w:widowControl/>
        <w:adjustRightInd w:val="0"/>
        <w:spacing w:line="360" w:lineRule="auto"/>
        <w:ind w:firstLineChars="200" w:firstLine="482"/>
        <w:rPr>
          <w:rFonts w:ascii="Times New Roman" w:eastAsia="宋体" w:hAnsi="Times New Roman" w:cs="Times New Roman"/>
          <w:b/>
          <w:bCs/>
          <w:sz w:val="24"/>
        </w:rPr>
      </w:pPr>
      <w:r w:rsidRPr="00A3460E">
        <w:rPr>
          <w:rFonts w:ascii="Times New Roman" w:eastAsia="宋体" w:hAnsi="Times New Roman" w:cs="Times New Roman" w:hint="eastAsia"/>
          <w:b/>
          <w:bCs/>
          <w:sz w:val="24"/>
        </w:rPr>
        <w:t>（</w:t>
      </w:r>
      <w:r w:rsidRPr="00A3460E">
        <w:rPr>
          <w:rFonts w:ascii="Times New Roman" w:eastAsia="宋体" w:hAnsi="Times New Roman" w:cs="Times New Roman"/>
          <w:b/>
          <w:bCs/>
          <w:sz w:val="24"/>
        </w:rPr>
        <w:t>2</w:t>
      </w:r>
      <w:r w:rsidRPr="00A3460E">
        <w:rPr>
          <w:rFonts w:ascii="Times New Roman" w:eastAsia="宋体" w:hAnsi="Times New Roman" w:cs="Times New Roman" w:hint="eastAsia"/>
          <w:b/>
          <w:bCs/>
          <w:sz w:val="24"/>
        </w:rPr>
        <w:t>）施工期水下噪声对中华白海豚的影响</w:t>
      </w:r>
    </w:p>
    <w:p w14:paraId="57E7AE7B" w14:textId="1744DF6C"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施工期水下</w:t>
      </w:r>
      <w:r>
        <w:rPr>
          <w:rFonts w:ascii="Times New Roman" w:eastAsia="宋体" w:hAnsi="Times New Roman" w:cs="Times New Roman" w:hint="eastAsia"/>
          <w:sz w:val="24"/>
        </w:rPr>
        <w:t>噪声</w:t>
      </w:r>
      <w:r>
        <w:rPr>
          <w:rFonts w:ascii="Times New Roman" w:eastAsia="宋体" w:hAnsi="Times New Roman" w:cs="Times New Roman"/>
          <w:sz w:val="24"/>
        </w:rPr>
        <w:t>对中华白海豚的影响主要考虑机械</w:t>
      </w:r>
      <w:r>
        <w:rPr>
          <w:rFonts w:ascii="Times New Roman" w:eastAsia="宋体" w:hAnsi="Times New Roman" w:cs="Times New Roman" w:hint="eastAsia"/>
          <w:sz w:val="24"/>
        </w:rPr>
        <w:t>噪声</w:t>
      </w:r>
      <w:r>
        <w:rPr>
          <w:rFonts w:ascii="Times New Roman" w:eastAsia="宋体" w:hAnsi="Times New Roman" w:cs="Times New Roman"/>
          <w:sz w:val="24"/>
        </w:rPr>
        <w:t>，总的噪声谱级低于美国国家海洋渔业机构（</w:t>
      </w:r>
      <w:r>
        <w:rPr>
          <w:rFonts w:ascii="Times New Roman" w:eastAsia="宋体" w:hAnsi="Times New Roman" w:cs="Times New Roman"/>
          <w:sz w:val="24"/>
        </w:rPr>
        <w:t>NMFS</w:t>
      </w:r>
      <w:r>
        <w:rPr>
          <w:rFonts w:ascii="Times New Roman" w:eastAsia="宋体" w:hAnsi="Times New Roman" w:cs="Times New Roman"/>
          <w:sz w:val="24"/>
        </w:rPr>
        <w:t>）颁布的鲸类最大可承受声压标准</w:t>
      </w:r>
      <w:r>
        <w:rPr>
          <w:rFonts w:ascii="Times New Roman" w:eastAsia="宋体" w:hAnsi="Times New Roman" w:cs="Times New Roman"/>
          <w:sz w:val="24"/>
        </w:rPr>
        <w:t>180dB</w:t>
      </w:r>
      <w:r>
        <w:rPr>
          <w:rFonts w:ascii="Times New Roman" w:eastAsia="宋体" w:hAnsi="Times New Roman" w:cs="Times New Roman"/>
          <w:sz w:val="24"/>
        </w:rPr>
        <w:t>（许鹭芬等，水下爆破的声压测量及其对海洋生物的影响）且施工噪声具有间歇性，声波在传播中随距离的增加成反平方规律衰减。另外，中华白海豚通常可在喧闹的海洋环境噪声下嬉戏、生存，具有一定的抗水下环境噪声干扰的能力，</w:t>
      </w:r>
      <w:r w:rsidR="004002F0">
        <w:rPr>
          <w:rFonts w:ascii="Times New Roman" w:eastAsia="宋体" w:hAnsi="Times New Roman" w:cs="Times New Roman" w:hint="eastAsia"/>
          <w:sz w:val="24"/>
        </w:rPr>
        <w:t>并</w:t>
      </w:r>
      <w:r>
        <w:rPr>
          <w:rFonts w:ascii="Times New Roman" w:eastAsia="宋体" w:hAnsi="Times New Roman" w:cs="Times New Roman"/>
          <w:sz w:val="24"/>
        </w:rPr>
        <w:t>且中华白海豚等海洋生物在受到噪声影响时会自动避开游向远处，因此，施工船舶产生的水下噪声不会对宽阔海域的中华白海豚带来大的影响。</w:t>
      </w:r>
    </w:p>
    <w:p w14:paraId="6E1D9C44" w14:textId="77777777" w:rsidR="00EB6ADA" w:rsidRDefault="00000000">
      <w:pPr>
        <w:widowControl/>
        <w:adjustRightIn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b/>
          <w:bCs/>
          <w:sz w:val="24"/>
        </w:rPr>
        <w:t>（</w:t>
      </w:r>
      <w:r>
        <w:rPr>
          <w:rFonts w:ascii="Times New Roman" w:eastAsia="宋体" w:hAnsi="Times New Roman" w:cs="Times New Roman"/>
          <w:b/>
          <w:bCs/>
          <w:sz w:val="24"/>
        </w:rPr>
        <w:t>3</w:t>
      </w:r>
      <w:r>
        <w:rPr>
          <w:rFonts w:ascii="Times New Roman" w:eastAsia="宋体" w:hAnsi="Times New Roman" w:cs="Times New Roman"/>
          <w:b/>
          <w:bCs/>
          <w:sz w:val="24"/>
        </w:rPr>
        <w:t>）中华白海豚保护措施</w:t>
      </w:r>
    </w:p>
    <w:p w14:paraId="0100D903"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在船舶</w:t>
      </w:r>
      <w:r>
        <w:rPr>
          <w:rFonts w:ascii="Times New Roman" w:eastAsia="宋体" w:hAnsi="Times New Roman" w:cs="Times New Roman" w:hint="eastAsia"/>
          <w:sz w:val="24"/>
        </w:rPr>
        <w:t>通航和疏浚物抛掷作业</w:t>
      </w:r>
      <w:r>
        <w:rPr>
          <w:rFonts w:ascii="Times New Roman" w:eastAsia="宋体" w:hAnsi="Times New Roman" w:cs="Times New Roman"/>
          <w:sz w:val="24"/>
        </w:rPr>
        <w:t>时，注意观察施工船舶周围区域是否有中华白海豚出入，若发现中华白海豚出现在工程区附近海域，应立即停止施工作业，观察避让中华白海豚，避免施工机械突然开动对中华白海豚造成惊吓，以及</w:t>
      </w:r>
      <w:r>
        <w:rPr>
          <w:rFonts w:ascii="Times New Roman" w:eastAsia="宋体" w:hAnsi="Times New Roman" w:cs="Times New Roman" w:hint="eastAsia"/>
          <w:sz w:val="24"/>
        </w:rPr>
        <w:t>螺旋桨</w:t>
      </w:r>
      <w:r>
        <w:rPr>
          <w:rFonts w:ascii="Times New Roman" w:eastAsia="宋体" w:hAnsi="Times New Roman" w:cs="Times New Roman"/>
          <w:sz w:val="24"/>
        </w:rPr>
        <w:t>和机器对海豚的直接击伤。施工船舶航行时应密切观察海面，一旦发现有中华白海豚活动应立即停航，待中华白海豚离开后方可航行，航速不能超过</w:t>
      </w:r>
      <w:r>
        <w:rPr>
          <w:rFonts w:ascii="Times New Roman" w:eastAsia="宋体" w:hAnsi="Times New Roman" w:cs="Times New Roman"/>
          <w:sz w:val="24"/>
        </w:rPr>
        <w:t>8</w:t>
      </w:r>
      <w:r>
        <w:rPr>
          <w:rFonts w:ascii="Times New Roman" w:eastAsia="宋体" w:hAnsi="Times New Roman" w:cs="Times New Roman"/>
          <w:sz w:val="24"/>
        </w:rPr>
        <w:t>节。</w:t>
      </w:r>
    </w:p>
    <w:p w14:paraId="189208C1" w14:textId="77777777" w:rsidR="00EB6ADA" w:rsidRDefault="00000000">
      <w:pPr>
        <w:pStyle w:val="4"/>
      </w:pPr>
      <w:r>
        <w:rPr>
          <w:rFonts w:hint="eastAsia"/>
        </w:rPr>
        <w:t>3</w:t>
      </w:r>
      <w:r>
        <w:t>.2.7.2</w:t>
      </w:r>
      <w:r>
        <w:t>项目施工前后中华白海豚的分布情况比较</w:t>
      </w:r>
    </w:p>
    <w:p w14:paraId="3566A497"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转运坑于</w:t>
      </w:r>
      <w:r>
        <w:rPr>
          <w:rFonts w:ascii="Times New Roman" w:eastAsia="宋体" w:hAnsi="Times New Roman" w:cs="Times New Roman"/>
          <w:sz w:val="24"/>
        </w:rPr>
        <w:t>2020</w:t>
      </w:r>
      <w:r>
        <w:rPr>
          <w:rFonts w:ascii="Times New Roman" w:eastAsia="宋体" w:hAnsi="Times New Roman" w:cs="Times New Roman"/>
          <w:sz w:val="24"/>
        </w:rPr>
        <w:t>年</w:t>
      </w:r>
      <w:r>
        <w:rPr>
          <w:rFonts w:ascii="Times New Roman" w:eastAsia="宋体" w:hAnsi="Times New Roman" w:cs="Times New Roman"/>
          <w:sz w:val="24"/>
        </w:rPr>
        <w:t>11</w:t>
      </w:r>
      <w:r>
        <w:rPr>
          <w:rFonts w:ascii="Times New Roman" w:eastAsia="宋体" w:hAnsi="Times New Roman" w:cs="Times New Roman"/>
          <w:sz w:val="24"/>
        </w:rPr>
        <w:t>月开工建设，于</w:t>
      </w:r>
      <w:r>
        <w:rPr>
          <w:rFonts w:ascii="Times New Roman" w:eastAsia="宋体" w:hAnsi="Times New Roman" w:cs="Times New Roman"/>
          <w:sz w:val="24"/>
        </w:rPr>
        <w:t>2021</w:t>
      </w:r>
      <w:r>
        <w:rPr>
          <w:rFonts w:ascii="Times New Roman" w:eastAsia="宋体" w:hAnsi="Times New Roman" w:cs="Times New Roman"/>
          <w:sz w:val="24"/>
        </w:rPr>
        <w:t>年</w:t>
      </w:r>
      <w:r>
        <w:rPr>
          <w:rFonts w:ascii="Times New Roman" w:eastAsia="宋体" w:hAnsi="Times New Roman" w:cs="Times New Roman"/>
          <w:sz w:val="24"/>
        </w:rPr>
        <w:t>1</w:t>
      </w:r>
      <w:r>
        <w:rPr>
          <w:rFonts w:ascii="Times New Roman" w:eastAsia="宋体" w:hAnsi="Times New Roman" w:cs="Times New Roman"/>
          <w:sz w:val="24"/>
        </w:rPr>
        <w:t>月投入使用。经对比</w:t>
      </w:r>
      <w:r>
        <w:rPr>
          <w:rFonts w:ascii="Times New Roman" w:eastAsia="宋体" w:hAnsi="Times New Roman" w:cs="Times New Roman"/>
          <w:sz w:val="24"/>
        </w:rPr>
        <w:t>2018-2019</w:t>
      </w:r>
      <w:r>
        <w:rPr>
          <w:rFonts w:ascii="Times New Roman" w:eastAsia="宋体" w:hAnsi="Times New Roman" w:cs="Times New Roman"/>
          <w:sz w:val="24"/>
        </w:rPr>
        <w:t>年施工前与</w:t>
      </w:r>
      <w:r>
        <w:rPr>
          <w:rFonts w:ascii="Times New Roman" w:eastAsia="宋体" w:hAnsi="Times New Roman" w:cs="Times New Roman"/>
          <w:sz w:val="24"/>
        </w:rPr>
        <w:t>2022</w:t>
      </w:r>
      <w:r>
        <w:rPr>
          <w:rFonts w:ascii="Times New Roman" w:eastAsia="宋体" w:hAnsi="Times New Roman" w:cs="Times New Roman"/>
          <w:sz w:val="24"/>
        </w:rPr>
        <w:t>年施工期的中华白海豚调查资料（见</w:t>
      </w:r>
      <w:r>
        <w:rPr>
          <w:rFonts w:ascii="Times New Roman" w:eastAsia="宋体" w:hAnsi="Times New Roman" w:cs="Times New Roman" w:hint="eastAsia"/>
          <w:sz w:val="24"/>
        </w:rPr>
        <w:t>2</w:t>
      </w:r>
      <w:r>
        <w:rPr>
          <w:rFonts w:ascii="Times New Roman" w:eastAsia="宋体" w:hAnsi="Times New Roman" w:cs="Times New Roman"/>
          <w:sz w:val="24"/>
        </w:rPr>
        <w:t>.2.7</w:t>
      </w:r>
      <w:r>
        <w:rPr>
          <w:rFonts w:ascii="Times New Roman" w:eastAsia="宋体" w:hAnsi="Times New Roman" w:cs="Times New Roman"/>
          <w:sz w:val="24"/>
        </w:rPr>
        <w:t>章节），原项目施工后仍有一定数量的中华白海豚在围头湾出现。施工期间未发现对中华白海豚的活动造成明显影响。</w:t>
      </w:r>
    </w:p>
    <w:p w14:paraId="3DC4F6FB" w14:textId="77777777" w:rsidR="00EB6ADA" w:rsidRDefault="00000000">
      <w:pPr>
        <w:pStyle w:val="4"/>
      </w:pPr>
      <w:r>
        <w:rPr>
          <w:rFonts w:hint="eastAsia"/>
        </w:rPr>
        <w:t>3</w:t>
      </w:r>
      <w:r>
        <w:t>.2.7.3</w:t>
      </w:r>
      <w:r>
        <w:t>项目后续施工对中华白海豚的影响分析</w:t>
      </w:r>
    </w:p>
    <w:p w14:paraId="4843CD4E" w14:textId="77777777" w:rsidR="00EB6ADA" w:rsidRDefault="00000000">
      <w:pPr>
        <w:pStyle w:val="10"/>
        <w:ind w:firstLine="480"/>
        <w:rPr>
          <w:rFonts w:cs="Times New Roman"/>
        </w:rPr>
      </w:pPr>
      <w:r>
        <w:rPr>
          <w:rFonts w:cs="Times New Roman"/>
        </w:rPr>
        <w:t>截至</w:t>
      </w:r>
      <w:r>
        <w:rPr>
          <w:rFonts w:cs="Times New Roman"/>
        </w:rPr>
        <w:t>2025</w:t>
      </w:r>
      <w:r>
        <w:rPr>
          <w:rFonts w:cs="Times New Roman"/>
        </w:rPr>
        <w:t>年</w:t>
      </w:r>
      <w:r>
        <w:rPr>
          <w:rFonts w:cs="Times New Roman"/>
        </w:rPr>
        <w:t>10</w:t>
      </w:r>
      <w:r>
        <w:rPr>
          <w:rFonts w:cs="Times New Roman"/>
        </w:rPr>
        <w:t>月</w:t>
      </w:r>
      <w:r>
        <w:rPr>
          <w:rFonts w:cs="Times New Roman"/>
        </w:rPr>
        <w:t>14</w:t>
      </w:r>
      <w:r>
        <w:rPr>
          <w:rFonts w:cs="Times New Roman"/>
        </w:rPr>
        <w:t>日，转运坑已接收石井航道二期工程疏浚量</w:t>
      </w:r>
      <w:r>
        <w:rPr>
          <w:rFonts w:cs="Times New Roman"/>
        </w:rPr>
        <w:t>56</w:t>
      </w:r>
      <w:r>
        <w:rPr>
          <w:rFonts w:cs="Times New Roman" w:hint="eastAsia"/>
        </w:rPr>
        <w:t>5.0</w:t>
      </w:r>
      <w:r>
        <w:rPr>
          <w:rFonts w:cs="Times New Roman"/>
        </w:rPr>
        <w:t>万</w:t>
      </w:r>
      <w:r>
        <w:rPr>
          <w:rFonts w:cs="Times New Roman"/>
        </w:rPr>
        <w:t>m³</w:t>
      </w:r>
      <w:r>
        <w:rPr>
          <w:rFonts w:cs="Times New Roman"/>
        </w:rPr>
        <w:t>，其中约</w:t>
      </w:r>
      <w:r>
        <w:rPr>
          <w:rFonts w:cs="Times New Roman"/>
        </w:rPr>
        <w:t>527.95</w:t>
      </w:r>
      <w:r>
        <w:rPr>
          <w:rFonts w:cs="Times New Roman"/>
        </w:rPr>
        <w:t>万</w:t>
      </w:r>
      <w:r>
        <w:rPr>
          <w:rFonts w:cs="Times New Roman"/>
        </w:rPr>
        <w:t>m³</w:t>
      </w:r>
      <w:r>
        <w:rPr>
          <w:rFonts w:cs="Times New Roman" w:hint="eastAsia"/>
          <w:szCs w:val="24"/>
        </w:rPr>
        <w:t>（不含流失量）</w:t>
      </w:r>
      <w:r>
        <w:rPr>
          <w:rFonts w:cs="Times New Roman"/>
        </w:rPr>
        <w:t>已吹填至南安市海峡科技生态城</w:t>
      </w:r>
      <w:r>
        <w:rPr>
          <w:rFonts w:cs="Times New Roman"/>
        </w:rPr>
        <w:t>A6</w:t>
      </w:r>
      <w:r>
        <w:rPr>
          <w:rFonts w:cs="Times New Roman"/>
        </w:rPr>
        <w:t>、</w:t>
      </w:r>
      <w:r>
        <w:rPr>
          <w:rFonts w:cs="Times New Roman"/>
        </w:rPr>
        <w:t>A7</w:t>
      </w:r>
      <w:r>
        <w:rPr>
          <w:rFonts w:cs="Times New Roman"/>
        </w:rPr>
        <w:t>片区综合利用，约</w:t>
      </w:r>
      <w:r>
        <w:rPr>
          <w:rFonts w:cs="Times New Roman"/>
        </w:rPr>
        <w:t>3</w:t>
      </w:r>
      <w:r>
        <w:rPr>
          <w:rFonts w:cs="Times New Roman" w:hint="eastAsia"/>
        </w:rPr>
        <w:t>7.05</w:t>
      </w:r>
      <w:r>
        <w:rPr>
          <w:rFonts w:cs="Times New Roman"/>
        </w:rPr>
        <w:t>万</w:t>
      </w:r>
      <w:r>
        <w:rPr>
          <w:rFonts w:cs="Times New Roman"/>
        </w:rPr>
        <w:t>m³</w:t>
      </w:r>
      <w:r>
        <w:rPr>
          <w:rFonts w:cs="Times New Roman"/>
        </w:rPr>
        <w:t>堆存于转运坑内，作为恢复转运坑地形的物料。</w:t>
      </w:r>
    </w:p>
    <w:p w14:paraId="6C28062B" w14:textId="0C20997D" w:rsidR="00EB6ADA" w:rsidRDefault="00000000">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转运坑</w:t>
      </w:r>
      <w:r>
        <w:rPr>
          <w:rFonts w:ascii="Times New Roman" w:eastAsia="宋体" w:hAnsi="Times New Roman" w:cs="Times New Roman" w:hint="eastAsia"/>
          <w:sz w:val="24"/>
        </w:rPr>
        <w:t>后续</w:t>
      </w:r>
      <w:r>
        <w:rPr>
          <w:rFonts w:ascii="Times New Roman" w:eastAsia="宋体" w:hAnsi="Times New Roman" w:cs="Times New Roman"/>
          <w:sz w:val="24"/>
        </w:rPr>
        <w:t>将继续接纳</w:t>
      </w:r>
      <w:r>
        <w:rPr>
          <w:rFonts w:ascii="Times New Roman" w:eastAsia="宋体" w:hAnsi="Times New Roman" w:cs="Times New Roman"/>
          <w:sz w:val="24"/>
        </w:rPr>
        <w:t>30.9</w:t>
      </w:r>
      <w:r>
        <w:rPr>
          <w:rFonts w:ascii="Times New Roman" w:eastAsia="宋体" w:hAnsi="Times New Roman" w:cs="Times New Roman"/>
          <w:sz w:val="24"/>
        </w:rPr>
        <w:t>万</w:t>
      </w:r>
      <w:r>
        <w:rPr>
          <w:rFonts w:ascii="Times New Roman" w:eastAsia="宋体" w:hAnsi="Times New Roman" w:cs="Times New Roman"/>
          <w:sz w:val="24"/>
        </w:rPr>
        <w:t>m³</w:t>
      </w:r>
      <w:r>
        <w:rPr>
          <w:rFonts w:ascii="Times New Roman" w:eastAsia="宋体" w:hAnsi="Times New Roman" w:cs="Times New Roman" w:hint="eastAsia"/>
          <w:sz w:val="24"/>
        </w:rPr>
        <w:t>的航道</w:t>
      </w:r>
      <w:r>
        <w:rPr>
          <w:rFonts w:ascii="Times New Roman" w:eastAsia="宋体" w:hAnsi="Times New Roman" w:cs="Times New Roman"/>
          <w:sz w:val="24"/>
        </w:rPr>
        <w:t>疏浚物</w:t>
      </w:r>
      <w:r>
        <w:rPr>
          <w:rFonts w:ascii="Times New Roman" w:eastAsia="宋体" w:hAnsi="Times New Roman" w:cs="Times New Roman" w:hint="eastAsia"/>
          <w:sz w:val="24"/>
        </w:rPr>
        <w:t>，以恢复转运坑地形，</w:t>
      </w:r>
      <w:r>
        <w:rPr>
          <w:rFonts w:ascii="Times New Roman" w:eastAsia="宋体" w:hAnsi="Times New Roman" w:cs="Times New Roman"/>
          <w:sz w:val="24"/>
        </w:rPr>
        <w:t>疏浚物不再吹填上</w:t>
      </w:r>
      <w:r>
        <w:rPr>
          <w:rFonts w:ascii="Times New Roman" w:eastAsia="宋体" w:hAnsi="Times New Roman" w:cs="Times New Roman"/>
          <w:sz w:val="24"/>
        </w:rPr>
        <w:lastRenderedPageBreak/>
        <w:t>岸。工程后续施工内容及施工工艺产生的影响小于项目已实施工程产生的影响，主要体现在抛泥过程产生的悬浮泥沙及泥驳船通航对中华白海豚的影响。</w:t>
      </w:r>
    </w:p>
    <w:p w14:paraId="5681A1D8" w14:textId="77777777" w:rsidR="00EB6ADA" w:rsidRDefault="00000000" w:rsidP="00A3460E">
      <w:pPr>
        <w:keepNext/>
        <w:adjustRightIn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b/>
          <w:bCs/>
          <w:sz w:val="24"/>
        </w:rPr>
        <w:t>1</w:t>
      </w:r>
      <w:r>
        <w:rPr>
          <w:rFonts w:ascii="Times New Roman" w:eastAsia="宋体" w:hAnsi="Times New Roman" w:cs="Times New Roman" w:hint="eastAsia"/>
          <w:b/>
          <w:bCs/>
          <w:sz w:val="24"/>
        </w:rPr>
        <w:t>）悬浮泥沙对中华白海豚活动及饵料的影响</w:t>
      </w:r>
    </w:p>
    <w:p w14:paraId="462ACFFB" w14:textId="59AD0B61"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海水中悬浮泥沙增加对中华白海豚产生的影响主要包括：悬浮泥沙散射、吸收声波，干扰其回声定位系统及减少饵料资源等。</w:t>
      </w:r>
    </w:p>
    <w:p w14:paraId="7379BB54" w14:textId="637FFB4F"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数模计算结果显示，工程施工造成悬沙增量大于</w:t>
      </w:r>
      <w:r>
        <w:rPr>
          <w:rFonts w:ascii="Times New Roman" w:eastAsia="宋体" w:hAnsi="Times New Roman" w:cs="Times New Roman" w:hint="eastAsia"/>
          <w:sz w:val="24"/>
        </w:rPr>
        <w:t>10mg/L</w:t>
      </w:r>
      <w:r>
        <w:rPr>
          <w:rFonts w:ascii="Times New Roman" w:eastAsia="宋体" w:hAnsi="Times New Roman" w:cs="Times New Roman" w:hint="eastAsia"/>
          <w:sz w:val="24"/>
        </w:rPr>
        <w:t>的包络面积为</w:t>
      </w:r>
      <w:r>
        <w:rPr>
          <w:rFonts w:ascii="Times New Roman" w:eastAsia="宋体" w:hAnsi="Times New Roman" w:cs="Times New Roman" w:hint="eastAsia"/>
          <w:sz w:val="24"/>
        </w:rPr>
        <w:t>5.141km</w:t>
      </w:r>
      <w:r>
        <w:rPr>
          <w:rFonts w:ascii="Times New Roman" w:eastAsia="宋体" w:hAnsi="Times New Roman" w:cs="Times New Roman" w:hint="eastAsia"/>
          <w:sz w:val="24"/>
        </w:rPr>
        <w:t>²，施工期间应观察避让中华白海豚，如发现作业区域出现中华白海豚，应立即停止抛泥作业，尽量减少施工悬浮泥沙对中华白海豚的影响。</w:t>
      </w:r>
    </w:p>
    <w:p w14:paraId="20147BFB" w14:textId="77777777"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中华白海豚饵料生物主要为石首鱼科、鲱科、鳀科、鲻科等鱼类。施工期间悬浮泥沙浓度增量超过</w:t>
      </w:r>
      <w:r>
        <w:rPr>
          <w:rFonts w:ascii="Times New Roman" w:eastAsia="宋体" w:hAnsi="Times New Roman" w:cs="Times New Roman"/>
          <w:sz w:val="24"/>
        </w:rPr>
        <w:t>10mg/L</w:t>
      </w:r>
      <w:r>
        <w:rPr>
          <w:rFonts w:ascii="Times New Roman" w:eastAsia="宋体" w:hAnsi="Times New Roman" w:cs="Times New Roman"/>
          <w:sz w:val="24"/>
        </w:rPr>
        <w:t>范围内，海洋浮游植物的光合作用减少，鱼卵、仔稚鱼、游泳动物资源量减少，从而造成局部海域渔业资源生产力下降，影响中华白海豚饵料资源。施工结束后拟采取</w:t>
      </w:r>
      <w:r>
        <w:rPr>
          <w:rFonts w:ascii="Times New Roman" w:eastAsia="宋体" w:hAnsi="Times New Roman" w:cs="Times New Roman" w:hint="eastAsia"/>
          <w:sz w:val="24"/>
        </w:rPr>
        <w:t>渔业</w:t>
      </w:r>
      <w:r>
        <w:rPr>
          <w:rFonts w:ascii="Times New Roman" w:eastAsia="宋体" w:hAnsi="Times New Roman" w:cs="Times New Roman"/>
          <w:sz w:val="24"/>
        </w:rPr>
        <w:t>增殖放流等生态补偿措施，将对中华白海豚饵料资源的影响降到最低。</w:t>
      </w:r>
    </w:p>
    <w:p w14:paraId="4CE50667" w14:textId="77777777" w:rsidR="00EB6ADA" w:rsidRDefault="00000000">
      <w:pPr>
        <w:widowControl/>
        <w:adjustRightInd w:val="0"/>
        <w:spacing w:line="360" w:lineRule="auto"/>
        <w:ind w:firstLineChars="200" w:firstLine="480"/>
        <w:rPr>
          <w:rFonts w:ascii="Times New Roman" w:eastAsia="宋体" w:hAnsi="Times New Roman" w:cs="Times New Roman"/>
          <w:b/>
          <w:bCs/>
          <w:sz w:val="24"/>
        </w:rPr>
      </w:pPr>
      <w:r>
        <w:rPr>
          <w:rFonts w:ascii="Times New Roman" w:eastAsia="宋体" w:hAnsi="Times New Roman" w:cs="Times New Roman"/>
          <w:sz w:val="24"/>
        </w:rPr>
        <w:t>总体而言，项目施工</w:t>
      </w:r>
      <w:r>
        <w:rPr>
          <w:rFonts w:ascii="Times New Roman" w:eastAsia="宋体" w:hAnsi="Times New Roman" w:cs="Times New Roman" w:hint="eastAsia"/>
          <w:sz w:val="24"/>
        </w:rPr>
        <w:t>悬浮泥沙</w:t>
      </w:r>
      <w:r>
        <w:rPr>
          <w:rFonts w:ascii="Times New Roman" w:eastAsia="宋体" w:hAnsi="Times New Roman" w:cs="Times New Roman"/>
          <w:sz w:val="24"/>
        </w:rPr>
        <w:t>影响是暂时的，将随施工结束而消失，不会对中华白海豚产生明显、长远的影响。</w:t>
      </w:r>
    </w:p>
    <w:p w14:paraId="09337C6E" w14:textId="77777777" w:rsidR="00EB6ADA" w:rsidRDefault="00000000">
      <w:pPr>
        <w:widowControl/>
        <w:adjustRightInd w:val="0"/>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b/>
          <w:bCs/>
          <w:sz w:val="24"/>
        </w:rPr>
        <w:t>2</w:t>
      </w:r>
      <w:r>
        <w:rPr>
          <w:rFonts w:ascii="Times New Roman" w:eastAsia="宋体" w:hAnsi="Times New Roman" w:cs="Times New Roman" w:hint="eastAsia"/>
          <w:b/>
          <w:bCs/>
          <w:sz w:val="24"/>
        </w:rPr>
        <w:t>）船舶水下噪声及通航对中华白海豚的影响</w:t>
      </w:r>
    </w:p>
    <w:p w14:paraId="173947BA" w14:textId="3FD8F0EC"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航道疏浚泥驳船通过菊江航道至转运坑，平均每天</w:t>
      </w:r>
      <w:r>
        <w:rPr>
          <w:rFonts w:ascii="Times New Roman" w:eastAsia="宋体" w:hAnsi="Times New Roman" w:cs="Times New Roman" w:hint="eastAsia"/>
          <w:sz w:val="24"/>
        </w:rPr>
        <w:t>4</w:t>
      </w:r>
      <w:r>
        <w:rPr>
          <w:rFonts w:ascii="Times New Roman" w:eastAsia="宋体" w:hAnsi="Times New Roman" w:cs="Times New Roman" w:hint="eastAsia"/>
          <w:sz w:val="24"/>
        </w:rPr>
        <w:t>艘，施工船舶通航水下噪声可能对附近海域的中华白海豚产生干扰。</w:t>
      </w:r>
    </w:p>
    <w:p w14:paraId="0B817427" w14:textId="5D9AC584" w:rsidR="00EB6ADA" w:rsidRDefault="00000000">
      <w:pPr>
        <w:widowControl/>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船舶噪声包括机械噪声、螺旋桨噪声和水动力噪声，其中机械噪声和螺旋桨噪声为主要噪声源。机械噪声与船速的关联度较低，在低速情况下，螺旋桨噪声和水动力噪声的强度相对较小，船舶噪声主要为机械噪声。在高速情况下，螺旋桨噪声成为船舶噪声的主要成分。螺旋桨噪声的来源包括螺旋桨叶片振动以及螺旋桨空化。机械噪声分布在</w:t>
      </w:r>
      <w:r>
        <w:rPr>
          <w:rFonts w:ascii="Times New Roman" w:eastAsia="宋体" w:hAnsi="Times New Roman" w:cs="Times New Roman" w:hint="eastAsia"/>
          <w:sz w:val="24"/>
        </w:rPr>
        <w:t>10Hz</w:t>
      </w:r>
      <w:r>
        <w:rPr>
          <w:rFonts w:ascii="Times New Roman" w:eastAsia="宋体" w:hAnsi="Times New Roman" w:cs="Times New Roman" w:hint="eastAsia"/>
          <w:sz w:val="24"/>
        </w:rPr>
        <w:t>至</w:t>
      </w:r>
      <w:r>
        <w:rPr>
          <w:rFonts w:ascii="Times New Roman" w:eastAsia="宋体" w:hAnsi="Times New Roman" w:cs="Times New Roman" w:hint="eastAsia"/>
          <w:sz w:val="24"/>
        </w:rPr>
        <w:t>5kHz</w:t>
      </w:r>
      <w:r>
        <w:rPr>
          <w:rFonts w:ascii="Times New Roman" w:eastAsia="宋体" w:hAnsi="Times New Roman" w:cs="Times New Roman" w:hint="eastAsia"/>
          <w:sz w:val="24"/>
        </w:rPr>
        <w:t>频率范围内，螺旋桨空化噪声的频率范围较广，从</w:t>
      </w:r>
      <w:r>
        <w:rPr>
          <w:rFonts w:ascii="Times New Roman" w:eastAsia="宋体" w:hAnsi="Times New Roman" w:cs="Times New Roman" w:hint="eastAsia"/>
          <w:sz w:val="24"/>
        </w:rPr>
        <w:t>50Hz</w:t>
      </w:r>
      <w:r>
        <w:rPr>
          <w:rFonts w:ascii="Times New Roman" w:eastAsia="宋体" w:hAnsi="Times New Roman" w:cs="Times New Roman" w:hint="eastAsia"/>
          <w:sz w:val="24"/>
        </w:rPr>
        <w:t>开始扩展至</w:t>
      </w:r>
      <w:r>
        <w:rPr>
          <w:rFonts w:ascii="Times New Roman" w:eastAsia="宋体" w:hAnsi="Times New Roman" w:cs="Times New Roman" w:hint="eastAsia"/>
          <w:sz w:val="24"/>
        </w:rPr>
        <w:t>100kHz</w:t>
      </w:r>
      <w:r>
        <w:rPr>
          <w:rFonts w:ascii="Times New Roman" w:eastAsia="宋体" w:hAnsi="Times New Roman" w:cs="Times New Roman" w:hint="eastAsia"/>
          <w:sz w:val="24"/>
        </w:rPr>
        <w:t>。船舶噪声主要集中在低频段，在低频段</w:t>
      </w:r>
      <w:r>
        <w:rPr>
          <w:rFonts w:ascii="Times New Roman" w:eastAsia="宋体" w:hAnsi="Times New Roman" w:cs="Times New Roman" w:hint="eastAsia"/>
          <w:sz w:val="24"/>
        </w:rPr>
        <w:t>50Hz</w:t>
      </w:r>
      <w:r>
        <w:rPr>
          <w:rFonts w:ascii="Times New Roman" w:eastAsia="宋体" w:hAnsi="Times New Roman" w:cs="Times New Roman" w:hint="eastAsia"/>
          <w:sz w:val="24"/>
        </w:rPr>
        <w:t>左右达到最大谱级，之后随着频率的增加幅度衰减，在高于</w:t>
      </w:r>
      <w:r>
        <w:rPr>
          <w:rFonts w:ascii="Times New Roman" w:eastAsia="宋体" w:hAnsi="Times New Roman" w:cs="Times New Roman" w:hint="eastAsia"/>
          <w:sz w:val="24"/>
        </w:rPr>
        <w:t>1kHz</w:t>
      </w:r>
      <w:r>
        <w:rPr>
          <w:rFonts w:ascii="Times New Roman" w:eastAsia="宋体" w:hAnsi="Times New Roman" w:cs="Times New Roman" w:hint="eastAsia"/>
          <w:sz w:val="24"/>
        </w:rPr>
        <w:t>以上时，总体上的噪声谱级已低于</w:t>
      </w:r>
      <w:r>
        <w:rPr>
          <w:rFonts w:ascii="Times New Roman" w:eastAsia="宋体" w:hAnsi="Times New Roman" w:cs="Times New Roman" w:hint="eastAsia"/>
          <w:sz w:val="24"/>
        </w:rPr>
        <w:t>130dB</w:t>
      </w:r>
      <w:r>
        <w:rPr>
          <w:rFonts w:ascii="Times New Roman" w:eastAsia="宋体" w:hAnsi="Times New Roman" w:cs="Times New Roman" w:hint="eastAsia"/>
          <w:sz w:val="24"/>
        </w:rPr>
        <w:t>。与水下爆破、打桩等相比，船舶噪声源强相对较低，但低频噪声传播衰减小，传播距离远，</w:t>
      </w:r>
      <w:r w:rsidR="004002F0">
        <w:rPr>
          <w:rFonts w:ascii="Times New Roman" w:eastAsia="宋体" w:hAnsi="Times New Roman" w:cs="Times New Roman" w:hint="eastAsia"/>
          <w:sz w:val="24"/>
        </w:rPr>
        <w:t>并</w:t>
      </w:r>
      <w:r>
        <w:rPr>
          <w:rFonts w:ascii="Times New Roman" w:eastAsia="宋体" w:hAnsi="Times New Roman" w:cs="Times New Roman" w:hint="eastAsia"/>
          <w:sz w:val="24"/>
        </w:rPr>
        <w:t>且低频噪声将影响中华白海豚群之间的通讯交流声，特别是母</w:t>
      </w:r>
      <w:r>
        <w:rPr>
          <w:rFonts w:ascii="Times New Roman" w:eastAsia="宋体" w:hAnsi="Times New Roman" w:cs="Times New Roman" w:hint="eastAsia"/>
          <w:sz w:val="24"/>
        </w:rPr>
        <w:t>-</w:t>
      </w:r>
      <w:r>
        <w:rPr>
          <w:rFonts w:ascii="Times New Roman" w:eastAsia="宋体" w:hAnsi="Times New Roman" w:cs="Times New Roman" w:hint="eastAsia"/>
          <w:sz w:val="24"/>
        </w:rPr>
        <w:t>子豚之间的交流互动。因此施工船舶航行及施工作业时应密切观察海面，一旦发现附近海域有中华白海豚活动应立即停止通航及施工作业，待中华白海豚离开后方可恢复通航和作业，通航时严格执行项目环评文件要求，航速不能超过</w:t>
      </w:r>
      <w:r>
        <w:rPr>
          <w:rFonts w:ascii="Times New Roman" w:eastAsia="宋体" w:hAnsi="Times New Roman" w:cs="Times New Roman" w:hint="eastAsia"/>
          <w:sz w:val="24"/>
        </w:rPr>
        <w:t>8</w:t>
      </w:r>
      <w:r>
        <w:rPr>
          <w:rFonts w:ascii="Times New Roman" w:eastAsia="宋体" w:hAnsi="Times New Roman" w:cs="Times New Roman" w:hint="eastAsia"/>
          <w:sz w:val="24"/>
        </w:rPr>
        <w:t>节。</w:t>
      </w:r>
    </w:p>
    <w:p w14:paraId="0201DDA8" w14:textId="77777777" w:rsidR="00EB6ADA" w:rsidRDefault="00000000">
      <w:pPr>
        <w:pStyle w:val="3"/>
      </w:pPr>
      <w:r>
        <w:rPr>
          <w:rFonts w:hint="eastAsia"/>
        </w:rPr>
        <w:t>3</w:t>
      </w:r>
      <w:r>
        <w:t>.2.8</w:t>
      </w:r>
      <w:r>
        <w:t>对文昌鱼的影响</w:t>
      </w:r>
    </w:p>
    <w:p w14:paraId="5DD3E6FE" w14:textId="7F67C2EC" w:rsidR="00EB6ADA" w:rsidRDefault="00000000" w:rsidP="00A3460E">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根据厦门历年文昌鱼调查结果，黄厝、南线至十八线海域是文昌鱼分布的主要区域，小</w:t>
      </w:r>
      <w:r>
        <w:rPr>
          <w:rFonts w:ascii="Times New Roman" w:eastAsia="宋体" w:hAnsi="Times New Roman" w:cs="Times New Roman"/>
          <w:sz w:val="24"/>
        </w:rPr>
        <w:lastRenderedPageBreak/>
        <w:t>嶝岛海域和鳄鱼屿海域文昌鱼呈零星分布。根据数模预测结果，悬浮泥沙</w:t>
      </w:r>
      <w:r>
        <w:rPr>
          <w:rFonts w:ascii="Times New Roman" w:eastAsia="宋体" w:hAnsi="Times New Roman" w:cs="Times New Roman" w:hint="eastAsia"/>
          <w:sz w:val="24"/>
        </w:rPr>
        <w:t>影响、冲淤</w:t>
      </w:r>
      <w:r>
        <w:rPr>
          <w:rFonts w:ascii="Times New Roman" w:eastAsia="宋体" w:hAnsi="Times New Roman" w:cs="Times New Roman"/>
          <w:sz w:val="24"/>
        </w:rPr>
        <w:t>影响范围</w:t>
      </w:r>
      <w:r>
        <w:rPr>
          <w:rFonts w:ascii="Times New Roman" w:eastAsia="宋体" w:hAnsi="Times New Roman" w:cs="Times New Roman" w:hint="eastAsia"/>
          <w:sz w:val="24"/>
        </w:rPr>
        <w:t>均</w:t>
      </w:r>
      <w:r>
        <w:rPr>
          <w:rFonts w:ascii="Times New Roman" w:eastAsia="宋体" w:hAnsi="Times New Roman" w:cs="Times New Roman"/>
          <w:sz w:val="24"/>
        </w:rPr>
        <w:t>不涉及</w:t>
      </w:r>
      <w:r>
        <w:rPr>
          <w:rFonts w:ascii="Times New Roman" w:eastAsia="宋体" w:hAnsi="Times New Roman" w:cs="Times New Roman" w:hint="eastAsia"/>
          <w:sz w:val="24"/>
        </w:rPr>
        <w:t>以上</w:t>
      </w:r>
      <w:r>
        <w:rPr>
          <w:rFonts w:ascii="Times New Roman" w:eastAsia="宋体" w:hAnsi="Times New Roman" w:cs="Times New Roman"/>
          <w:sz w:val="24"/>
        </w:rPr>
        <w:t>文昌鱼主要分布区域。</w:t>
      </w:r>
    </w:p>
    <w:p w14:paraId="25517C03" w14:textId="77777777" w:rsidR="00EB6ADA" w:rsidRDefault="00EB6ADA">
      <w:pPr>
        <w:widowControl/>
        <w:adjustRightInd w:val="0"/>
        <w:snapToGrid w:val="0"/>
        <w:spacing w:before="40" w:line="360" w:lineRule="auto"/>
        <w:ind w:firstLineChars="200" w:firstLine="480"/>
        <w:jc w:val="left"/>
        <w:rPr>
          <w:rFonts w:ascii="Times New Roman" w:eastAsia="宋体" w:hAnsi="Times New Roman" w:cs="Times New Roman"/>
          <w:sz w:val="24"/>
        </w:rPr>
        <w:sectPr w:rsidR="00EB6ADA">
          <w:pgSz w:w="11906" w:h="16838"/>
          <w:pgMar w:top="1134" w:right="1134" w:bottom="1134" w:left="1134" w:header="851" w:footer="794" w:gutter="0"/>
          <w:cols w:space="425"/>
          <w:docGrid w:type="lines" w:linePitch="312"/>
        </w:sectPr>
      </w:pPr>
    </w:p>
    <w:p w14:paraId="420F3B7B" w14:textId="77777777" w:rsidR="00EB6ADA" w:rsidRDefault="00000000">
      <w:pPr>
        <w:pStyle w:val="1"/>
        <w:rPr>
          <w:rFonts w:cs="Times New Roman"/>
        </w:rPr>
      </w:pPr>
      <w:bookmarkStart w:id="20" w:name="_Toc224053289"/>
      <w:r>
        <w:rPr>
          <w:rFonts w:cs="Times New Roman" w:hint="eastAsia"/>
        </w:rPr>
        <w:lastRenderedPageBreak/>
        <w:t>4</w:t>
      </w:r>
      <w:r>
        <w:rPr>
          <w:rFonts w:cs="Times New Roman"/>
        </w:rPr>
        <w:t>海域开发利用协调分析</w:t>
      </w:r>
      <w:bookmarkEnd w:id="20"/>
    </w:p>
    <w:p w14:paraId="5D69C6F5" w14:textId="77777777" w:rsidR="00EB6ADA" w:rsidRDefault="00000000">
      <w:pPr>
        <w:pStyle w:val="2"/>
      </w:pPr>
      <w:bookmarkStart w:id="21" w:name="_Toc224053290"/>
      <w:r>
        <w:rPr>
          <w:rFonts w:hint="eastAsia"/>
        </w:rPr>
        <w:t>4</w:t>
      </w:r>
      <w:r>
        <w:t>.1</w:t>
      </w:r>
      <w:r>
        <w:t>海域开发利用现状</w:t>
      </w:r>
      <w:bookmarkEnd w:id="21"/>
    </w:p>
    <w:p w14:paraId="3E0286B6" w14:textId="77777777" w:rsidR="00EB6ADA" w:rsidRDefault="00000000">
      <w:pPr>
        <w:pStyle w:val="3"/>
      </w:pPr>
      <w:r>
        <w:rPr>
          <w:rFonts w:hint="eastAsia"/>
        </w:rPr>
        <w:t>4</w:t>
      </w:r>
      <w:r>
        <w:t>.1.1</w:t>
      </w:r>
      <w:r>
        <w:t>社会经济概况</w:t>
      </w:r>
    </w:p>
    <w:p w14:paraId="01F6C891" w14:textId="77777777" w:rsidR="00EB6ADA" w:rsidRDefault="00000000">
      <w:pPr>
        <w:pStyle w:val="4"/>
      </w:pPr>
      <w:r>
        <w:rPr>
          <w:rFonts w:hint="eastAsia"/>
        </w:rPr>
        <w:t>4</w:t>
      </w:r>
      <w:r>
        <w:t>.1.1.1</w:t>
      </w:r>
      <w:r>
        <w:t>泉州社会经济概况</w:t>
      </w:r>
    </w:p>
    <w:p w14:paraId="73790AFC" w14:textId="7777777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泉州地处福建省东南部，现辖鲤城、丰泽、洛江、泉港四个区，晋江市、石狮市、南安市三个县级市，惠安、安溪、永春、德化、金门</w:t>
      </w:r>
      <w:r>
        <w:rPr>
          <w:rFonts w:ascii="Times New Roman" w:eastAsia="宋体" w:hAnsi="Times New Roman" w:cs="Times New Roman"/>
          <w:kern w:val="0"/>
          <w:sz w:val="24"/>
        </w:rPr>
        <w:t>5</w:t>
      </w:r>
      <w:r>
        <w:rPr>
          <w:rFonts w:ascii="Times New Roman" w:eastAsia="宋体" w:hAnsi="Times New Roman" w:cs="Times New Roman"/>
          <w:kern w:val="0"/>
          <w:sz w:val="24"/>
        </w:rPr>
        <w:t>个县和泉州经济技术开发区、泉州台商投资区。全市土地面积</w:t>
      </w:r>
      <w:r>
        <w:rPr>
          <w:rFonts w:ascii="Times New Roman" w:eastAsia="宋体" w:hAnsi="Times New Roman" w:cs="Times New Roman"/>
          <w:kern w:val="0"/>
          <w:sz w:val="24"/>
        </w:rPr>
        <w:t>11295.57km²</w:t>
      </w:r>
      <w:r>
        <w:rPr>
          <w:rFonts w:ascii="Times New Roman" w:eastAsia="宋体" w:hAnsi="Times New Roman" w:cs="Times New Roman"/>
          <w:kern w:val="0"/>
          <w:sz w:val="24"/>
        </w:rPr>
        <w:t>，</w:t>
      </w:r>
      <w:r>
        <w:rPr>
          <w:rFonts w:ascii="Times New Roman" w:eastAsia="宋体" w:hAnsi="Times New Roman" w:cs="Times New Roman"/>
          <w:kern w:val="0"/>
          <w:sz w:val="24"/>
        </w:rPr>
        <w:t>2024</w:t>
      </w:r>
      <w:r>
        <w:rPr>
          <w:rFonts w:ascii="Times New Roman" w:eastAsia="宋体" w:hAnsi="Times New Roman" w:cs="Times New Roman"/>
          <w:kern w:val="0"/>
          <w:sz w:val="24"/>
        </w:rPr>
        <w:t>年末常住人口</w:t>
      </w:r>
      <w:r>
        <w:rPr>
          <w:rFonts w:ascii="Times New Roman" w:eastAsia="宋体" w:hAnsi="Times New Roman" w:cs="Times New Roman"/>
          <w:kern w:val="0"/>
          <w:sz w:val="24"/>
        </w:rPr>
        <w:t>891.4</w:t>
      </w:r>
      <w:r>
        <w:rPr>
          <w:rFonts w:ascii="Times New Roman" w:eastAsia="宋体" w:hAnsi="Times New Roman" w:cs="Times New Roman"/>
          <w:kern w:val="0"/>
          <w:sz w:val="24"/>
        </w:rPr>
        <w:t>万人。据泉州市</w:t>
      </w:r>
      <w:r>
        <w:rPr>
          <w:rFonts w:ascii="Times New Roman" w:eastAsia="宋体" w:hAnsi="Times New Roman" w:cs="Times New Roman"/>
          <w:kern w:val="0"/>
          <w:sz w:val="24"/>
        </w:rPr>
        <w:t>“2025</w:t>
      </w:r>
      <w:r>
        <w:rPr>
          <w:rFonts w:ascii="Times New Roman" w:eastAsia="宋体" w:hAnsi="Times New Roman" w:cs="Times New Roman"/>
          <w:kern w:val="0"/>
          <w:sz w:val="24"/>
        </w:rPr>
        <w:t>年政府工作报告</w:t>
      </w:r>
      <w:r>
        <w:rPr>
          <w:rFonts w:ascii="Times New Roman" w:eastAsia="宋体" w:hAnsi="Times New Roman" w:cs="Times New Roman"/>
          <w:kern w:val="0"/>
          <w:sz w:val="24"/>
        </w:rPr>
        <w:t>”</w:t>
      </w:r>
      <w:r>
        <w:rPr>
          <w:rFonts w:ascii="Times New Roman" w:eastAsia="宋体" w:hAnsi="Times New Roman" w:cs="Times New Roman"/>
          <w:kern w:val="0"/>
          <w:sz w:val="24"/>
        </w:rPr>
        <w:t>，</w:t>
      </w:r>
      <w:r>
        <w:rPr>
          <w:rFonts w:ascii="Times New Roman" w:eastAsia="宋体" w:hAnsi="Times New Roman" w:cs="Times New Roman"/>
          <w:kern w:val="0"/>
          <w:sz w:val="24"/>
        </w:rPr>
        <w:t>2024</w:t>
      </w:r>
      <w:r>
        <w:rPr>
          <w:rFonts w:ascii="Times New Roman" w:eastAsia="宋体" w:hAnsi="Times New Roman" w:cs="Times New Roman"/>
          <w:kern w:val="0"/>
          <w:sz w:val="24"/>
        </w:rPr>
        <w:t>年泉州市生产总值增长</w:t>
      </w:r>
      <w:r>
        <w:rPr>
          <w:rFonts w:ascii="Times New Roman" w:eastAsia="宋体" w:hAnsi="Times New Roman" w:cs="Times New Roman"/>
          <w:kern w:val="0"/>
          <w:sz w:val="24"/>
        </w:rPr>
        <w:t>6.5%</w:t>
      </w:r>
      <w:r>
        <w:rPr>
          <w:rFonts w:ascii="Times New Roman" w:eastAsia="宋体" w:hAnsi="Times New Roman" w:cs="Times New Roman"/>
          <w:kern w:val="0"/>
          <w:sz w:val="24"/>
        </w:rPr>
        <w:t>，固定资产投资增长</w:t>
      </w:r>
      <w:r>
        <w:rPr>
          <w:rFonts w:ascii="Times New Roman" w:eastAsia="宋体" w:hAnsi="Times New Roman" w:cs="Times New Roman"/>
          <w:kern w:val="0"/>
          <w:sz w:val="24"/>
        </w:rPr>
        <w:t>7%</w:t>
      </w:r>
      <w:r>
        <w:rPr>
          <w:rFonts w:ascii="Times New Roman" w:eastAsia="宋体" w:hAnsi="Times New Roman" w:cs="Times New Roman"/>
          <w:kern w:val="0"/>
          <w:sz w:val="24"/>
        </w:rPr>
        <w:t>。</w:t>
      </w:r>
    </w:p>
    <w:p w14:paraId="05A75B1E" w14:textId="77777777" w:rsidR="00EB6ADA" w:rsidRDefault="00000000">
      <w:pPr>
        <w:pStyle w:val="4"/>
      </w:pPr>
      <w:r>
        <w:rPr>
          <w:rFonts w:hint="eastAsia"/>
        </w:rPr>
        <w:t>4</w:t>
      </w:r>
      <w:r>
        <w:t>.1.1.2</w:t>
      </w:r>
      <w:r>
        <w:t>南安社会经济概况</w:t>
      </w:r>
    </w:p>
    <w:p w14:paraId="005F31CB" w14:textId="7777777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南安市位于福建省东南沿海的闽南金山角中心地带，</w:t>
      </w:r>
      <w:r>
        <w:rPr>
          <w:rFonts w:ascii="Times New Roman" w:eastAsia="宋体" w:hAnsi="Times New Roman" w:cs="Times New Roman"/>
          <w:kern w:val="0"/>
          <w:sz w:val="24"/>
        </w:rPr>
        <w:t>1993</w:t>
      </w:r>
      <w:r>
        <w:rPr>
          <w:rFonts w:ascii="Times New Roman" w:eastAsia="宋体" w:hAnsi="Times New Roman" w:cs="Times New Roman"/>
          <w:kern w:val="0"/>
          <w:sz w:val="24"/>
        </w:rPr>
        <w:t>年经国务院批准，撤县设市。全市土地面积</w:t>
      </w:r>
      <w:r>
        <w:rPr>
          <w:rFonts w:ascii="Times New Roman" w:eastAsia="宋体" w:hAnsi="Times New Roman" w:cs="Times New Roman"/>
          <w:kern w:val="0"/>
          <w:sz w:val="24"/>
        </w:rPr>
        <w:t>2036km²</w:t>
      </w:r>
      <w:r>
        <w:rPr>
          <w:rFonts w:ascii="Times New Roman" w:eastAsia="宋体" w:hAnsi="Times New Roman" w:cs="Times New Roman"/>
          <w:kern w:val="0"/>
          <w:sz w:val="24"/>
        </w:rPr>
        <w:t>，辖</w:t>
      </w:r>
      <w:r>
        <w:rPr>
          <w:rFonts w:ascii="Times New Roman" w:eastAsia="宋体" w:hAnsi="Times New Roman" w:cs="Times New Roman"/>
          <w:kern w:val="0"/>
          <w:sz w:val="24"/>
        </w:rPr>
        <w:t>23</w:t>
      </w:r>
      <w:r>
        <w:rPr>
          <w:rFonts w:ascii="Times New Roman" w:eastAsia="宋体" w:hAnsi="Times New Roman" w:cs="Times New Roman"/>
          <w:kern w:val="0"/>
          <w:sz w:val="24"/>
        </w:rPr>
        <w:t>个乡镇、</w:t>
      </w:r>
      <w:r>
        <w:rPr>
          <w:rFonts w:ascii="Times New Roman" w:eastAsia="宋体" w:hAnsi="Times New Roman" w:cs="Times New Roman"/>
          <w:kern w:val="0"/>
          <w:sz w:val="24"/>
        </w:rPr>
        <w:t>3</w:t>
      </w:r>
      <w:r>
        <w:rPr>
          <w:rFonts w:ascii="Times New Roman" w:eastAsia="宋体" w:hAnsi="Times New Roman" w:cs="Times New Roman"/>
          <w:kern w:val="0"/>
          <w:sz w:val="24"/>
        </w:rPr>
        <w:t>个街道、</w:t>
      </w:r>
      <w:r>
        <w:rPr>
          <w:rFonts w:ascii="Times New Roman" w:eastAsia="宋体" w:hAnsi="Times New Roman" w:cs="Times New Roman"/>
          <w:kern w:val="0"/>
          <w:sz w:val="24"/>
        </w:rPr>
        <w:t>2</w:t>
      </w:r>
      <w:r>
        <w:rPr>
          <w:rFonts w:ascii="Times New Roman" w:eastAsia="宋体" w:hAnsi="Times New Roman" w:cs="Times New Roman"/>
          <w:kern w:val="0"/>
          <w:sz w:val="24"/>
        </w:rPr>
        <w:t>个经济开发区，</w:t>
      </w:r>
      <w:r>
        <w:rPr>
          <w:rFonts w:ascii="Times New Roman" w:eastAsia="宋体" w:hAnsi="Times New Roman" w:cs="Times New Roman"/>
          <w:kern w:val="0"/>
          <w:sz w:val="24"/>
        </w:rPr>
        <w:t>2024</w:t>
      </w:r>
      <w:r>
        <w:rPr>
          <w:rFonts w:ascii="Times New Roman" w:eastAsia="宋体" w:hAnsi="Times New Roman" w:cs="Times New Roman"/>
          <w:kern w:val="0"/>
          <w:sz w:val="24"/>
        </w:rPr>
        <w:t>年末人口</w:t>
      </w:r>
      <w:r>
        <w:rPr>
          <w:rFonts w:ascii="Times New Roman" w:eastAsia="宋体" w:hAnsi="Times New Roman" w:cs="Times New Roman"/>
          <w:kern w:val="0"/>
          <w:sz w:val="24"/>
        </w:rPr>
        <w:t>152.8</w:t>
      </w:r>
      <w:r>
        <w:rPr>
          <w:rFonts w:ascii="Times New Roman" w:eastAsia="宋体" w:hAnsi="Times New Roman" w:cs="Times New Roman"/>
          <w:kern w:val="0"/>
          <w:sz w:val="24"/>
        </w:rPr>
        <w:t>万。根据南安市</w:t>
      </w:r>
      <w:r>
        <w:rPr>
          <w:rFonts w:ascii="Times New Roman" w:eastAsia="宋体" w:hAnsi="Times New Roman" w:cs="Times New Roman"/>
          <w:kern w:val="0"/>
          <w:sz w:val="24"/>
        </w:rPr>
        <w:t>2025</w:t>
      </w:r>
      <w:r>
        <w:rPr>
          <w:rFonts w:ascii="Times New Roman" w:eastAsia="宋体" w:hAnsi="Times New Roman" w:cs="Times New Roman"/>
          <w:kern w:val="0"/>
          <w:sz w:val="24"/>
        </w:rPr>
        <w:t>年国民经济和社会发展统计公报，南安市</w:t>
      </w:r>
      <w:r>
        <w:rPr>
          <w:rFonts w:ascii="Times New Roman" w:eastAsia="宋体" w:hAnsi="Times New Roman" w:cs="Times New Roman"/>
          <w:kern w:val="0"/>
          <w:sz w:val="24"/>
        </w:rPr>
        <w:t>2024</w:t>
      </w:r>
      <w:r>
        <w:rPr>
          <w:rFonts w:ascii="Times New Roman" w:eastAsia="宋体" w:hAnsi="Times New Roman" w:cs="Times New Roman"/>
          <w:kern w:val="0"/>
          <w:sz w:val="24"/>
        </w:rPr>
        <w:t>年全年实现地区生产总值（</w:t>
      </w:r>
      <w:r>
        <w:rPr>
          <w:rFonts w:ascii="Times New Roman" w:eastAsia="宋体" w:hAnsi="Times New Roman" w:cs="Times New Roman"/>
          <w:kern w:val="0"/>
          <w:sz w:val="24"/>
        </w:rPr>
        <w:t>GDP</w:t>
      </w:r>
      <w:r>
        <w:rPr>
          <w:rFonts w:ascii="Times New Roman" w:eastAsia="宋体" w:hAnsi="Times New Roman" w:cs="Times New Roman"/>
          <w:kern w:val="0"/>
          <w:sz w:val="24"/>
        </w:rPr>
        <w:t>）</w:t>
      </w:r>
      <w:r>
        <w:rPr>
          <w:rFonts w:ascii="Times New Roman" w:eastAsia="宋体" w:hAnsi="Times New Roman" w:cs="Times New Roman"/>
          <w:kern w:val="0"/>
          <w:sz w:val="24"/>
        </w:rPr>
        <w:t>1844.20</w:t>
      </w:r>
      <w:r>
        <w:rPr>
          <w:rFonts w:ascii="Times New Roman" w:eastAsia="宋体" w:hAnsi="Times New Roman" w:cs="Times New Roman"/>
          <w:kern w:val="0"/>
          <w:sz w:val="24"/>
        </w:rPr>
        <w:t>亿元，比上年增长</w:t>
      </w:r>
      <w:r>
        <w:rPr>
          <w:rFonts w:ascii="Times New Roman" w:eastAsia="宋体" w:hAnsi="Times New Roman" w:cs="Times New Roman"/>
          <w:kern w:val="0"/>
          <w:sz w:val="24"/>
        </w:rPr>
        <w:t>7.1%</w:t>
      </w:r>
      <w:r>
        <w:rPr>
          <w:rFonts w:ascii="Times New Roman" w:eastAsia="宋体" w:hAnsi="Times New Roman" w:cs="Times New Roman"/>
          <w:kern w:val="0"/>
          <w:sz w:val="24"/>
        </w:rPr>
        <w:t>。</w:t>
      </w:r>
    </w:p>
    <w:p w14:paraId="5F05EC72" w14:textId="77777777" w:rsidR="00EB6ADA" w:rsidRDefault="00000000">
      <w:pPr>
        <w:pStyle w:val="3"/>
      </w:pPr>
      <w:r>
        <w:rPr>
          <w:rFonts w:hint="eastAsia"/>
        </w:rPr>
        <w:t>4</w:t>
      </w:r>
      <w:r>
        <w:t>.1.2</w:t>
      </w:r>
      <w:r>
        <w:t>海域使用现状</w:t>
      </w:r>
    </w:p>
    <w:p w14:paraId="773B66AF" w14:textId="1DF2D751" w:rsidR="00EB6ADA" w:rsidRDefault="00000000" w:rsidP="00A3460E">
      <w:pPr>
        <w:pStyle w:val="10"/>
        <w:widowControl/>
        <w:ind w:firstLine="480"/>
        <w:rPr>
          <w:rFonts w:cs="Times New Roman"/>
          <w:kern w:val="0"/>
        </w:rPr>
      </w:pPr>
      <w:r>
        <w:t>项目所在海域周边海洋开发活动</w:t>
      </w:r>
      <w:r>
        <w:rPr>
          <w:rFonts w:hint="eastAsia"/>
        </w:rPr>
        <w:t>主要有</w:t>
      </w:r>
      <w:r>
        <w:t>：交通运输用海（包括航道、码头和锚地）、海底工程用海（海底管道）、填海造地用海、渔业用海等</w:t>
      </w:r>
      <w:r>
        <w:rPr>
          <w:rFonts w:hint="eastAsia"/>
        </w:rPr>
        <w:t>。</w:t>
      </w:r>
    </w:p>
    <w:p w14:paraId="63E7E951" w14:textId="77777777" w:rsidR="00EB6ADA" w:rsidRDefault="00000000">
      <w:pPr>
        <w:pStyle w:val="4"/>
      </w:pPr>
      <w:r>
        <w:rPr>
          <w:rFonts w:hint="eastAsia"/>
        </w:rPr>
        <w:t>4</w:t>
      </w:r>
      <w:r>
        <w:t>.1.2.1</w:t>
      </w:r>
      <w:r>
        <w:t>交通运输用海</w:t>
      </w:r>
    </w:p>
    <w:p w14:paraId="52EEA184" w14:textId="7777777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w:t>
      </w:r>
      <w:r>
        <w:rPr>
          <w:rFonts w:ascii="Times New Roman" w:eastAsia="宋体" w:hAnsi="Times New Roman" w:cs="Times New Roman"/>
          <w:kern w:val="0"/>
          <w:sz w:val="24"/>
        </w:rPr>
        <w:t>1</w:t>
      </w:r>
      <w:r>
        <w:rPr>
          <w:rFonts w:ascii="Times New Roman" w:eastAsia="宋体" w:hAnsi="Times New Roman" w:cs="Times New Roman"/>
          <w:kern w:val="0"/>
          <w:sz w:val="24"/>
        </w:rPr>
        <w:t>）菊江航道</w:t>
      </w:r>
    </w:p>
    <w:p w14:paraId="27B71DAC" w14:textId="58D0CADB"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hint="eastAsia"/>
          <w:kern w:val="0"/>
          <w:sz w:val="24"/>
        </w:rPr>
        <w:t>转运坑</w:t>
      </w:r>
      <w:r>
        <w:rPr>
          <w:rFonts w:ascii="Times New Roman" w:eastAsia="宋体" w:hAnsi="Times New Roman" w:cs="Times New Roman"/>
          <w:kern w:val="0"/>
          <w:sz w:val="24"/>
        </w:rPr>
        <w:t>北侧</w:t>
      </w:r>
      <w:r>
        <w:rPr>
          <w:rFonts w:ascii="Times New Roman" w:eastAsia="宋体" w:hAnsi="Times New Roman" w:cs="Times New Roman" w:hint="eastAsia"/>
          <w:kern w:val="0"/>
          <w:sz w:val="24"/>
        </w:rPr>
        <w:t>临近</w:t>
      </w:r>
      <w:r>
        <w:rPr>
          <w:rFonts w:ascii="Times New Roman" w:eastAsia="宋体" w:hAnsi="Times New Roman" w:cs="Times New Roman"/>
          <w:kern w:val="0"/>
          <w:sz w:val="24"/>
        </w:rPr>
        <w:t>菊江航道</w:t>
      </w:r>
      <w:r>
        <w:rPr>
          <w:rFonts w:ascii="Times New Roman" w:eastAsia="宋体" w:hAnsi="Times New Roman" w:cs="Times New Roman" w:hint="eastAsia"/>
          <w:kern w:val="0"/>
          <w:sz w:val="24"/>
        </w:rPr>
        <w:t>，该航道</w:t>
      </w:r>
      <w:r>
        <w:rPr>
          <w:rFonts w:ascii="Times New Roman" w:eastAsia="宋体" w:hAnsi="Times New Roman" w:cs="Times New Roman"/>
          <w:kern w:val="0"/>
          <w:sz w:val="24"/>
        </w:rPr>
        <w:t>从围头湾石井</w:t>
      </w:r>
      <w:r>
        <w:rPr>
          <w:rFonts w:ascii="Times New Roman" w:eastAsia="宋体" w:hAnsi="Times New Roman" w:cs="Times New Roman"/>
          <w:kern w:val="0"/>
          <w:sz w:val="24"/>
        </w:rPr>
        <w:t>5000</w:t>
      </w:r>
      <w:r>
        <w:rPr>
          <w:rFonts w:ascii="Times New Roman" w:eastAsia="宋体" w:hAnsi="Times New Roman" w:cs="Times New Roman"/>
          <w:kern w:val="0"/>
          <w:sz w:val="24"/>
        </w:rPr>
        <w:t>吨级通海航道</w:t>
      </w:r>
      <w:r>
        <w:rPr>
          <w:rFonts w:ascii="Times New Roman" w:eastAsia="宋体" w:hAnsi="Times New Roman" w:cs="Times New Roman"/>
          <w:kern w:val="0"/>
          <w:sz w:val="24"/>
        </w:rPr>
        <w:t>S3</w:t>
      </w:r>
      <w:r>
        <w:rPr>
          <w:rFonts w:ascii="Times New Roman" w:eastAsia="宋体" w:hAnsi="Times New Roman" w:cs="Times New Roman"/>
          <w:kern w:val="0"/>
          <w:sz w:val="24"/>
        </w:rPr>
        <w:t>点附近的</w:t>
      </w:r>
      <w:r>
        <w:rPr>
          <w:rFonts w:ascii="Times New Roman" w:eastAsia="宋体" w:hAnsi="Times New Roman" w:cs="Times New Roman"/>
          <w:kern w:val="0"/>
          <w:sz w:val="24"/>
        </w:rPr>
        <w:t>J1</w:t>
      </w:r>
      <w:r>
        <w:rPr>
          <w:rFonts w:ascii="Times New Roman" w:eastAsia="宋体" w:hAnsi="Times New Roman" w:cs="Times New Roman"/>
          <w:kern w:val="0"/>
          <w:sz w:val="24"/>
        </w:rPr>
        <w:t>点起，至菊江陆岛交通码头附近的</w:t>
      </w:r>
      <w:r>
        <w:rPr>
          <w:rFonts w:ascii="Times New Roman" w:eastAsia="宋体" w:hAnsi="Times New Roman" w:cs="Times New Roman"/>
          <w:kern w:val="0"/>
          <w:sz w:val="24"/>
        </w:rPr>
        <w:t>J5</w:t>
      </w:r>
      <w:r>
        <w:rPr>
          <w:rFonts w:ascii="Times New Roman" w:eastAsia="宋体" w:hAnsi="Times New Roman" w:cs="Times New Roman"/>
          <w:kern w:val="0"/>
          <w:sz w:val="24"/>
        </w:rPr>
        <w:t>点，航程</w:t>
      </w:r>
      <w:r>
        <w:rPr>
          <w:rFonts w:ascii="Times New Roman" w:eastAsia="宋体" w:hAnsi="Times New Roman" w:cs="Times New Roman"/>
          <w:kern w:val="0"/>
          <w:sz w:val="24"/>
        </w:rPr>
        <w:t>10.63km</w:t>
      </w:r>
      <w:r>
        <w:rPr>
          <w:rFonts w:ascii="Times New Roman" w:eastAsia="宋体" w:hAnsi="Times New Roman" w:cs="Times New Roman" w:hint="eastAsia"/>
          <w:kern w:val="0"/>
          <w:sz w:val="24"/>
        </w:rPr>
        <w:t>，</w:t>
      </w:r>
      <w:r>
        <w:rPr>
          <w:rFonts w:ascii="Times New Roman" w:eastAsia="宋体" w:hAnsi="Times New Roman" w:cs="Times New Roman"/>
          <w:kern w:val="0"/>
          <w:sz w:val="24"/>
        </w:rPr>
        <w:t>有效宽度</w:t>
      </w:r>
      <w:r>
        <w:rPr>
          <w:rFonts w:ascii="Times New Roman" w:eastAsia="宋体" w:hAnsi="Times New Roman" w:cs="Times New Roman"/>
          <w:kern w:val="0"/>
          <w:sz w:val="24"/>
        </w:rPr>
        <w:t>80m</w:t>
      </w:r>
      <w:r>
        <w:rPr>
          <w:rFonts w:ascii="Times New Roman" w:eastAsia="宋体" w:hAnsi="Times New Roman" w:cs="Times New Roman"/>
          <w:kern w:val="0"/>
          <w:sz w:val="24"/>
        </w:rPr>
        <w:t>，可满足营运吃水不大于</w:t>
      </w:r>
      <w:r>
        <w:rPr>
          <w:rFonts w:ascii="Times New Roman" w:eastAsia="宋体" w:hAnsi="Times New Roman" w:cs="Times New Roman"/>
          <w:kern w:val="0"/>
          <w:sz w:val="24"/>
        </w:rPr>
        <w:t>4.2m</w:t>
      </w:r>
      <w:r>
        <w:rPr>
          <w:rFonts w:ascii="Times New Roman" w:eastAsia="宋体" w:hAnsi="Times New Roman" w:cs="Times New Roman"/>
          <w:kern w:val="0"/>
          <w:sz w:val="24"/>
        </w:rPr>
        <w:t>的</w:t>
      </w:r>
      <w:r>
        <w:rPr>
          <w:rFonts w:ascii="Times New Roman" w:eastAsia="宋体" w:hAnsi="Times New Roman" w:cs="Times New Roman"/>
          <w:kern w:val="0"/>
          <w:sz w:val="24"/>
        </w:rPr>
        <w:t>3000</w:t>
      </w:r>
      <w:r>
        <w:rPr>
          <w:rFonts w:ascii="Times New Roman" w:eastAsia="宋体" w:hAnsi="Times New Roman" w:cs="Times New Roman"/>
          <w:kern w:val="0"/>
          <w:sz w:val="24"/>
        </w:rPr>
        <w:t>吨级以下杂货船乘潮单向通航要求</w:t>
      </w:r>
      <w:r>
        <w:rPr>
          <w:rFonts w:ascii="Times New Roman" w:eastAsia="宋体" w:hAnsi="Times New Roman" w:cs="Times New Roman" w:hint="eastAsia"/>
          <w:kern w:val="0"/>
          <w:sz w:val="24"/>
        </w:rPr>
        <w:t>。</w:t>
      </w:r>
      <w:r>
        <w:rPr>
          <w:rFonts w:ascii="Times New Roman" w:eastAsia="宋体" w:hAnsi="Times New Roman" w:cs="Times New Roman"/>
          <w:kern w:val="0"/>
          <w:sz w:val="24"/>
        </w:rPr>
        <w:t>泉州围头湾石井航道二期工程</w:t>
      </w:r>
      <w:r>
        <w:rPr>
          <w:rFonts w:ascii="Times New Roman" w:eastAsia="宋体" w:hAnsi="Times New Roman" w:cs="Times New Roman" w:hint="eastAsia"/>
          <w:kern w:val="0"/>
          <w:sz w:val="24"/>
        </w:rPr>
        <w:t>主航道</w:t>
      </w:r>
      <w:r>
        <w:rPr>
          <w:rFonts w:ascii="Times New Roman" w:eastAsia="宋体" w:hAnsi="Times New Roman" w:cs="Times New Roman"/>
          <w:kern w:val="0"/>
          <w:sz w:val="24"/>
        </w:rPr>
        <w:t>剩余疏浚物</w:t>
      </w:r>
      <w:r>
        <w:rPr>
          <w:rFonts w:ascii="Times New Roman" w:eastAsia="宋体" w:hAnsi="Times New Roman" w:cs="Times New Roman" w:hint="eastAsia"/>
          <w:kern w:val="0"/>
          <w:sz w:val="24"/>
        </w:rPr>
        <w:t>将</w:t>
      </w:r>
      <w:r>
        <w:rPr>
          <w:rFonts w:ascii="Times New Roman" w:eastAsia="宋体" w:hAnsi="Times New Roman" w:cs="Times New Roman"/>
          <w:kern w:val="0"/>
          <w:sz w:val="24"/>
        </w:rPr>
        <w:t>通过菊江航道</w:t>
      </w:r>
      <w:r>
        <w:rPr>
          <w:rFonts w:ascii="Times New Roman" w:eastAsia="宋体" w:hAnsi="Times New Roman" w:cs="Times New Roman" w:hint="eastAsia"/>
          <w:kern w:val="0"/>
          <w:sz w:val="24"/>
        </w:rPr>
        <w:t>，经连接通道</w:t>
      </w:r>
      <w:r>
        <w:rPr>
          <w:rFonts w:ascii="Times New Roman" w:eastAsia="宋体" w:hAnsi="Times New Roman" w:cs="Times New Roman"/>
          <w:kern w:val="0"/>
          <w:sz w:val="24"/>
        </w:rPr>
        <w:t>运输至转运坑。</w:t>
      </w:r>
    </w:p>
    <w:p w14:paraId="36FA055C" w14:textId="7777777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w:t>
      </w:r>
      <w:r>
        <w:rPr>
          <w:rFonts w:ascii="Times New Roman" w:eastAsia="宋体" w:hAnsi="Times New Roman" w:cs="Times New Roman"/>
          <w:kern w:val="0"/>
          <w:sz w:val="24"/>
        </w:rPr>
        <w:t>2</w:t>
      </w:r>
      <w:r>
        <w:rPr>
          <w:rFonts w:ascii="Times New Roman" w:eastAsia="宋体" w:hAnsi="Times New Roman" w:cs="Times New Roman"/>
          <w:kern w:val="0"/>
          <w:sz w:val="24"/>
        </w:rPr>
        <w:t>）围头湾石井航道</w:t>
      </w:r>
    </w:p>
    <w:p w14:paraId="30AC64E7" w14:textId="0E3529E1"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hint="eastAsia"/>
          <w:kern w:val="0"/>
          <w:sz w:val="24"/>
        </w:rPr>
        <w:t>原</w:t>
      </w:r>
      <w:r>
        <w:rPr>
          <w:rFonts w:ascii="Times New Roman" w:eastAsia="宋体" w:hAnsi="Times New Roman" w:cs="Times New Roman"/>
          <w:kern w:val="0"/>
          <w:sz w:val="24"/>
        </w:rPr>
        <w:t>围头湾石井</w:t>
      </w:r>
      <w:r>
        <w:rPr>
          <w:rFonts w:ascii="Times New Roman" w:eastAsia="宋体" w:hAnsi="Times New Roman" w:cs="Times New Roman"/>
          <w:kern w:val="0"/>
          <w:sz w:val="24"/>
        </w:rPr>
        <w:t>5000</w:t>
      </w:r>
      <w:r>
        <w:rPr>
          <w:rFonts w:ascii="Times New Roman" w:eastAsia="宋体" w:hAnsi="Times New Roman" w:cs="Times New Roman"/>
          <w:kern w:val="0"/>
          <w:sz w:val="24"/>
        </w:rPr>
        <w:t>吨级航道从围头湾</w:t>
      </w:r>
      <w:r>
        <w:rPr>
          <w:rFonts w:ascii="Times New Roman" w:eastAsia="宋体" w:hAnsi="Times New Roman" w:cs="Times New Roman"/>
          <w:kern w:val="0"/>
          <w:sz w:val="24"/>
        </w:rPr>
        <w:t>10</w:t>
      </w:r>
      <w:r>
        <w:rPr>
          <w:rFonts w:ascii="Times New Roman" w:eastAsia="宋体" w:hAnsi="Times New Roman" w:cs="Times New Roman"/>
          <w:kern w:val="0"/>
          <w:sz w:val="24"/>
        </w:rPr>
        <w:t>万吨级航道上的</w:t>
      </w:r>
      <w:r>
        <w:rPr>
          <w:rFonts w:ascii="Times New Roman" w:eastAsia="宋体" w:hAnsi="Times New Roman" w:cs="Times New Roman"/>
          <w:kern w:val="0"/>
          <w:sz w:val="24"/>
        </w:rPr>
        <w:t>S</w:t>
      </w:r>
      <w:r>
        <w:rPr>
          <w:rFonts w:ascii="Times New Roman" w:eastAsia="宋体" w:hAnsi="Times New Roman" w:cs="Times New Roman"/>
          <w:kern w:val="0"/>
          <w:sz w:val="24"/>
          <w:vertAlign w:val="subscript"/>
        </w:rPr>
        <w:t>1</w:t>
      </w:r>
      <w:r>
        <w:rPr>
          <w:rFonts w:ascii="Times New Roman" w:eastAsia="宋体" w:hAnsi="Times New Roman" w:cs="Times New Roman"/>
          <w:kern w:val="0"/>
          <w:sz w:val="24"/>
        </w:rPr>
        <w:t>＇点接入至石井作业区二期</w:t>
      </w:r>
      <w:r>
        <w:rPr>
          <w:rFonts w:ascii="Times New Roman" w:eastAsia="宋体" w:hAnsi="Times New Roman" w:cs="Times New Roman"/>
          <w:kern w:val="0"/>
          <w:sz w:val="24"/>
        </w:rPr>
        <w:t>5000</w:t>
      </w:r>
      <w:r>
        <w:rPr>
          <w:rFonts w:ascii="Times New Roman" w:eastAsia="宋体" w:hAnsi="Times New Roman" w:cs="Times New Roman"/>
          <w:kern w:val="0"/>
          <w:sz w:val="24"/>
        </w:rPr>
        <w:t>吨级码头，全长约</w:t>
      </w:r>
      <w:r>
        <w:rPr>
          <w:rFonts w:ascii="Times New Roman" w:eastAsia="宋体" w:hAnsi="Times New Roman" w:cs="Times New Roman"/>
          <w:kern w:val="0"/>
          <w:sz w:val="24"/>
        </w:rPr>
        <w:t>19.10km</w:t>
      </w:r>
      <w:r>
        <w:rPr>
          <w:rFonts w:ascii="Times New Roman" w:eastAsia="宋体" w:hAnsi="Times New Roman" w:cs="Times New Roman"/>
          <w:kern w:val="0"/>
          <w:sz w:val="24"/>
        </w:rPr>
        <w:t>。按照单向航道设计，船型以</w:t>
      </w:r>
      <w:r>
        <w:rPr>
          <w:rFonts w:ascii="Times New Roman" w:eastAsia="宋体" w:hAnsi="Times New Roman" w:cs="Times New Roman"/>
          <w:kern w:val="0"/>
          <w:sz w:val="24"/>
        </w:rPr>
        <w:t>5000</w:t>
      </w:r>
      <w:r>
        <w:rPr>
          <w:rFonts w:ascii="Times New Roman" w:eastAsia="宋体" w:hAnsi="Times New Roman" w:cs="Times New Roman"/>
          <w:kern w:val="0"/>
          <w:sz w:val="24"/>
        </w:rPr>
        <w:t>吨级杂货船、集装箱船、货物滚装船及</w:t>
      </w:r>
      <w:r>
        <w:rPr>
          <w:rFonts w:ascii="Times New Roman" w:eastAsia="宋体" w:hAnsi="Times New Roman" w:cs="Times New Roman"/>
          <w:kern w:val="0"/>
          <w:sz w:val="24"/>
        </w:rPr>
        <w:t>3000</w:t>
      </w:r>
      <w:r>
        <w:rPr>
          <w:rFonts w:ascii="Times New Roman" w:eastAsia="宋体" w:hAnsi="Times New Roman" w:cs="Times New Roman"/>
          <w:kern w:val="0"/>
          <w:sz w:val="24"/>
        </w:rPr>
        <w:t>吨级船舶为代表。</w:t>
      </w:r>
    </w:p>
    <w:p w14:paraId="1DAB80E5" w14:textId="79A8CADD"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泉州围头湾石井航道二期工程在原围头湾石井</w:t>
      </w:r>
      <w:r>
        <w:rPr>
          <w:rFonts w:ascii="Times New Roman" w:eastAsia="宋体" w:hAnsi="Times New Roman" w:cs="Times New Roman"/>
          <w:kern w:val="0"/>
          <w:sz w:val="24"/>
        </w:rPr>
        <w:t>5000</w:t>
      </w:r>
      <w:r>
        <w:rPr>
          <w:rFonts w:ascii="Times New Roman" w:eastAsia="宋体" w:hAnsi="Times New Roman" w:cs="Times New Roman"/>
          <w:kern w:val="0"/>
          <w:sz w:val="24"/>
        </w:rPr>
        <w:t>吨级航道工程的基础上进行改扩建，</w:t>
      </w:r>
      <w:r>
        <w:rPr>
          <w:rFonts w:ascii="Times New Roman" w:eastAsia="宋体" w:hAnsi="Times New Roman" w:cs="Times New Roman" w:hint="eastAsia"/>
          <w:kern w:val="0"/>
          <w:sz w:val="24"/>
        </w:rPr>
        <w:t>以</w:t>
      </w:r>
      <w:r>
        <w:rPr>
          <w:rFonts w:ascii="Times New Roman" w:eastAsia="宋体" w:hAnsi="Times New Roman" w:cs="Times New Roman"/>
          <w:kern w:val="0"/>
          <w:sz w:val="24"/>
        </w:rPr>
        <w:t>满足</w:t>
      </w:r>
      <w:r>
        <w:rPr>
          <w:rFonts w:ascii="Times New Roman" w:eastAsia="宋体" w:hAnsi="Times New Roman" w:cs="Times New Roman"/>
          <w:kern w:val="0"/>
          <w:sz w:val="24"/>
        </w:rPr>
        <w:t>5</w:t>
      </w:r>
      <w:r>
        <w:rPr>
          <w:rFonts w:ascii="Times New Roman" w:eastAsia="宋体" w:hAnsi="Times New Roman" w:cs="Times New Roman"/>
          <w:kern w:val="0"/>
          <w:sz w:val="24"/>
        </w:rPr>
        <w:t>万吨级船舶乘潮通航要求</w:t>
      </w:r>
      <w:r>
        <w:rPr>
          <w:rFonts w:ascii="Times New Roman" w:eastAsia="宋体" w:hAnsi="Times New Roman" w:cs="Times New Roman" w:hint="eastAsia"/>
          <w:kern w:val="0"/>
          <w:sz w:val="24"/>
        </w:rPr>
        <w:t>。石井航道二期工程</w:t>
      </w:r>
      <w:r>
        <w:rPr>
          <w:rFonts w:ascii="Times New Roman" w:eastAsia="宋体" w:hAnsi="Times New Roman" w:cs="Times New Roman" w:hint="eastAsia"/>
          <w:snapToGrid w:val="0"/>
          <w:sz w:val="24"/>
        </w:rPr>
        <w:t>清淤</w:t>
      </w:r>
      <w:r>
        <w:rPr>
          <w:rFonts w:ascii="Times New Roman" w:eastAsia="宋体" w:hAnsi="Times New Roman" w:cs="Times New Roman" w:hint="eastAsia"/>
          <w:snapToGrid w:val="0"/>
          <w:sz w:val="24"/>
        </w:rPr>
        <w:t>595.90</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hint="eastAsia"/>
          <w:snapToGrid w:val="0"/>
          <w:sz w:val="24"/>
        </w:rPr>
        <w:t>³，清渣</w:t>
      </w:r>
      <w:r>
        <w:rPr>
          <w:rFonts w:ascii="Times New Roman" w:eastAsia="宋体" w:hAnsi="Times New Roman" w:cs="Times New Roman" w:hint="eastAsia"/>
          <w:snapToGrid w:val="0"/>
          <w:sz w:val="24"/>
        </w:rPr>
        <w:t>16.21</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hint="eastAsia"/>
          <w:snapToGrid w:val="0"/>
          <w:sz w:val="24"/>
        </w:rPr>
        <w:t>³，</w:t>
      </w:r>
      <w:r>
        <w:rPr>
          <w:rFonts w:ascii="Times New Roman" w:eastAsia="宋体" w:hAnsi="Times New Roman" w:cs="Times New Roman" w:hint="eastAsia"/>
          <w:snapToGrid w:val="0"/>
          <w:sz w:val="24"/>
          <w:lang w:bidi="ar"/>
        </w:rPr>
        <w:t>2021</w:t>
      </w:r>
      <w:r>
        <w:rPr>
          <w:rFonts w:ascii="Times New Roman" w:eastAsia="宋体" w:hAnsi="Times New Roman" w:cs="Times New Roman" w:hint="eastAsia"/>
          <w:snapToGrid w:val="0"/>
          <w:sz w:val="24"/>
          <w:lang w:bidi="ar"/>
        </w:rPr>
        <w:t>年开工，目前</w:t>
      </w:r>
      <w:r>
        <w:rPr>
          <w:rFonts w:ascii="Times New Roman" w:eastAsia="宋体" w:hAnsi="Times New Roman" w:cs="Times New Roman" w:hint="eastAsia"/>
          <w:snapToGrid w:val="0"/>
          <w:sz w:val="24"/>
        </w:rPr>
        <w:t>剩余疏浚工程量约</w:t>
      </w:r>
      <w:r>
        <w:rPr>
          <w:rFonts w:ascii="Times New Roman" w:eastAsia="宋体" w:hAnsi="Times New Roman" w:cs="Times New Roman" w:hint="eastAsia"/>
          <w:snapToGrid w:val="0"/>
          <w:sz w:val="24"/>
        </w:rPr>
        <w:t>30.9</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snapToGrid w:val="0"/>
          <w:sz w:val="24"/>
          <w:vertAlign w:val="superscript"/>
        </w:rPr>
        <w:t>3</w:t>
      </w:r>
      <w:r>
        <w:rPr>
          <w:rFonts w:ascii="Times New Roman" w:eastAsia="宋体" w:hAnsi="Times New Roman" w:cs="Times New Roman" w:hint="eastAsia"/>
          <w:snapToGrid w:val="0"/>
          <w:sz w:val="24"/>
        </w:rPr>
        <w:t>，剩余清礁工程量约</w:t>
      </w:r>
      <w:r>
        <w:rPr>
          <w:rFonts w:ascii="Times New Roman" w:eastAsia="宋体" w:hAnsi="Times New Roman" w:cs="Times New Roman" w:hint="eastAsia"/>
          <w:snapToGrid w:val="0"/>
          <w:sz w:val="24"/>
        </w:rPr>
        <w:t>1.17</w:t>
      </w:r>
      <w:r>
        <w:rPr>
          <w:rFonts w:ascii="Times New Roman" w:eastAsia="宋体" w:hAnsi="Times New Roman" w:cs="Times New Roman" w:hint="eastAsia"/>
          <w:snapToGrid w:val="0"/>
          <w:sz w:val="24"/>
        </w:rPr>
        <w:t>万</w:t>
      </w:r>
      <w:r>
        <w:rPr>
          <w:rFonts w:ascii="Times New Roman" w:eastAsia="宋体" w:hAnsi="Times New Roman" w:cs="Times New Roman" w:hint="eastAsia"/>
          <w:snapToGrid w:val="0"/>
          <w:sz w:val="24"/>
        </w:rPr>
        <w:t>m</w:t>
      </w:r>
      <w:r>
        <w:rPr>
          <w:rFonts w:ascii="Times New Roman" w:eastAsia="宋体" w:hAnsi="Times New Roman" w:cs="Times New Roman" w:hint="eastAsia"/>
          <w:snapToGrid w:val="0"/>
          <w:sz w:val="24"/>
        </w:rPr>
        <w:t>³。围头湾石井航道二期工程用海已于</w:t>
      </w:r>
      <w:r>
        <w:rPr>
          <w:rFonts w:ascii="Times New Roman" w:eastAsia="宋体" w:hAnsi="Times New Roman" w:cs="Times New Roman" w:hint="eastAsia"/>
          <w:snapToGrid w:val="0"/>
          <w:sz w:val="24"/>
        </w:rPr>
        <w:t>2025</w:t>
      </w:r>
      <w:r>
        <w:rPr>
          <w:rFonts w:ascii="Times New Roman" w:eastAsia="宋体" w:hAnsi="Times New Roman" w:cs="Times New Roman" w:hint="eastAsia"/>
          <w:snapToGrid w:val="0"/>
          <w:sz w:val="24"/>
        </w:rPr>
        <w:t>年</w:t>
      </w:r>
      <w:r>
        <w:rPr>
          <w:rFonts w:ascii="Times New Roman" w:eastAsia="宋体" w:hAnsi="Times New Roman" w:cs="Times New Roman" w:hint="eastAsia"/>
          <w:snapToGrid w:val="0"/>
          <w:sz w:val="24"/>
        </w:rPr>
        <w:t>10</w:t>
      </w:r>
      <w:r>
        <w:rPr>
          <w:rFonts w:ascii="Times New Roman" w:eastAsia="宋体" w:hAnsi="Times New Roman" w:cs="Times New Roman" w:hint="eastAsia"/>
          <w:snapToGrid w:val="0"/>
          <w:sz w:val="24"/>
        </w:rPr>
        <w:t>月</w:t>
      </w:r>
      <w:r>
        <w:rPr>
          <w:rFonts w:ascii="Times New Roman" w:eastAsia="宋体" w:hAnsi="Times New Roman" w:cs="Times New Roman" w:hint="eastAsia"/>
          <w:snapToGrid w:val="0"/>
          <w:sz w:val="24"/>
        </w:rPr>
        <w:t>14</w:t>
      </w:r>
      <w:r>
        <w:rPr>
          <w:rFonts w:ascii="Times New Roman" w:eastAsia="宋体" w:hAnsi="Times New Roman" w:cs="Times New Roman" w:hint="eastAsia"/>
          <w:snapToGrid w:val="0"/>
          <w:sz w:val="24"/>
        </w:rPr>
        <w:t>日到期，为满足后续施工的用海需求、保障航道</w:t>
      </w:r>
      <w:r>
        <w:rPr>
          <w:rFonts w:ascii="Times New Roman" w:eastAsia="宋体" w:hAnsi="Times New Roman" w:cs="Times New Roman" w:hint="eastAsia"/>
          <w:snapToGrid w:val="0"/>
          <w:sz w:val="24"/>
        </w:rPr>
        <w:lastRenderedPageBreak/>
        <w:t>清淤项目顺利实施，泉州市港口发展股份有限公司正在办理后续施工用海相关工作，目前已经取得用海预审意见。</w:t>
      </w:r>
      <w:r>
        <w:rPr>
          <w:rFonts w:ascii="Times New Roman" w:eastAsia="宋体" w:hAnsi="Times New Roman" w:cs="Times New Roman"/>
          <w:kern w:val="0"/>
          <w:sz w:val="24"/>
        </w:rPr>
        <w:t>转运坑是泉州围头湾石井航道二期工程的配套项目</w:t>
      </w:r>
      <w:r>
        <w:rPr>
          <w:rFonts w:ascii="Times New Roman" w:eastAsia="宋体" w:hAnsi="Times New Roman" w:cs="Times New Roman" w:hint="eastAsia"/>
          <w:kern w:val="0"/>
          <w:sz w:val="24"/>
        </w:rPr>
        <w:t>，航道后续</w:t>
      </w:r>
      <w:r>
        <w:rPr>
          <w:rFonts w:ascii="Times New Roman" w:eastAsia="宋体" w:hAnsi="Times New Roman" w:cs="Times New Roman"/>
          <w:kern w:val="0"/>
          <w:sz w:val="24"/>
        </w:rPr>
        <w:t>疏浚量约</w:t>
      </w:r>
      <w:r>
        <w:rPr>
          <w:rFonts w:ascii="Times New Roman" w:eastAsia="宋体" w:hAnsi="Times New Roman" w:cs="Times New Roman"/>
          <w:kern w:val="0"/>
          <w:sz w:val="24"/>
        </w:rPr>
        <w:t>30.9</w:t>
      </w:r>
      <w:r>
        <w:rPr>
          <w:rFonts w:ascii="Times New Roman" w:eastAsia="宋体" w:hAnsi="Times New Roman" w:cs="Times New Roman"/>
          <w:kern w:val="0"/>
          <w:sz w:val="24"/>
        </w:rPr>
        <w:t>万</w:t>
      </w:r>
      <w:r>
        <w:rPr>
          <w:rFonts w:ascii="Times New Roman" w:eastAsia="宋体" w:hAnsi="Times New Roman" w:cs="Times New Roman"/>
          <w:kern w:val="0"/>
          <w:sz w:val="24"/>
        </w:rPr>
        <w:t>m³</w:t>
      </w:r>
      <w:r>
        <w:rPr>
          <w:rFonts w:ascii="Times New Roman" w:eastAsia="宋体" w:hAnsi="Times New Roman" w:cs="Times New Roman"/>
          <w:kern w:val="0"/>
          <w:sz w:val="24"/>
        </w:rPr>
        <w:t>拟抛掷于</w:t>
      </w:r>
      <w:r>
        <w:rPr>
          <w:rFonts w:ascii="Times New Roman" w:eastAsia="宋体" w:hAnsi="Times New Roman" w:cs="Times New Roman" w:hint="eastAsia"/>
          <w:kern w:val="0"/>
          <w:sz w:val="24"/>
        </w:rPr>
        <w:t>本项目</w:t>
      </w:r>
      <w:r>
        <w:rPr>
          <w:rFonts w:ascii="Times New Roman" w:eastAsia="宋体" w:hAnsi="Times New Roman" w:cs="Times New Roman"/>
          <w:kern w:val="0"/>
          <w:sz w:val="24"/>
        </w:rPr>
        <w:t>转运坑。</w:t>
      </w:r>
    </w:p>
    <w:p w14:paraId="210B3737" w14:textId="77777777" w:rsidR="00EB6ADA" w:rsidRDefault="00000000">
      <w:pPr>
        <w:pStyle w:val="4"/>
      </w:pPr>
      <w:r>
        <w:rPr>
          <w:rFonts w:hint="eastAsia"/>
        </w:rPr>
        <w:t>4</w:t>
      </w:r>
      <w:r>
        <w:t>.1.2.2</w:t>
      </w:r>
      <w:r>
        <w:t>填海造地用海</w:t>
      </w:r>
    </w:p>
    <w:p w14:paraId="4651F320" w14:textId="1F26A454"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项目东北侧为南安市石井海峡科技生态城</w:t>
      </w:r>
      <w:r>
        <w:rPr>
          <w:rFonts w:ascii="Times New Roman" w:eastAsia="宋体" w:hAnsi="Times New Roman" w:cs="Times New Roman"/>
          <w:kern w:val="0"/>
          <w:sz w:val="24"/>
        </w:rPr>
        <w:t>3</w:t>
      </w:r>
      <w:r>
        <w:rPr>
          <w:rFonts w:ascii="Times New Roman" w:eastAsia="宋体" w:hAnsi="Times New Roman" w:cs="Times New Roman"/>
          <w:kern w:val="0"/>
          <w:sz w:val="24"/>
        </w:rPr>
        <w:t>号、南安市海峡科技生态城</w:t>
      </w:r>
      <w:r>
        <w:rPr>
          <w:rFonts w:ascii="Times New Roman" w:eastAsia="宋体" w:hAnsi="Times New Roman" w:cs="Times New Roman"/>
          <w:kern w:val="0"/>
          <w:sz w:val="24"/>
        </w:rPr>
        <w:t>A</w:t>
      </w:r>
      <w:r>
        <w:rPr>
          <w:rFonts w:ascii="Times New Roman" w:eastAsia="宋体" w:hAnsi="Times New Roman" w:cs="Times New Roman"/>
          <w:kern w:val="0"/>
          <w:sz w:val="24"/>
        </w:rPr>
        <w:t>片区科院南路工程。</w:t>
      </w:r>
      <w:r>
        <w:rPr>
          <w:rFonts w:ascii="Times New Roman" w:eastAsia="宋体" w:hAnsi="Times New Roman" w:cs="Times New Roman" w:hint="eastAsia"/>
          <w:kern w:val="0"/>
          <w:sz w:val="24"/>
        </w:rPr>
        <w:t>截止</w:t>
      </w:r>
      <w:r w:rsidR="004002F0">
        <w:rPr>
          <w:rFonts w:ascii="Times New Roman" w:eastAsia="宋体" w:hAnsi="Times New Roman" w:cs="Times New Roman" w:hint="eastAsia"/>
          <w:kern w:val="0"/>
          <w:sz w:val="24"/>
        </w:rPr>
        <w:t>到</w:t>
      </w:r>
      <w:r>
        <w:rPr>
          <w:rFonts w:ascii="Times New Roman" w:eastAsia="宋体" w:hAnsi="Times New Roman" w:cs="Times New Roman" w:hint="eastAsia"/>
          <w:kern w:val="0"/>
          <w:sz w:val="24"/>
        </w:rPr>
        <w:t>2025</w:t>
      </w:r>
      <w:r>
        <w:rPr>
          <w:rFonts w:ascii="Times New Roman" w:eastAsia="宋体" w:hAnsi="Times New Roman" w:cs="Times New Roman" w:hint="eastAsia"/>
          <w:kern w:val="0"/>
          <w:sz w:val="24"/>
        </w:rPr>
        <w:t>年</w:t>
      </w:r>
      <w:r>
        <w:rPr>
          <w:rFonts w:ascii="Times New Roman" w:eastAsia="宋体" w:hAnsi="Times New Roman" w:cs="Times New Roman" w:hint="eastAsia"/>
          <w:kern w:val="0"/>
          <w:sz w:val="24"/>
        </w:rPr>
        <w:t>10</w:t>
      </w:r>
      <w:r>
        <w:rPr>
          <w:rFonts w:ascii="Times New Roman" w:eastAsia="宋体" w:hAnsi="Times New Roman" w:cs="Times New Roman" w:hint="eastAsia"/>
          <w:kern w:val="0"/>
          <w:sz w:val="24"/>
        </w:rPr>
        <w:t>月</w:t>
      </w:r>
      <w:r>
        <w:rPr>
          <w:rFonts w:ascii="Times New Roman" w:eastAsia="宋体" w:hAnsi="Times New Roman" w:cs="Times New Roman" w:hint="eastAsia"/>
          <w:kern w:val="0"/>
          <w:sz w:val="24"/>
        </w:rPr>
        <w:t>14</w:t>
      </w:r>
      <w:r>
        <w:rPr>
          <w:rFonts w:ascii="Times New Roman" w:eastAsia="宋体" w:hAnsi="Times New Roman" w:cs="Times New Roman" w:hint="eastAsia"/>
          <w:kern w:val="0"/>
          <w:sz w:val="24"/>
        </w:rPr>
        <w:t>日，石井航道二期工程共完成疏浚</w:t>
      </w:r>
      <w:r>
        <w:rPr>
          <w:rFonts w:ascii="Times New Roman" w:eastAsia="宋体" w:hAnsi="Times New Roman" w:cs="Times New Roman" w:hint="eastAsia"/>
          <w:kern w:val="0"/>
          <w:sz w:val="24"/>
        </w:rPr>
        <w:t>565.0</w:t>
      </w:r>
      <w:r>
        <w:rPr>
          <w:rFonts w:ascii="Times New Roman" w:eastAsia="宋体" w:hAnsi="Times New Roman" w:cs="Times New Roman" w:hint="eastAsia"/>
          <w:kern w:val="0"/>
          <w:sz w:val="24"/>
        </w:rPr>
        <w:t>万</w:t>
      </w:r>
      <w:r>
        <w:rPr>
          <w:rFonts w:ascii="Times New Roman" w:eastAsia="宋体" w:hAnsi="Times New Roman" w:cs="Times New Roman" w:hint="eastAsia"/>
          <w:kern w:val="0"/>
          <w:sz w:val="24"/>
        </w:rPr>
        <w:t>m</w:t>
      </w:r>
      <w:r>
        <w:rPr>
          <w:rFonts w:ascii="Times New Roman" w:eastAsia="宋体" w:hAnsi="Times New Roman" w:cs="Times New Roman" w:hint="eastAsia"/>
          <w:kern w:val="0"/>
          <w:sz w:val="24"/>
        </w:rPr>
        <w:t>³，疏浚物均运送至本项目的转运坑，其中</w:t>
      </w:r>
      <w:r>
        <w:rPr>
          <w:rFonts w:ascii="Times New Roman" w:eastAsia="宋体" w:hAnsi="Times New Roman" w:cs="Times New Roman" w:hint="eastAsia"/>
          <w:kern w:val="0"/>
          <w:sz w:val="24"/>
        </w:rPr>
        <w:t>527.95</w:t>
      </w:r>
      <w:r>
        <w:rPr>
          <w:rFonts w:ascii="Times New Roman" w:eastAsia="宋体" w:hAnsi="Times New Roman" w:cs="Times New Roman" w:hint="eastAsia"/>
          <w:kern w:val="0"/>
          <w:sz w:val="24"/>
        </w:rPr>
        <w:t>万</w:t>
      </w:r>
      <w:r>
        <w:rPr>
          <w:rFonts w:ascii="Times New Roman" w:eastAsia="宋体" w:hAnsi="Times New Roman" w:cs="Times New Roman" w:hint="eastAsia"/>
          <w:kern w:val="0"/>
          <w:sz w:val="24"/>
        </w:rPr>
        <w:t>m</w:t>
      </w:r>
      <w:r>
        <w:rPr>
          <w:rFonts w:ascii="Times New Roman" w:eastAsia="宋体" w:hAnsi="Times New Roman" w:cs="Times New Roman" w:hint="eastAsia"/>
          <w:kern w:val="0"/>
          <w:sz w:val="24"/>
          <w:vertAlign w:val="superscript"/>
        </w:rPr>
        <w:t>3</w:t>
      </w:r>
      <w:r>
        <w:rPr>
          <w:rFonts w:ascii="Times New Roman" w:eastAsia="宋体" w:hAnsi="Times New Roman" w:cs="Times New Roman" w:hint="eastAsia"/>
          <w:kern w:val="0"/>
          <w:sz w:val="24"/>
        </w:rPr>
        <w:t>已由转运坑吹填至南安市海峡科技生态城</w:t>
      </w:r>
      <w:r>
        <w:rPr>
          <w:rFonts w:ascii="Times New Roman" w:eastAsia="宋体" w:hAnsi="Times New Roman" w:cs="Times New Roman" w:hint="eastAsia"/>
          <w:kern w:val="0"/>
          <w:sz w:val="24"/>
        </w:rPr>
        <w:t>A</w:t>
      </w:r>
      <w:r>
        <w:rPr>
          <w:rFonts w:ascii="Times New Roman" w:eastAsia="宋体" w:hAnsi="Times New Roman" w:cs="Times New Roman" w:hint="eastAsia"/>
          <w:kern w:val="0"/>
          <w:sz w:val="24"/>
        </w:rPr>
        <w:t>片区综合利用，先</w:t>
      </w:r>
      <w:r>
        <w:rPr>
          <w:rFonts w:ascii="Times New Roman" w:eastAsia="宋体" w:hAnsi="Times New Roman" w:cs="Times New Roman"/>
          <w:kern w:val="0"/>
          <w:sz w:val="24"/>
        </w:rPr>
        <w:t>吹填至生态城</w:t>
      </w:r>
      <w:r>
        <w:rPr>
          <w:rFonts w:ascii="Times New Roman" w:eastAsia="宋体" w:hAnsi="Times New Roman" w:cs="Times New Roman"/>
          <w:kern w:val="0"/>
          <w:sz w:val="24"/>
        </w:rPr>
        <w:t>3</w:t>
      </w:r>
      <w:r>
        <w:rPr>
          <w:rFonts w:ascii="Times New Roman" w:eastAsia="宋体" w:hAnsi="Times New Roman" w:cs="Times New Roman"/>
          <w:kern w:val="0"/>
          <w:sz w:val="24"/>
        </w:rPr>
        <w:t>号地块，然后经科院南路运输至</w:t>
      </w:r>
      <w:r>
        <w:rPr>
          <w:rFonts w:ascii="Times New Roman" w:eastAsia="宋体" w:hAnsi="Times New Roman" w:cs="Times New Roman" w:hint="eastAsia"/>
          <w:kern w:val="0"/>
          <w:sz w:val="24"/>
        </w:rPr>
        <w:t>A</w:t>
      </w:r>
      <w:r>
        <w:rPr>
          <w:rFonts w:ascii="Times New Roman" w:eastAsia="宋体" w:hAnsi="Times New Roman" w:cs="Times New Roman" w:hint="eastAsia"/>
          <w:kern w:val="0"/>
          <w:sz w:val="24"/>
        </w:rPr>
        <w:t>片区</w:t>
      </w:r>
      <w:r>
        <w:rPr>
          <w:rFonts w:ascii="Times New Roman" w:eastAsia="宋体" w:hAnsi="Times New Roman" w:cs="Times New Roman"/>
          <w:kern w:val="0"/>
          <w:sz w:val="24"/>
        </w:rPr>
        <w:t>其他填海区。</w:t>
      </w:r>
      <w:r>
        <w:rPr>
          <w:rFonts w:ascii="Times New Roman" w:eastAsia="宋体" w:hAnsi="Times New Roman" w:cs="Times New Roman" w:hint="eastAsia"/>
          <w:kern w:val="0"/>
          <w:sz w:val="24"/>
        </w:rPr>
        <w:t>生态城</w:t>
      </w:r>
      <w:r>
        <w:rPr>
          <w:rFonts w:ascii="Times New Roman" w:eastAsia="宋体" w:hAnsi="Times New Roman" w:cs="Times New Roman"/>
          <w:kern w:val="0"/>
          <w:sz w:val="24"/>
        </w:rPr>
        <w:t>3</w:t>
      </w:r>
      <w:r>
        <w:rPr>
          <w:rFonts w:ascii="Times New Roman" w:eastAsia="宋体" w:hAnsi="Times New Roman" w:cs="Times New Roman" w:hint="eastAsia"/>
          <w:kern w:val="0"/>
          <w:sz w:val="24"/>
        </w:rPr>
        <w:t>号地块及</w:t>
      </w:r>
      <w:r>
        <w:rPr>
          <w:rFonts w:ascii="Times New Roman" w:eastAsia="宋体" w:hAnsi="Times New Roman" w:cs="Times New Roman"/>
          <w:kern w:val="0"/>
          <w:sz w:val="24"/>
        </w:rPr>
        <w:t>A</w:t>
      </w:r>
      <w:r>
        <w:rPr>
          <w:rFonts w:ascii="Times New Roman" w:eastAsia="宋体" w:hAnsi="Times New Roman" w:cs="Times New Roman" w:hint="eastAsia"/>
          <w:kern w:val="0"/>
          <w:sz w:val="24"/>
        </w:rPr>
        <w:t>片区其他填海区已填至标高，后续转运坑不再吹填泥沙上岸。</w:t>
      </w:r>
    </w:p>
    <w:p w14:paraId="50E8EAAA" w14:textId="77777777" w:rsidR="00EB6ADA" w:rsidRDefault="00000000">
      <w:pPr>
        <w:pStyle w:val="4"/>
      </w:pPr>
      <w:r>
        <w:rPr>
          <w:rFonts w:hint="eastAsia"/>
        </w:rPr>
        <w:t>4</w:t>
      </w:r>
      <w:r>
        <w:t>.1.2.3</w:t>
      </w:r>
      <w:r>
        <w:t>海底工程用海</w:t>
      </w:r>
    </w:p>
    <w:p w14:paraId="127F6602" w14:textId="431239F8"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项目东侧及东南侧为南安市沿海片区污水处理厂尾水深海排放工程，该工程为两条并行</w:t>
      </w:r>
      <w:r>
        <w:rPr>
          <w:rFonts w:ascii="Times New Roman" w:eastAsia="宋体" w:hAnsi="Times New Roman" w:cs="Times New Roman"/>
          <w:kern w:val="0"/>
          <w:sz w:val="24"/>
        </w:rPr>
        <w:t>D1016mm</w:t>
      </w:r>
      <w:r>
        <w:rPr>
          <w:rFonts w:ascii="Times New Roman" w:eastAsia="宋体" w:hAnsi="Times New Roman" w:cs="Times New Roman"/>
          <w:kern w:val="0"/>
          <w:sz w:val="24"/>
        </w:rPr>
        <w:t>钢制海底管道，设计污水排放量</w:t>
      </w:r>
      <w:r>
        <w:rPr>
          <w:rFonts w:ascii="Times New Roman" w:eastAsia="宋体" w:hAnsi="Times New Roman" w:cs="Times New Roman"/>
          <w:kern w:val="0"/>
          <w:sz w:val="24"/>
        </w:rPr>
        <w:t>16</w:t>
      </w:r>
      <w:r>
        <w:rPr>
          <w:rFonts w:ascii="Times New Roman" w:eastAsia="宋体" w:hAnsi="Times New Roman" w:cs="Times New Roman"/>
          <w:kern w:val="0"/>
          <w:sz w:val="24"/>
        </w:rPr>
        <w:t>万</w:t>
      </w:r>
      <w:r>
        <w:rPr>
          <w:rFonts w:ascii="Times New Roman" w:eastAsia="宋体" w:hAnsi="Times New Roman" w:cs="Times New Roman"/>
          <w:kern w:val="0"/>
          <w:sz w:val="24"/>
        </w:rPr>
        <w:t>m³/d</w:t>
      </w:r>
      <w:r>
        <w:rPr>
          <w:rFonts w:ascii="Times New Roman" w:eastAsia="宋体" w:hAnsi="Times New Roman" w:cs="Times New Roman"/>
          <w:kern w:val="0"/>
          <w:sz w:val="24"/>
        </w:rPr>
        <w:t>，单根海底管道长度约</w:t>
      </w:r>
      <w:r>
        <w:rPr>
          <w:rFonts w:ascii="Times New Roman" w:eastAsia="宋体" w:hAnsi="Times New Roman" w:cs="Times New Roman"/>
          <w:kern w:val="0"/>
          <w:sz w:val="24"/>
        </w:rPr>
        <w:t>10.5km</w:t>
      </w:r>
      <w:r>
        <w:rPr>
          <w:rFonts w:ascii="Times New Roman" w:eastAsia="宋体" w:hAnsi="Times New Roman" w:cs="Times New Roman"/>
          <w:kern w:val="0"/>
          <w:sz w:val="24"/>
        </w:rPr>
        <w:t>。海域使用面积</w:t>
      </w:r>
      <w:r>
        <w:rPr>
          <w:rFonts w:ascii="Times New Roman" w:eastAsia="宋体" w:hAnsi="Times New Roman" w:cs="Times New Roman"/>
          <w:kern w:val="0"/>
          <w:sz w:val="24"/>
        </w:rPr>
        <w:t>63.7025</w:t>
      </w:r>
      <w:r>
        <w:rPr>
          <w:rFonts w:ascii="Times New Roman" w:eastAsia="宋体" w:hAnsi="Times New Roman" w:cs="Times New Roman"/>
          <w:kern w:val="0"/>
          <w:sz w:val="24"/>
        </w:rPr>
        <w:t>公顷，其中海底管道用海面积</w:t>
      </w:r>
      <w:r>
        <w:rPr>
          <w:rFonts w:ascii="Times New Roman" w:eastAsia="宋体" w:hAnsi="Times New Roman" w:cs="Times New Roman"/>
          <w:kern w:val="0"/>
          <w:sz w:val="24"/>
        </w:rPr>
        <w:t>52.8669</w:t>
      </w:r>
      <w:r>
        <w:rPr>
          <w:rFonts w:ascii="Times New Roman" w:eastAsia="宋体" w:hAnsi="Times New Roman" w:cs="Times New Roman"/>
          <w:kern w:val="0"/>
          <w:sz w:val="24"/>
        </w:rPr>
        <w:t>公顷，取、排水口用海面积为</w:t>
      </w:r>
      <w:r>
        <w:rPr>
          <w:rFonts w:ascii="Times New Roman" w:eastAsia="宋体" w:hAnsi="Times New Roman" w:cs="Times New Roman"/>
          <w:kern w:val="0"/>
          <w:sz w:val="24"/>
        </w:rPr>
        <w:t>3.6244</w:t>
      </w:r>
      <w:r>
        <w:rPr>
          <w:rFonts w:ascii="Times New Roman" w:eastAsia="宋体" w:hAnsi="Times New Roman" w:cs="Times New Roman"/>
          <w:kern w:val="0"/>
          <w:sz w:val="24"/>
        </w:rPr>
        <w:t>公顷，污水达标排放用海面积为</w:t>
      </w:r>
      <w:r>
        <w:rPr>
          <w:rFonts w:ascii="Times New Roman" w:eastAsia="宋体" w:hAnsi="Times New Roman" w:cs="Times New Roman"/>
          <w:kern w:val="0"/>
          <w:sz w:val="24"/>
        </w:rPr>
        <w:t>2.5149</w:t>
      </w:r>
      <w:r>
        <w:rPr>
          <w:rFonts w:ascii="Times New Roman" w:eastAsia="宋体" w:hAnsi="Times New Roman" w:cs="Times New Roman"/>
          <w:kern w:val="0"/>
          <w:sz w:val="24"/>
        </w:rPr>
        <w:t>公顷。工程于</w:t>
      </w:r>
      <w:r>
        <w:rPr>
          <w:rFonts w:ascii="Times New Roman" w:eastAsia="宋体" w:hAnsi="Times New Roman" w:cs="Times New Roman"/>
          <w:kern w:val="0"/>
          <w:sz w:val="24"/>
        </w:rPr>
        <w:t>2024</w:t>
      </w:r>
      <w:r>
        <w:rPr>
          <w:rFonts w:ascii="Times New Roman" w:eastAsia="宋体" w:hAnsi="Times New Roman" w:cs="Times New Roman"/>
          <w:kern w:val="0"/>
          <w:sz w:val="24"/>
        </w:rPr>
        <w:t>年建成投入使用。</w:t>
      </w:r>
    </w:p>
    <w:p w14:paraId="3C7923EF" w14:textId="77777777" w:rsidR="00EB6ADA" w:rsidRDefault="00000000">
      <w:pPr>
        <w:pStyle w:val="4"/>
      </w:pPr>
      <w:r>
        <w:rPr>
          <w:rFonts w:hint="eastAsia"/>
        </w:rPr>
        <w:t>4</w:t>
      </w:r>
      <w:r>
        <w:t>.1.2.4</w:t>
      </w:r>
      <w:r>
        <w:t>渔业用海</w:t>
      </w:r>
    </w:p>
    <w:p w14:paraId="0E644D10" w14:textId="5D3D4423"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hint="eastAsia"/>
          <w:kern w:val="0"/>
          <w:sz w:val="24"/>
        </w:rPr>
        <w:t>本项目位于</w:t>
      </w:r>
      <w:r>
        <w:rPr>
          <w:rFonts w:ascii="Times New Roman" w:eastAsia="宋体" w:hAnsi="Times New Roman" w:cs="Times New Roman"/>
          <w:kern w:val="0"/>
          <w:sz w:val="24"/>
        </w:rPr>
        <w:t>南安市海峡科技生态城项目</w:t>
      </w:r>
      <w:r>
        <w:rPr>
          <w:rFonts w:ascii="Times New Roman" w:eastAsia="宋体" w:hAnsi="Times New Roman" w:cs="Times New Roman" w:hint="eastAsia"/>
          <w:kern w:val="0"/>
          <w:sz w:val="24"/>
        </w:rPr>
        <w:t>南侧，</w:t>
      </w:r>
      <w:r>
        <w:rPr>
          <w:rFonts w:ascii="Times New Roman" w:eastAsia="宋体" w:hAnsi="Times New Roman" w:cs="Times New Roman"/>
          <w:kern w:val="0"/>
          <w:sz w:val="24"/>
        </w:rPr>
        <w:t>南安市海峡科技生态城项目工程区周边养殖主要为溪东村、岑兜村及奎霞村三个村的开放式养殖，石井镇于</w:t>
      </w:r>
      <w:r>
        <w:rPr>
          <w:rFonts w:ascii="Times New Roman" w:eastAsia="宋体" w:hAnsi="Times New Roman" w:cs="Times New Roman"/>
          <w:kern w:val="0"/>
          <w:sz w:val="24"/>
        </w:rPr>
        <w:t>2010</w:t>
      </w:r>
      <w:r>
        <w:rPr>
          <w:rFonts w:ascii="Times New Roman" w:eastAsia="宋体" w:hAnsi="Times New Roman" w:cs="Times New Roman"/>
          <w:kern w:val="0"/>
          <w:sz w:val="24"/>
        </w:rPr>
        <w:t>年开始海域退养工作，南安市海峡科技生态城项目工程区周边海域养殖户补偿工作已</w:t>
      </w:r>
      <w:r>
        <w:rPr>
          <w:rFonts w:ascii="Times New Roman" w:eastAsia="宋体" w:hAnsi="Times New Roman" w:cs="Times New Roman" w:hint="eastAsia"/>
          <w:kern w:val="0"/>
          <w:sz w:val="24"/>
        </w:rPr>
        <w:t>于</w:t>
      </w:r>
      <w:r>
        <w:rPr>
          <w:rFonts w:ascii="Times New Roman" w:eastAsia="宋体" w:hAnsi="Times New Roman" w:cs="Times New Roman"/>
          <w:kern w:val="0"/>
          <w:sz w:val="24"/>
        </w:rPr>
        <w:t>2018</w:t>
      </w:r>
      <w:r>
        <w:rPr>
          <w:rFonts w:ascii="Times New Roman" w:eastAsia="宋体" w:hAnsi="Times New Roman" w:cs="Times New Roman"/>
          <w:kern w:val="0"/>
          <w:sz w:val="24"/>
        </w:rPr>
        <w:t>年完成。</w:t>
      </w:r>
    </w:p>
    <w:p w14:paraId="38ED0BFF" w14:textId="6EEA55C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根据《泉州围头湾石井航道二期工程疏浚物综合处置配套项目</w:t>
      </w:r>
      <w:r w:rsidR="004A55CE">
        <w:rPr>
          <w:rFonts w:ascii="Times New Roman" w:eastAsia="宋体" w:hAnsi="Times New Roman" w:cs="Times New Roman"/>
          <w:kern w:val="0"/>
          <w:sz w:val="24"/>
        </w:rPr>
        <w:t>（</w:t>
      </w:r>
      <w:r>
        <w:rPr>
          <w:rFonts w:ascii="Times New Roman" w:eastAsia="宋体" w:hAnsi="Times New Roman" w:cs="Times New Roman"/>
          <w:kern w:val="0"/>
          <w:sz w:val="24"/>
        </w:rPr>
        <w:t>转运坑</w:t>
      </w:r>
      <w:r w:rsidR="004A55CE">
        <w:rPr>
          <w:rFonts w:ascii="Times New Roman" w:eastAsia="宋体" w:hAnsi="Times New Roman" w:cs="Times New Roman"/>
          <w:kern w:val="0"/>
          <w:sz w:val="24"/>
        </w:rPr>
        <w:t>）</w:t>
      </w:r>
      <w:r>
        <w:rPr>
          <w:rFonts w:ascii="Times New Roman" w:eastAsia="宋体" w:hAnsi="Times New Roman" w:cs="Times New Roman"/>
          <w:kern w:val="0"/>
          <w:sz w:val="24"/>
        </w:rPr>
        <w:t>菊江村海域使用权收回补偿协议》，石井镇人民政府与菊江村委会于</w:t>
      </w:r>
      <w:r>
        <w:rPr>
          <w:rFonts w:ascii="Times New Roman" w:eastAsia="宋体" w:hAnsi="Times New Roman" w:cs="Times New Roman"/>
          <w:kern w:val="0"/>
          <w:sz w:val="24"/>
        </w:rPr>
        <w:t>2020</w:t>
      </w:r>
      <w:r>
        <w:rPr>
          <w:rFonts w:ascii="Times New Roman" w:eastAsia="宋体" w:hAnsi="Times New Roman" w:cs="Times New Roman"/>
          <w:kern w:val="0"/>
          <w:sz w:val="24"/>
        </w:rPr>
        <w:t>年</w:t>
      </w:r>
      <w:r>
        <w:rPr>
          <w:rFonts w:ascii="Times New Roman" w:eastAsia="宋体" w:hAnsi="Times New Roman" w:cs="Times New Roman"/>
          <w:kern w:val="0"/>
          <w:sz w:val="24"/>
        </w:rPr>
        <w:t>11</w:t>
      </w:r>
      <w:r>
        <w:rPr>
          <w:rFonts w:ascii="Times New Roman" w:eastAsia="宋体" w:hAnsi="Times New Roman" w:cs="Times New Roman"/>
          <w:kern w:val="0"/>
          <w:sz w:val="24"/>
        </w:rPr>
        <w:t>月签订了补偿协议，对</w:t>
      </w:r>
      <w:r>
        <w:rPr>
          <w:rFonts w:ascii="Times New Roman" w:eastAsia="宋体" w:hAnsi="Times New Roman" w:cs="Times New Roman" w:hint="eastAsia"/>
          <w:kern w:val="0"/>
          <w:sz w:val="24"/>
        </w:rPr>
        <w:t>转运坑</w:t>
      </w:r>
      <w:r>
        <w:rPr>
          <w:rFonts w:ascii="Times New Roman" w:eastAsia="宋体" w:hAnsi="Times New Roman" w:cs="Times New Roman"/>
          <w:kern w:val="0"/>
          <w:sz w:val="24"/>
        </w:rPr>
        <w:t>用海范围及周边</w:t>
      </w:r>
      <w:r>
        <w:rPr>
          <w:rFonts w:ascii="Times New Roman" w:eastAsia="宋体" w:hAnsi="Times New Roman" w:cs="Times New Roman"/>
          <w:kern w:val="0"/>
          <w:sz w:val="24"/>
        </w:rPr>
        <w:t>203.069</w:t>
      </w:r>
      <w:r>
        <w:rPr>
          <w:rFonts w:ascii="Times New Roman" w:eastAsia="宋体" w:hAnsi="Times New Roman" w:cs="Times New Roman"/>
          <w:kern w:val="0"/>
          <w:sz w:val="24"/>
        </w:rPr>
        <w:t>亩牡蛎养殖区进行赔偿。</w:t>
      </w:r>
    </w:p>
    <w:p w14:paraId="1F0C1617" w14:textId="7777777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根据</w:t>
      </w:r>
      <w:r>
        <w:rPr>
          <w:rFonts w:ascii="Times New Roman" w:eastAsia="宋体" w:hAnsi="Times New Roman" w:cs="Times New Roman"/>
          <w:kern w:val="0"/>
          <w:sz w:val="24"/>
        </w:rPr>
        <w:t>2026</w:t>
      </w:r>
      <w:r>
        <w:rPr>
          <w:rFonts w:ascii="Times New Roman" w:eastAsia="宋体" w:hAnsi="Times New Roman" w:cs="Times New Roman"/>
          <w:kern w:val="0"/>
          <w:sz w:val="24"/>
        </w:rPr>
        <w:t>年</w:t>
      </w:r>
      <w:r>
        <w:rPr>
          <w:rFonts w:ascii="Times New Roman" w:eastAsia="宋体" w:hAnsi="Times New Roman" w:cs="Times New Roman"/>
          <w:kern w:val="0"/>
          <w:sz w:val="24"/>
        </w:rPr>
        <w:t>1</w:t>
      </w:r>
      <w:r>
        <w:rPr>
          <w:rFonts w:ascii="Times New Roman" w:eastAsia="宋体" w:hAnsi="Times New Roman" w:cs="Times New Roman"/>
          <w:kern w:val="0"/>
          <w:sz w:val="24"/>
        </w:rPr>
        <w:t>月现场踏勘，用海区北侧及西侧分布养殖区块面积</w:t>
      </w:r>
      <w:r>
        <w:rPr>
          <w:rFonts w:ascii="Times New Roman" w:eastAsia="宋体" w:hAnsi="Times New Roman" w:cs="Times New Roman" w:hint="eastAsia"/>
          <w:kern w:val="0"/>
          <w:sz w:val="24"/>
        </w:rPr>
        <w:t>约</w:t>
      </w:r>
      <w:r>
        <w:rPr>
          <w:rFonts w:ascii="Times New Roman" w:eastAsia="宋体" w:hAnsi="Times New Roman" w:cs="Times New Roman"/>
          <w:kern w:val="0"/>
          <w:sz w:val="24"/>
        </w:rPr>
        <w:t>17.</w:t>
      </w:r>
      <w:r>
        <w:rPr>
          <w:rFonts w:ascii="Times New Roman" w:eastAsia="宋体" w:hAnsi="Times New Roman" w:cs="Times New Roman" w:hint="eastAsia"/>
          <w:kern w:val="0"/>
          <w:sz w:val="24"/>
        </w:rPr>
        <w:t>6</w:t>
      </w:r>
      <w:r>
        <w:rPr>
          <w:rFonts w:ascii="Times New Roman" w:eastAsia="宋体" w:hAnsi="Times New Roman" w:cs="Times New Roman"/>
          <w:kern w:val="0"/>
          <w:sz w:val="24"/>
        </w:rPr>
        <w:t>公顷，</w:t>
      </w:r>
      <w:r>
        <w:rPr>
          <w:rFonts w:ascii="Times New Roman" w:eastAsia="宋体" w:hAnsi="Times New Roman" w:cs="Times New Roman" w:hint="eastAsia"/>
          <w:kern w:val="0"/>
          <w:sz w:val="24"/>
        </w:rPr>
        <w:t>南侧分布海水养殖区块面积约</w:t>
      </w:r>
      <w:r>
        <w:rPr>
          <w:rFonts w:ascii="Times New Roman" w:eastAsia="宋体" w:hAnsi="Times New Roman" w:cs="Times New Roman"/>
          <w:kern w:val="0"/>
          <w:sz w:val="24"/>
        </w:rPr>
        <w:t>1.5</w:t>
      </w:r>
      <w:r>
        <w:rPr>
          <w:rFonts w:ascii="Times New Roman" w:eastAsia="宋体" w:hAnsi="Times New Roman" w:cs="Times New Roman" w:hint="eastAsia"/>
          <w:kern w:val="0"/>
          <w:sz w:val="24"/>
        </w:rPr>
        <w:t>公顷，</w:t>
      </w:r>
      <w:r>
        <w:rPr>
          <w:rFonts w:ascii="Times New Roman" w:eastAsia="宋体" w:hAnsi="Times New Roman" w:cs="Times New Roman"/>
          <w:kern w:val="0"/>
          <w:sz w:val="24"/>
        </w:rPr>
        <w:t>养殖品种主要为牡蛎，养殖主体为南安市石井镇菊江村海水养殖户。其中</w:t>
      </w:r>
      <w:r>
        <w:rPr>
          <w:rFonts w:ascii="Times New Roman" w:eastAsia="宋体" w:hAnsi="Times New Roman" w:cs="Times New Roman" w:hint="eastAsia"/>
          <w:kern w:val="0"/>
          <w:sz w:val="24"/>
        </w:rPr>
        <w:t>北侧</w:t>
      </w:r>
      <w:r>
        <w:rPr>
          <w:rFonts w:ascii="Times New Roman" w:eastAsia="宋体" w:hAnsi="Times New Roman" w:cs="Times New Roman" w:hint="eastAsia"/>
          <w:kern w:val="0"/>
          <w:sz w:val="24"/>
        </w:rPr>
        <w:t>0.2</w:t>
      </w:r>
      <w:r>
        <w:rPr>
          <w:rFonts w:ascii="Times New Roman" w:eastAsia="宋体" w:hAnsi="Times New Roman" w:cs="Times New Roman" w:hint="eastAsia"/>
          <w:kern w:val="0"/>
          <w:sz w:val="24"/>
        </w:rPr>
        <w:t>公顷</w:t>
      </w:r>
      <w:r>
        <w:rPr>
          <w:rFonts w:ascii="Times New Roman" w:eastAsia="宋体" w:hAnsi="Times New Roman" w:cs="Times New Roman"/>
          <w:kern w:val="0"/>
          <w:sz w:val="24"/>
        </w:rPr>
        <w:t>位于项目用海范围内，</w:t>
      </w:r>
      <w:r>
        <w:rPr>
          <w:rFonts w:ascii="Times New Roman" w:eastAsia="宋体" w:hAnsi="Times New Roman" w:cs="Times New Roman" w:hint="eastAsia"/>
          <w:kern w:val="0"/>
          <w:sz w:val="24"/>
        </w:rPr>
        <w:t>在本项目首次办理海域使用权证时已补偿。</w:t>
      </w:r>
    </w:p>
    <w:p w14:paraId="610B9E97" w14:textId="77777777" w:rsidR="00EB6ADA" w:rsidRDefault="00000000">
      <w:pPr>
        <w:pStyle w:val="3"/>
      </w:pPr>
      <w:r>
        <w:rPr>
          <w:rFonts w:hint="eastAsia"/>
        </w:rPr>
        <w:t>4</w:t>
      </w:r>
      <w:r>
        <w:t>.1.3</w:t>
      </w:r>
      <w:r>
        <w:t>海域使用权属现状</w:t>
      </w:r>
    </w:p>
    <w:p w14:paraId="15CFED83" w14:textId="686089F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项目周边已确权</w:t>
      </w:r>
      <w:r>
        <w:rPr>
          <w:rFonts w:ascii="Times New Roman" w:eastAsia="宋体" w:hAnsi="Times New Roman" w:cs="Times New Roman" w:hint="eastAsia"/>
          <w:kern w:val="0"/>
          <w:sz w:val="24"/>
        </w:rPr>
        <w:t>用海</w:t>
      </w:r>
      <w:r>
        <w:rPr>
          <w:rFonts w:ascii="Times New Roman" w:eastAsia="宋体" w:hAnsi="Times New Roman" w:cs="Times New Roman"/>
          <w:kern w:val="0"/>
          <w:sz w:val="24"/>
        </w:rPr>
        <w:t>包括：南安市石井海峡科技生态城</w:t>
      </w:r>
      <w:r>
        <w:rPr>
          <w:rFonts w:ascii="Times New Roman" w:eastAsia="宋体" w:hAnsi="Times New Roman" w:cs="Times New Roman"/>
          <w:kern w:val="0"/>
          <w:sz w:val="24"/>
        </w:rPr>
        <w:t>3</w:t>
      </w:r>
      <w:r>
        <w:rPr>
          <w:rFonts w:ascii="Times New Roman" w:eastAsia="宋体" w:hAnsi="Times New Roman" w:cs="Times New Roman"/>
          <w:kern w:val="0"/>
          <w:sz w:val="24"/>
        </w:rPr>
        <w:t>号、南安市海峡科技生态城</w:t>
      </w:r>
      <w:r>
        <w:rPr>
          <w:rFonts w:ascii="Times New Roman" w:eastAsia="宋体" w:hAnsi="Times New Roman" w:cs="Times New Roman"/>
          <w:kern w:val="0"/>
          <w:sz w:val="24"/>
        </w:rPr>
        <w:t>A</w:t>
      </w:r>
      <w:r>
        <w:rPr>
          <w:rFonts w:ascii="Times New Roman" w:eastAsia="宋体" w:hAnsi="Times New Roman" w:cs="Times New Roman"/>
          <w:kern w:val="0"/>
          <w:sz w:val="24"/>
        </w:rPr>
        <w:t>片区科院南路工程、南安市沿海片区污水处理厂尾水深海排放工程。</w:t>
      </w:r>
    </w:p>
    <w:p w14:paraId="314B8F11" w14:textId="77777777" w:rsidR="00EB6ADA" w:rsidRDefault="00000000">
      <w:pPr>
        <w:pStyle w:val="2"/>
      </w:pPr>
      <w:bookmarkStart w:id="22" w:name="_Toc224053291"/>
      <w:r>
        <w:rPr>
          <w:rFonts w:hint="eastAsia"/>
        </w:rPr>
        <w:lastRenderedPageBreak/>
        <w:t>4</w:t>
      </w:r>
      <w:r>
        <w:t>.2</w:t>
      </w:r>
      <w:r>
        <w:t>项目用海对海域开发活动的影响</w:t>
      </w:r>
      <w:bookmarkEnd w:id="22"/>
    </w:p>
    <w:p w14:paraId="65E3A94E" w14:textId="77777777" w:rsidR="00EB6ADA" w:rsidRDefault="00000000">
      <w:pPr>
        <w:pStyle w:val="3"/>
        <w:widowControl/>
        <w:adjustRightInd w:val="0"/>
        <w:jc w:val="left"/>
        <w:textAlignment w:val="baseline"/>
        <w:rPr>
          <w:rFonts w:cs="Times New Roman"/>
          <w:snapToGrid w:val="0"/>
        </w:rPr>
      </w:pPr>
      <w:r>
        <w:rPr>
          <w:rFonts w:cs="Times New Roman" w:hint="eastAsia"/>
          <w:snapToGrid w:val="0"/>
        </w:rPr>
        <w:t>4</w:t>
      </w:r>
      <w:r>
        <w:rPr>
          <w:rFonts w:cs="Times New Roman"/>
          <w:snapToGrid w:val="0"/>
        </w:rPr>
        <w:t>.2.1</w:t>
      </w:r>
      <w:r>
        <w:rPr>
          <w:rFonts w:cs="Times New Roman"/>
          <w:snapToGrid w:val="0"/>
        </w:rPr>
        <w:t>对菊江航道的影响</w:t>
      </w:r>
    </w:p>
    <w:p w14:paraId="69E306C6" w14:textId="77777777" w:rsidR="00EB6ADA" w:rsidRDefault="00000000">
      <w:pPr>
        <w:adjustRightInd w:val="0"/>
        <w:spacing w:line="360" w:lineRule="auto"/>
        <w:ind w:firstLine="420"/>
        <w:rPr>
          <w:rFonts w:ascii="Times New Roman" w:eastAsia="宋体" w:hAnsi="Times New Roman" w:cs="Times New Roman"/>
          <w:b/>
          <w:color w:val="000000"/>
          <w:sz w:val="24"/>
          <w:szCs w:val="24"/>
        </w:rPr>
      </w:pPr>
      <w:r>
        <w:rPr>
          <w:rFonts w:ascii="Times New Roman" w:eastAsia="宋体" w:hAnsi="Times New Roman" w:cs="Times New Roman" w:hint="eastAsia"/>
          <w:b/>
          <w:sz w:val="24"/>
          <w:szCs w:val="24"/>
        </w:rPr>
        <w:t>（</w:t>
      </w:r>
      <w:r>
        <w:rPr>
          <w:rFonts w:ascii="Times New Roman" w:eastAsia="宋体" w:hAnsi="Times New Roman" w:cs="Times New Roman"/>
          <w:b/>
          <w:sz w:val="24"/>
          <w:szCs w:val="24"/>
        </w:rPr>
        <w:t>1</w:t>
      </w:r>
      <w:r>
        <w:rPr>
          <w:rFonts w:ascii="Times New Roman" w:eastAsia="宋体" w:hAnsi="Times New Roman" w:cs="Times New Roman" w:hint="eastAsia"/>
          <w:b/>
          <w:sz w:val="24"/>
          <w:szCs w:val="24"/>
        </w:rPr>
        <w:t>）</w:t>
      </w:r>
      <w:r>
        <w:rPr>
          <w:rFonts w:ascii="Times New Roman" w:eastAsia="宋体" w:hAnsi="Times New Roman" w:cs="Times New Roman" w:hint="eastAsia"/>
          <w:b/>
          <w:color w:val="000000"/>
          <w:sz w:val="24"/>
          <w:szCs w:val="24"/>
        </w:rPr>
        <w:t>对菊江航道通航安全的影响</w:t>
      </w:r>
    </w:p>
    <w:p w14:paraId="4587DA48" w14:textId="3C2EA7BE" w:rsidR="00EB6ADA" w:rsidRDefault="00000000">
      <w:pPr>
        <w:adjustRightInd w:val="0"/>
        <w:spacing w:line="360" w:lineRule="auto"/>
        <w:ind w:firstLine="42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施工期</w:t>
      </w:r>
      <w:r>
        <w:rPr>
          <w:rFonts w:ascii="Times New Roman" w:eastAsia="宋体" w:hAnsi="Times New Roman" w:cs="Times New Roman"/>
          <w:color w:val="000000"/>
          <w:sz w:val="24"/>
          <w:szCs w:val="24"/>
        </w:rPr>
        <w:t>泥驳船通过菊江航道至转运坑，平均每天</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艘，施工船舶进出</w:t>
      </w:r>
      <w:r>
        <w:rPr>
          <w:rFonts w:ascii="Times New Roman" w:eastAsia="宋体" w:hAnsi="Times New Roman" w:cs="Times New Roman" w:hint="eastAsia"/>
          <w:color w:val="000000"/>
          <w:sz w:val="24"/>
          <w:szCs w:val="24"/>
        </w:rPr>
        <w:t>将</w:t>
      </w:r>
      <w:r>
        <w:rPr>
          <w:rFonts w:ascii="Times New Roman" w:eastAsia="宋体" w:hAnsi="Times New Roman" w:cs="Times New Roman"/>
          <w:color w:val="000000"/>
          <w:sz w:val="24"/>
          <w:szCs w:val="24"/>
        </w:rPr>
        <w:t>增加菊江航道</w:t>
      </w:r>
      <w:r>
        <w:rPr>
          <w:rFonts w:ascii="Times New Roman" w:eastAsia="宋体" w:hAnsi="Times New Roman" w:cs="Times New Roman"/>
          <w:bCs/>
          <w:sz w:val="24"/>
          <w:szCs w:val="24"/>
        </w:rPr>
        <w:t>的</w:t>
      </w:r>
      <w:r>
        <w:rPr>
          <w:rFonts w:ascii="Times New Roman" w:eastAsia="宋体" w:hAnsi="Times New Roman" w:cs="Times New Roman"/>
          <w:color w:val="000000"/>
          <w:sz w:val="24"/>
          <w:szCs w:val="24"/>
        </w:rPr>
        <w:t>通航密度。施工单位应提前向海事主管部门做好通航报备，做好通航安全保障措施，保证通航安全。</w:t>
      </w:r>
    </w:p>
    <w:p w14:paraId="07CDDBC5" w14:textId="408B9EE3" w:rsidR="00EB6ADA" w:rsidRDefault="00000000">
      <w:pPr>
        <w:adjustRightInd w:val="0"/>
        <w:spacing w:line="360" w:lineRule="auto"/>
        <w:ind w:firstLine="420"/>
        <w:rPr>
          <w:rFonts w:ascii="Times New Roman" w:eastAsia="宋体" w:hAnsi="Times New Roman" w:cs="Times New Roman"/>
          <w:b/>
          <w:bCs/>
          <w:color w:val="000000"/>
          <w:sz w:val="24"/>
          <w:szCs w:val="24"/>
          <w:highlight w:val="yellow"/>
        </w:rPr>
      </w:pPr>
      <w:r>
        <w:rPr>
          <w:rFonts w:ascii="Times New Roman" w:eastAsia="宋体" w:hAnsi="Times New Roman" w:cs="Times New Roman" w:hint="eastAsia"/>
          <w:b/>
          <w:bCs/>
          <w:color w:val="000000"/>
          <w:sz w:val="24"/>
          <w:szCs w:val="24"/>
        </w:rPr>
        <w:t>（</w:t>
      </w:r>
      <w:r>
        <w:rPr>
          <w:rFonts w:ascii="Times New Roman" w:eastAsia="宋体" w:hAnsi="Times New Roman" w:cs="Times New Roman"/>
          <w:b/>
          <w:bCs/>
          <w:color w:val="000000"/>
          <w:sz w:val="24"/>
          <w:szCs w:val="24"/>
        </w:rPr>
        <w:t>2</w:t>
      </w:r>
      <w:r>
        <w:rPr>
          <w:rFonts w:ascii="Times New Roman" w:eastAsia="宋体" w:hAnsi="Times New Roman" w:cs="Times New Roman" w:hint="eastAsia"/>
          <w:b/>
          <w:bCs/>
          <w:color w:val="000000"/>
          <w:sz w:val="24"/>
          <w:szCs w:val="24"/>
        </w:rPr>
        <w:t>）对菊江航道水动力及冲淤的影响</w:t>
      </w:r>
    </w:p>
    <w:p w14:paraId="7F74BF59" w14:textId="77777777" w:rsidR="00EB6ADA" w:rsidRDefault="00000000">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根据数模计算结果，</w:t>
      </w:r>
      <w:r>
        <w:rPr>
          <w:rFonts w:ascii="Times New Roman" w:eastAsia="宋体" w:hAnsi="Times New Roman" w:cs="Times New Roman" w:hint="eastAsia"/>
          <w:sz w:val="24"/>
          <w:szCs w:val="24"/>
        </w:rPr>
        <w:t>工程实施后，</w:t>
      </w:r>
      <w:r>
        <w:rPr>
          <w:rFonts w:ascii="Times New Roman" w:eastAsia="宋体" w:hAnsi="Times New Roman" w:cs="Times New Roman"/>
          <w:sz w:val="24"/>
          <w:szCs w:val="24"/>
        </w:rPr>
        <w:t>菊江航道内</w:t>
      </w:r>
      <w:r>
        <w:rPr>
          <w:rFonts w:ascii="Times New Roman" w:eastAsia="宋体" w:hAnsi="Times New Roman" w:cs="Times New Roman" w:hint="eastAsia"/>
          <w:sz w:val="24"/>
          <w:szCs w:val="24"/>
        </w:rPr>
        <w:t>各流速对比点在</w:t>
      </w:r>
      <w:r>
        <w:rPr>
          <w:rFonts w:ascii="Times New Roman" w:eastAsia="宋体" w:hAnsi="Times New Roman" w:cs="Times New Roman"/>
          <w:sz w:val="24"/>
          <w:szCs w:val="24"/>
        </w:rPr>
        <w:t>落潮过程，平均流速</w:t>
      </w:r>
      <w:r>
        <w:rPr>
          <w:rFonts w:ascii="Times New Roman" w:eastAsia="宋体" w:hAnsi="Times New Roman" w:cs="Times New Roman" w:hint="eastAsia"/>
          <w:sz w:val="24"/>
          <w:szCs w:val="24"/>
        </w:rPr>
        <w:t>最大</w:t>
      </w:r>
      <w:r>
        <w:rPr>
          <w:rFonts w:ascii="Times New Roman" w:eastAsia="宋体" w:hAnsi="Times New Roman" w:cs="Times New Roman"/>
          <w:sz w:val="24"/>
          <w:szCs w:val="24"/>
        </w:rPr>
        <w:t>增加</w:t>
      </w:r>
      <w:r>
        <w:rPr>
          <w:rFonts w:ascii="Times New Roman" w:eastAsia="宋体" w:hAnsi="Times New Roman" w:cs="Times New Roman"/>
          <w:sz w:val="24"/>
          <w:szCs w:val="24"/>
        </w:rPr>
        <w:t>0.01m/s</w:t>
      </w:r>
      <w:r>
        <w:rPr>
          <w:rFonts w:ascii="Times New Roman" w:eastAsia="宋体" w:hAnsi="Times New Roman" w:cs="Times New Roman"/>
          <w:sz w:val="24"/>
          <w:szCs w:val="24"/>
        </w:rPr>
        <w:t>，其余各点无变化</w:t>
      </w:r>
      <w:r>
        <w:rPr>
          <w:rFonts w:ascii="Times New Roman" w:eastAsia="宋体" w:hAnsi="Times New Roman" w:cs="Times New Roman" w:hint="eastAsia"/>
          <w:sz w:val="24"/>
          <w:szCs w:val="24"/>
        </w:rPr>
        <w:t>；</w:t>
      </w:r>
      <w:r>
        <w:rPr>
          <w:rFonts w:ascii="Times New Roman" w:eastAsia="宋体" w:hAnsi="Times New Roman" w:cs="Times New Roman"/>
          <w:sz w:val="24"/>
          <w:szCs w:val="24"/>
        </w:rPr>
        <w:t>涨潮过程平均流速</w:t>
      </w:r>
      <w:r>
        <w:rPr>
          <w:rFonts w:ascii="Times New Roman" w:eastAsia="宋体" w:hAnsi="Times New Roman" w:cs="Times New Roman" w:hint="eastAsia"/>
          <w:sz w:val="24"/>
          <w:szCs w:val="24"/>
        </w:rPr>
        <w:t>最大</w:t>
      </w:r>
      <w:r>
        <w:rPr>
          <w:rFonts w:ascii="Times New Roman" w:eastAsia="宋体" w:hAnsi="Times New Roman" w:cs="Times New Roman"/>
          <w:sz w:val="24"/>
          <w:szCs w:val="24"/>
        </w:rPr>
        <w:t>增加</w:t>
      </w:r>
      <w:r>
        <w:rPr>
          <w:rFonts w:ascii="Times New Roman" w:eastAsia="宋体" w:hAnsi="Times New Roman" w:cs="Times New Roman"/>
          <w:sz w:val="24"/>
          <w:szCs w:val="24"/>
        </w:rPr>
        <w:t>0.01m/s</w:t>
      </w:r>
      <w:r>
        <w:rPr>
          <w:rFonts w:ascii="Times New Roman" w:eastAsia="宋体" w:hAnsi="Times New Roman" w:cs="Times New Roman"/>
          <w:sz w:val="24"/>
          <w:szCs w:val="24"/>
        </w:rPr>
        <w:t>，其余各点无变化。工程实施后，泥沙冲淤</w:t>
      </w:r>
      <w:r>
        <w:rPr>
          <w:rFonts w:ascii="Times New Roman" w:eastAsia="宋体" w:hAnsi="Times New Roman" w:cs="Times New Roman" w:hint="eastAsia"/>
          <w:sz w:val="24"/>
          <w:szCs w:val="24"/>
        </w:rPr>
        <w:t>影响</w:t>
      </w:r>
      <w:r>
        <w:rPr>
          <w:rFonts w:ascii="Times New Roman" w:eastAsia="宋体" w:hAnsi="Times New Roman" w:cs="Times New Roman"/>
          <w:sz w:val="24"/>
          <w:szCs w:val="24"/>
        </w:rPr>
        <w:t>范围</w:t>
      </w:r>
      <w:r>
        <w:rPr>
          <w:rFonts w:ascii="Times New Roman" w:eastAsia="宋体" w:hAnsi="Times New Roman" w:cs="Times New Roman" w:hint="eastAsia"/>
          <w:sz w:val="24"/>
          <w:szCs w:val="24"/>
        </w:rPr>
        <w:t>仅在转运坑东北角小范围涉及菊江航道，</w:t>
      </w:r>
      <w:r>
        <w:rPr>
          <w:rFonts w:ascii="Times New Roman" w:eastAsia="宋体" w:hAnsi="Times New Roman" w:cs="Times New Roman"/>
          <w:sz w:val="24"/>
          <w:szCs w:val="24"/>
        </w:rPr>
        <w:t>对菊江航道影响</w:t>
      </w:r>
      <w:r>
        <w:rPr>
          <w:rFonts w:ascii="Times New Roman" w:eastAsia="宋体" w:hAnsi="Times New Roman" w:cs="Times New Roman" w:hint="eastAsia"/>
          <w:sz w:val="24"/>
          <w:szCs w:val="24"/>
        </w:rPr>
        <w:t>较小</w:t>
      </w:r>
      <w:r>
        <w:rPr>
          <w:rFonts w:ascii="Times New Roman" w:eastAsia="宋体" w:hAnsi="Times New Roman" w:cs="Times New Roman"/>
          <w:sz w:val="24"/>
          <w:szCs w:val="24"/>
        </w:rPr>
        <w:t>。</w:t>
      </w:r>
    </w:p>
    <w:p w14:paraId="3CDDAEAC" w14:textId="77777777" w:rsidR="00EB6ADA" w:rsidRDefault="00000000">
      <w:pPr>
        <w:pStyle w:val="3"/>
        <w:widowControl/>
        <w:adjustRightInd w:val="0"/>
        <w:jc w:val="left"/>
        <w:textAlignment w:val="baseline"/>
        <w:rPr>
          <w:rFonts w:cs="Times New Roman"/>
        </w:rPr>
      </w:pPr>
      <w:r>
        <w:rPr>
          <w:rFonts w:cs="Times New Roman" w:hint="eastAsia"/>
        </w:rPr>
        <w:t>4</w:t>
      </w:r>
      <w:r>
        <w:rPr>
          <w:rFonts w:cs="Times New Roman"/>
        </w:rPr>
        <w:t>.2.2</w:t>
      </w:r>
      <w:r>
        <w:rPr>
          <w:rFonts w:cs="Times New Roman"/>
        </w:rPr>
        <w:t>对海水养殖的影响</w:t>
      </w:r>
    </w:p>
    <w:p w14:paraId="1F82C159" w14:textId="64E5F026" w:rsidR="00EB6ADA" w:rsidRDefault="00000000">
      <w:pPr>
        <w:adjustRightIn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rPr>
        <w:t>根据</w:t>
      </w:r>
      <w:r>
        <w:rPr>
          <w:rFonts w:ascii="Times New Roman" w:eastAsia="宋体" w:hAnsi="Times New Roman" w:cs="Times New Roman"/>
          <w:sz w:val="24"/>
          <w:szCs w:val="24"/>
        </w:rPr>
        <w:t>数模预测结果，</w:t>
      </w:r>
      <w:r>
        <w:rPr>
          <w:rFonts w:ascii="Times New Roman" w:eastAsia="宋体" w:hAnsi="Times New Roman" w:cs="Times New Roman" w:hint="eastAsia"/>
          <w:sz w:val="24"/>
          <w:szCs w:val="24"/>
        </w:rPr>
        <w:t>施工期间</w:t>
      </w:r>
      <w:r>
        <w:rPr>
          <w:rFonts w:ascii="Times New Roman" w:eastAsia="宋体" w:hAnsi="Times New Roman" w:cs="Times New Roman"/>
          <w:sz w:val="24"/>
          <w:szCs w:val="24"/>
        </w:rPr>
        <w:t>10mg/L</w:t>
      </w:r>
      <w:r>
        <w:rPr>
          <w:rFonts w:ascii="Times New Roman" w:eastAsia="宋体" w:hAnsi="Times New Roman" w:cs="Times New Roman"/>
          <w:sz w:val="24"/>
          <w:szCs w:val="24"/>
        </w:rPr>
        <w:t>悬浮泥沙浓度</w:t>
      </w:r>
      <w:r>
        <w:rPr>
          <w:rFonts w:ascii="Times New Roman" w:eastAsia="宋体" w:hAnsi="Times New Roman" w:cs="Times New Roman" w:hint="eastAsia"/>
          <w:sz w:val="24"/>
          <w:szCs w:val="24"/>
        </w:rPr>
        <w:t>增量影响范围内的</w:t>
      </w:r>
      <w:r>
        <w:rPr>
          <w:rFonts w:ascii="Times New Roman" w:eastAsia="宋体" w:hAnsi="Times New Roman" w:cs="Times New Roman"/>
          <w:sz w:val="24"/>
          <w:szCs w:val="24"/>
        </w:rPr>
        <w:t>海水养殖面积约为</w:t>
      </w:r>
      <w:r>
        <w:rPr>
          <w:rFonts w:ascii="Times New Roman" w:eastAsia="宋体" w:hAnsi="Times New Roman" w:cs="Times New Roman"/>
          <w:sz w:val="24"/>
          <w:szCs w:val="24"/>
        </w:rPr>
        <w:t>1</w:t>
      </w:r>
      <w:r>
        <w:rPr>
          <w:rFonts w:ascii="Times New Roman" w:eastAsia="宋体" w:hAnsi="Times New Roman" w:cs="Times New Roman" w:hint="eastAsia"/>
          <w:sz w:val="24"/>
          <w:szCs w:val="24"/>
        </w:rPr>
        <w:t>9.1</w:t>
      </w:r>
      <w:r>
        <w:rPr>
          <w:rFonts w:ascii="Times New Roman" w:eastAsia="宋体" w:hAnsi="Times New Roman" w:cs="Times New Roman"/>
          <w:sz w:val="24"/>
          <w:szCs w:val="24"/>
        </w:rPr>
        <w:t>公顷，</w:t>
      </w:r>
      <w:r>
        <w:rPr>
          <w:rFonts w:ascii="Times New Roman" w:eastAsia="宋体" w:hAnsi="Times New Roman" w:cs="Times New Roman" w:hint="eastAsia"/>
          <w:sz w:val="24"/>
          <w:szCs w:val="24"/>
        </w:rPr>
        <w:t>影响区内</w:t>
      </w:r>
      <w:r>
        <w:rPr>
          <w:rFonts w:ascii="Times New Roman" w:eastAsia="宋体" w:hAnsi="Times New Roman" w:cs="Times New Roman"/>
          <w:sz w:val="24"/>
          <w:szCs w:val="24"/>
        </w:rPr>
        <w:t>主要</w:t>
      </w:r>
      <w:r>
        <w:rPr>
          <w:rFonts w:ascii="Times New Roman" w:eastAsia="宋体" w:hAnsi="Times New Roman" w:cs="Times New Roman" w:hint="eastAsia"/>
          <w:sz w:val="24"/>
          <w:szCs w:val="24"/>
        </w:rPr>
        <w:t>养殖</w:t>
      </w:r>
      <w:r>
        <w:rPr>
          <w:rFonts w:ascii="Times New Roman" w:eastAsia="宋体" w:hAnsi="Times New Roman" w:cs="Times New Roman"/>
          <w:sz w:val="24"/>
          <w:szCs w:val="24"/>
        </w:rPr>
        <w:t>品种为牡蛎等，养殖主体为南安市石井镇菊江村</w:t>
      </w:r>
      <w:r>
        <w:rPr>
          <w:rFonts w:ascii="Times New Roman" w:eastAsia="宋体" w:hAnsi="Times New Roman" w:cs="Times New Roman" w:hint="eastAsia"/>
          <w:sz w:val="24"/>
          <w:szCs w:val="24"/>
        </w:rPr>
        <w:t>养殖户</w:t>
      </w:r>
      <w:r>
        <w:rPr>
          <w:rFonts w:ascii="Times New Roman" w:eastAsia="宋体" w:hAnsi="Times New Roman" w:cs="Times New Roman"/>
          <w:sz w:val="24"/>
          <w:szCs w:val="24"/>
        </w:rPr>
        <w:t>。</w:t>
      </w:r>
    </w:p>
    <w:p w14:paraId="6F768B61" w14:textId="77777777" w:rsidR="00EB6ADA" w:rsidRDefault="00000000">
      <w:pPr>
        <w:pStyle w:val="2"/>
        <w:widowControl/>
        <w:jc w:val="left"/>
        <w:rPr>
          <w:rFonts w:cs="Times New Roman"/>
        </w:rPr>
      </w:pPr>
      <w:bookmarkStart w:id="23" w:name="_Toc192844056"/>
      <w:bookmarkStart w:id="24" w:name="_Toc9542"/>
      <w:bookmarkStart w:id="25" w:name="_Toc38017447"/>
      <w:bookmarkStart w:id="26" w:name="_Toc224053292"/>
      <w:r>
        <w:rPr>
          <w:rFonts w:cs="Times New Roman" w:hint="eastAsia"/>
        </w:rPr>
        <w:t>4</w:t>
      </w:r>
      <w:r>
        <w:rPr>
          <w:rFonts w:cs="Times New Roman"/>
        </w:rPr>
        <w:t>.3</w:t>
      </w:r>
      <w:r>
        <w:rPr>
          <w:rFonts w:cs="Times New Roman"/>
        </w:rPr>
        <w:t>利益相关者界定</w:t>
      </w:r>
      <w:bookmarkEnd w:id="23"/>
      <w:bookmarkEnd w:id="24"/>
      <w:bookmarkEnd w:id="25"/>
      <w:bookmarkEnd w:id="26"/>
    </w:p>
    <w:p w14:paraId="31CDF3FD" w14:textId="77777777" w:rsidR="00EB6ADA" w:rsidRDefault="00000000">
      <w:pPr>
        <w:adjustRightInd w:val="0"/>
        <w:spacing w:line="360" w:lineRule="auto"/>
        <w:ind w:firstLine="482"/>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根据项目用海对周边开发活动的影响分析，最终确定本工程利益相关者为南安市石井镇</w:t>
      </w:r>
      <w:r>
        <w:rPr>
          <w:rFonts w:ascii="Times New Roman" w:eastAsia="宋体" w:hAnsi="Times New Roman" w:cs="Times New Roman"/>
          <w:sz w:val="24"/>
          <w:szCs w:val="24"/>
        </w:rPr>
        <w:t>菊江村海水养殖户</w:t>
      </w:r>
      <w:r>
        <w:rPr>
          <w:rFonts w:ascii="Times New Roman" w:eastAsia="宋体" w:hAnsi="Times New Roman" w:cs="Times New Roman"/>
          <w:color w:val="000000"/>
          <w:sz w:val="24"/>
          <w:szCs w:val="24"/>
        </w:rPr>
        <w:t>；需协调部门为泉州海事局。</w:t>
      </w:r>
    </w:p>
    <w:p w14:paraId="4515EC2E" w14:textId="77777777" w:rsidR="00EB6ADA" w:rsidRDefault="00000000">
      <w:pPr>
        <w:adjustRightInd w:val="0"/>
        <w:snapToGrid w:val="0"/>
        <w:spacing w:line="360" w:lineRule="auto"/>
        <w:ind w:firstLineChars="200" w:firstLine="48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表</w:t>
      </w:r>
      <w:r>
        <w:rPr>
          <w:rFonts w:ascii="Times New Roman" w:eastAsia="宋体" w:hAnsi="Times New Roman" w:cs="Times New Roman" w:hint="eastAsia"/>
          <w:color w:val="000000"/>
          <w:sz w:val="24"/>
          <w:szCs w:val="24"/>
        </w:rPr>
        <w:t>4</w:t>
      </w:r>
      <w:r>
        <w:rPr>
          <w:rFonts w:ascii="Times New Roman" w:eastAsia="宋体" w:hAnsi="Times New Roman" w:cs="Times New Roman"/>
          <w:color w:val="000000"/>
          <w:sz w:val="24"/>
          <w:szCs w:val="24"/>
        </w:rPr>
        <w:t xml:space="preserve">.3-1 </w:t>
      </w:r>
      <w:r>
        <w:rPr>
          <w:rFonts w:ascii="Times New Roman" w:eastAsia="宋体" w:hAnsi="Times New Roman" w:cs="Times New Roman"/>
          <w:color w:val="000000"/>
          <w:sz w:val="24"/>
          <w:szCs w:val="24"/>
        </w:rPr>
        <w:t>项目用海利益相关者</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协调部门一览表</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1701"/>
        <w:gridCol w:w="1418"/>
        <w:gridCol w:w="4399"/>
      </w:tblGrid>
      <w:tr w:rsidR="00EB6ADA" w14:paraId="43B03D2C" w14:textId="77777777">
        <w:trPr>
          <w:trHeight w:val="475"/>
          <w:jc w:val="center"/>
        </w:trPr>
        <w:tc>
          <w:tcPr>
            <w:tcW w:w="421" w:type="dxa"/>
            <w:vAlign w:val="center"/>
          </w:tcPr>
          <w:p w14:paraId="75126E2F" w14:textId="77777777" w:rsidR="00EB6ADA" w:rsidRDefault="00000000">
            <w:pPr>
              <w:adjustRightInd w:val="0"/>
              <w:snapToGrid w:val="0"/>
              <w:jc w:val="center"/>
              <w:textAlignment w:val="baseline"/>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1275" w:type="dxa"/>
            <w:vAlign w:val="center"/>
          </w:tcPr>
          <w:p w14:paraId="5F19FA3B" w14:textId="77777777" w:rsidR="00EB6ADA" w:rsidRDefault="00000000">
            <w:pPr>
              <w:adjustRightInd w:val="0"/>
              <w:snapToGrid w:val="0"/>
              <w:jc w:val="center"/>
              <w:textAlignment w:val="baseline"/>
              <w:rPr>
                <w:rFonts w:ascii="Times New Roman" w:eastAsia="宋体" w:hAnsi="Times New Roman" w:cs="Times New Roman"/>
                <w:color w:val="000000"/>
                <w:szCs w:val="21"/>
              </w:rPr>
            </w:pPr>
            <w:r>
              <w:rPr>
                <w:rFonts w:ascii="Times New Roman" w:eastAsia="宋体" w:hAnsi="Times New Roman" w:cs="Times New Roman"/>
                <w:color w:val="000000"/>
                <w:szCs w:val="21"/>
              </w:rPr>
              <w:t>用海活动</w:t>
            </w:r>
          </w:p>
        </w:tc>
        <w:tc>
          <w:tcPr>
            <w:tcW w:w="1701" w:type="dxa"/>
            <w:vAlign w:val="center"/>
          </w:tcPr>
          <w:p w14:paraId="02A19EB3" w14:textId="77777777" w:rsidR="00EB6ADA" w:rsidRDefault="00000000">
            <w:pPr>
              <w:adjustRightInd w:val="0"/>
              <w:snapToGrid w:val="0"/>
              <w:jc w:val="center"/>
              <w:textAlignment w:val="baseline"/>
              <w:rPr>
                <w:rFonts w:ascii="Times New Roman" w:eastAsia="宋体" w:hAnsi="Times New Roman" w:cs="Times New Roman"/>
                <w:color w:val="000000"/>
                <w:szCs w:val="21"/>
              </w:rPr>
            </w:pPr>
            <w:r>
              <w:rPr>
                <w:rFonts w:ascii="Times New Roman" w:eastAsia="宋体" w:hAnsi="Times New Roman" w:cs="Times New Roman"/>
                <w:color w:val="000000"/>
                <w:szCs w:val="21"/>
              </w:rPr>
              <w:t>位置</w:t>
            </w:r>
          </w:p>
        </w:tc>
        <w:tc>
          <w:tcPr>
            <w:tcW w:w="1418" w:type="dxa"/>
            <w:vAlign w:val="center"/>
          </w:tcPr>
          <w:p w14:paraId="0D51F6C6" w14:textId="77777777" w:rsidR="00EB6ADA" w:rsidRDefault="00000000">
            <w:pPr>
              <w:adjustRightInd w:val="0"/>
              <w:snapToGrid w:val="0"/>
              <w:jc w:val="center"/>
              <w:textAlignment w:val="baseline"/>
              <w:rPr>
                <w:rFonts w:ascii="Times New Roman" w:eastAsia="宋体" w:hAnsi="Times New Roman" w:cs="Times New Roman"/>
                <w:color w:val="000000"/>
                <w:szCs w:val="21"/>
              </w:rPr>
            </w:pPr>
            <w:r>
              <w:rPr>
                <w:rFonts w:ascii="Times New Roman" w:eastAsia="宋体" w:hAnsi="Times New Roman" w:cs="Times New Roman"/>
                <w:color w:val="000000"/>
                <w:szCs w:val="21"/>
              </w:rPr>
              <w:t>利益相关者</w:t>
            </w:r>
            <w:r>
              <w:rPr>
                <w:rFonts w:ascii="Times New Roman" w:eastAsia="宋体" w:hAnsi="Times New Roman" w:cs="Times New Roman"/>
                <w:color w:val="000000"/>
                <w:szCs w:val="21"/>
              </w:rPr>
              <w:t>/</w:t>
            </w:r>
            <w:r>
              <w:rPr>
                <w:rFonts w:ascii="Times New Roman" w:eastAsia="宋体" w:hAnsi="Times New Roman" w:cs="Times New Roman"/>
                <w:color w:val="000000"/>
                <w:szCs w:val="21"/>
              </w:rPr>
              <w:t>协调部门</w:t>
            </w:r>
          </w:p>
        </w:tc>
        <w:tc>
          <w:tcPr>
            <w:tcW w:w="4399" w:type="dxa"/>
            <w:vAlign w:val="center"/>
          </w:tcPr>
          <w:p w14:paraId="1C74B0D3" w14:textId="77777777" w:rsidR="00EB6ADA" w:rsidRDefault="00000000">
            <w:pPr>
              <w:adjustRightInd w:val="0"/>
              <w:snapToGrid w:val="0"/>
              <w:jc w:val="center"/>
              <w:textAlignment w:val="baseline"/>
              <w:rPr>
                <w:rFonts w:ascii="Times New Roman" w:eastAsia="宋体" w:hAnsi="Times New Roman" w:cs="Times New Roman"/>
                <w:color w:val="000000"/>
                <w:szCs w:val="21"/>
              </w:rPr>
            </w:pPr>
            <w:r>
              <w:rPr>
                <w:rFonts w:ascii="Times New Roman" w:eastAsia="宋体" w:hAnsi="Times New Roman" w:cs="Times New Roman"/>
                <w:color w:val="000000"/>
                <w:szCs w:val="21"/>
              </w:rPr>
              <w:t>影响因素与损失程度</w:t>
            </w:r>
          </w:p>
        </w:tc>
      </w:tr>
      <w:tr w:rsidR="00EB6ADA" w14:paraId="468A5F4D" w14:textId="77777777">
        <w:trPr>
          <w:trHeight w:val="475"/>
          <w:jc w:val="center"/>
        </w:trPr>
        <w:tc>
          <w:tcPr>
            <w:tcW w:w="421" w:type="dxa"/>
            <w:vAlign w:val="center"/>
          </w:tcPr>
          <w:p w14:paraId="5B27AA38"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lang w:val="zh-CN"/>
              </w:rPr>
            </w:pPr>
            <w:r>
              <w:rPr>
                <w:rFonts w:ascii="Times New Roman" w:eastAsia="宋体" w:hAnsi="Times New Roman" w:cs="Times New Roman"/>
                <w:kern w:val="0"/>
                <w:szCs w:val="21"/>
              </w:rPr>
              <w:t>1</w:t>
            </w:r>
          </w:p>
        </w:tc>
        <w:tc>
          <w:tcPr>
            <w:tcW w:w="1275" w:type="dxa"/>
            <w:vAlign w:val="center"/>
          </w:tcPr>
          <w:p w14:paraId="1BBA17CA"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lang w:val="zh-CN"/>
              </w:rPr>
            </w:pPr>
            <w:r>
              <w:rPr>
                <w:rFonts w:ascii="Times New Roman" w:eastAsia="宋体" w:hAnsi="Times New Roman" w:cs="Times New Roman"/>
                <w:kern w:val="0"/>
                <w:szCs w:val="21"/>
                <w:lang w:val="zh-CN"/>
              </w:rPr>
              <w:t>海水养殖</w:t>
            </w:r>
          </w:p>
        </w:tc>
        <w:tc>
          <w:tcPr>
            <w:tcW w:w="1701" w:type="dxa"/>
            <w:vAlign w:val="center"/>
          </w:tcPr>
          <w:p w14:paraId="4D2F5402"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lang w:val="zh-CN"/>
              </w:rPr>
            </w:pPr>
            <w:r>
              <w:rPr>
                <w:rFonts w:ascii="Times New Roman" w:eastAsia="宋体" w:hAnsi="Times New Roman" w:cs="Times New Roman"/>
                <w:kern w:val="0"/>
                <w:szCs w:val="21"/>
              </w:rPr>
              <w:t>用海西侧</w:t>
            </w:r>
            <w:r>
              <w:rPr>
                <w:rFonts w:ascii="Times New Roman" w:eastAsia="宋体" w:hAnsi="Times New Roman" w:cs="Times New Roman" w:hint="eastAsia"/>
                <w:kern w:val="0"/>
                <w:szCs w:val="21"/>
              </w:rPr>
              <w:t>、北侧</w:t>
            </w:r>
            <w:r>
              <w:rPr>
                <w:rFonts w:ascii="Times New Roman" w:eastAsia="宋体" w:hAnsi="Times New Roman" w:cs="Times New Roman"/>
                <w:kern w:val="0"/>
                <w:szCs w:val="21"/>
              </w:rPr>
              <w:t>及</w:t>
            </w:r>
            <w:r>
              <w:rPr>
                <w:rFonts w:ascii="Times New Roman" w:eastAsia="宋体" w:hAnsi="Times New Roman" w:cs="Times New Roman" w:hint="eastAsia"/>
                <w:kern w:val="0"/>
                <w:szCs w:val="21"/>
              </w:rPr>
              <w:t>南</w:t>
            </w:r>
            <w:r>
              <w:rPr>
                <w:rFonts w:ascii="Times New Roman" w:eastAsia="宋体" w:hAnsi="Times New Roman" w:cs="Times New Roman"/>
                <w:kern w:val="0"/>
                <w:szCs w:val="21"/>
              </w:rPr>
              <w:t>侧</w:t>
            </w:r>
          </w:p>
        </w:tc>
        <w:tc>
          <w:tcPr>
            <w:tcW w:w="1418" w:type="dxa"/>
            <w:vAlign w:val="center"/>
          </w:tcPr>
          <w:p w14:paraId="2BB6B056"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菊江村海水养殖户</w:t>
            </w:r>
          </w:p>
        </w:tc>
        <w:tc>
          <w:tcPr>
            <w:tcW w:w="4399" w:type="dxa"/>
            <w:vAlign w:val="center"/>
          </w:tcPr>
          <w:p w14:paraId="1A97A464" w14:textId="77777777" w:rsidR="00EB6ADA" w:rsidRDefault="00000000">
            <w:pPr>
              <w:tabs>
                <w:tab w:val="left" w:pos="990"/>
              </w:tabs>
              <w:autoSpaceDE w:val="0"/>
              <w:autoSpaceDN w:val="0"/>
              <w:rPr>
                <w:rFonts w:ascii="Times New Roman" w:eastAsia="宋体" w:hAnsi="Times New Roman" w:cs="Times New Roman"/>
                <w:kern w:val="0"/>
                <w:szCs w:val="21"/>
              </w:rPr>
            </w:pPr>
            <w:r>
              <w:rPr>
                <w:rFonts w:ascii="Times New Roman" w:eastAsia="宋体" w:hAnsi="Times New Roman" w:cs="Times New Roman"/>
                <w:kern w:val="0"/>
                <w:szCs w:val="21"/>
                <w:lang w:val="zh-CN"/>
              </w:rPr>
              <w:t>悬浮泥沙浓度增量</w:t>
            </w:r>
            <w:r>
              <w:rPr>
                <w:rFonts w:ascii="Times New Roman" w:eastAsia="宋体" w:hAnsi="Times New Roman" w:cs="Times New Roman"/>
                <w:kern w:val="0"/>
                <w:szCs w:val="21"/>
                <w:lang w:val="zh-CN"/>
              </w:rPr>
              <w:t>10mg/L</w:t>
            </w:r>
            <w:r>
              <w:rPr>
                <w:rFonts w:ascii="Times New Roman" w:eastAsia="宋体" w:hAnsi="Times New Roman" w:cs="Times New Roman"/>
                <w:kern w:val="0"/>
                <w:szCs w:val="21"/>
                <w:lang w:val="zh-CN"/>
              </w:rPr>
              <w:t>范围内</w:t>
            </w:r>
            <w:r>
              <w:rPr>
                <w:rFonts w:ascii="Times New Roman" w:eastAsia="宋体" w:hAnsi="Times New Roman" w:cs="Times New Roman"/>
                <w:kern w:val="0"/>
                <w:szCs w:val="21"/>
              </w:rPr>
              <w:t>涉及海水养殖区约</w:t>
            </w:r>
            <w:r>
              <w:rPr>
                <w:rFonts w:ascii="Times New Roman" w:eastAsia="宋体" w:hAnsi="Times New Roman" w:cs="Times New Roman"/>
                <w:kern w:val="0"/>
                <w:szCs w:val="21"/>
              </w:rPr>
              <w:t>1</w:t>
            </w:r>
            <w:r>
              <w:rPr>
                <w:rFonts w:ascii="Times New Roman" w:eastAsia="宋体" w:hAnsi="Times New Roman" w:cs="Times New Roman" w:hint="eastAsia"/>
                <w:kern w:val="0"/>
                <w:szCs w:val="21"/>
              </w:rPr>
              <w:t>9.1</w:t>
            </w:r>
            <w:r>
              <w:rPr>
                <w:rFonts w:ascii="Times New Roman" w:eastAsia="宋体" w:hAnsi="Times New Roman" w:cs="Times New Roman"/>
                <w:kern w:val="0"/>
                <w:szCs w:val="21"/>
              </w:rPr>
              <w:t>公顷</w:t>
            </w:r>
            <w:r>
              <w:rPr>
                <w:rFonts w:ascii="Times New Roman" w:eastAsia="宋体" w:hAnsi="Times New Roman" w:cs="Times New Roman"/>
                <w:kern w:val="0"/>
                <w:szCs w:val="21"/>
                <w:lang w:val="zh-CN"/>
              </w:rPr>
              <w:t>。</w:t>
            </w:r>
          </w:p>
        </w:tc>
      </w:tr>
      <w:tr w:rsidR="00EB6ADA" w14:paraId="3D3C54FA" w14:textId="77777777">
        <w:trPr>
          <w:trHeight w:val="475"/>
          <w:jc w:val="center"/>
        </w:trPr>
        <w:tc>
          <w:tcPr>
            <w:tcW w:w="421" w:type="dxa"/>
            <w:vAlign w:val="center"/>
          </w:tcPr>
          <w:p w14:paraId="4576F80C"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lang w:val="zh-CN"/>
              </w:rPr>
            </w:pPr>
            <w:r>
              <w:rPr>
                <w:rFonts w:ascii="Times New Roman" w:eastAsia="宋体" w:hAnsi="Times New Roman" w:cs="Times New Roman"/>
                <w:kern w:val="0"/>
                <w:szCs w:val="21"/>
                <w:lang w:val="zh-CN"/>
              </w:rPr>
              <w:t>2</w:t>
            </w:r>
          </w:p>
        </w:tc>
        <w:tc>
          <w:tcPr>
            <w:tcW w:w="1275" w:type="dxa"/>
            <w:vAlign w:val="center"/>
          </w:tcPr>
          <w:p w14:paraId="0016AD7E"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lang w:val="zh-CN"/>
              </w:rPr>
            </w:pPr>
            <w:r>
              <w:rPr>
                <w:rFonts w:ascii="Times New Roman" w:eastAsia="宋体" w:hAnsi="Times New Roman" w:cs="Times New Roman"/>
                <w:kern w:val="0"/>
                <w:szCs w:val="21"/>
                <w:lang w:val="zh-CN"/>
              </w:rPr>
              <w:t>菊江航道</w:t>
            </w:r>
          </w:p>
        </w:tc>
        <w:tc>
          <w:tcPr>
            <w:tcW w:w="1701" w:type="dxa"/>
            <w:vAlign w:val="center"/>
          </w:tcPr>
          <w:p w14:paraId="010A790B"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泥驳船通过菊江航道通航</w:t>
            </w:r>
          </w:p>
        </w:tc>
        <w:tc>
          <w:tcPr>
            <w:tcW w:w="1418" w:type="dxa"/>
            <w:vAlign w:val="center"/>
          </w:tcPr>
          <w:p w14:paraId="09D24C4E" w14:textId="77777777" w:rsidR="00EB6ADA" w:rsidRDefault="00000000">
            <w:pPr>
              <w:tabs>
                <w:tab w:val="left" w:pos="990"/>
              </w:tabs>
              <w:autoSpaceDE w:val="0"/>
              <w:autoSpaceDN w:val="0"/>
              <w:adjustRightInd w:val="0"/>
              <w:snapToGrid w:val="0"/>
              <w:jc w:val="center"/>
              <w:rPr>
                <w:rFonts w:ascii="Times New Roman" w:eastAsia="宋体" w:hAnsi="Times New Roman" w:cs="Times New Roman"/>
                <w:kern w:val="0"/>
                <w:szCs w:val="21"/>
                <w:lang w:val="zh-CN"/>
              </w:rPr>
            </w:pPr>
            <w:r>
              <w:rPr>
                <w:rFonts w:ascii="Times New Roman" w:eastAsia="宋体" w:hAnsi="Times New Roman" w:cs="Times New Roman"/>
                <w:kern w:val="0"/>
                <w:szCs w:val="21"/>
                <w:lang w:val="zh-CN"/>
              </w:rPr>
              <w:t>泉州海事局</w:t>
            </w:r>
          </w:p>
        </w:tc>
        <w:tc>
          <w:tcPr>
            <w:tcW w:w="4399" w:type="dxa"/>
            <w:vAlign w:val="center"/>
          </w:tcPr>
          <w:p w14:paraId="63C5FB08" w14:textId="77777777" w:rsidR="00EB6ADA" w:rsidRDefault="00000000">
            <w:pPr>
              <w:tabs>
                <w:tab w:val="left" w:pos="990"/>
              </w:tabs>
              <w:autoSpaceDE w:val="0"/>
              <w:autoSpaceDN w:val="0"/>
              <w:rPr>
                <w:rFonts w:ascii="Times New Roman" w:eastAsia="宋体" w:hAnsi="Times New Roman" w:cs="Times New Roman"/>
                <w:kern w:val="0"/>
                <w:szCs w:val="21"/>
                <w:lang w:val="zh-CN"/>
              </w:rPr>
            </w:pPr>
            <w:r>
              <w:rPr>
                <w:rFonts w:ascii="Times New Roman" w:eastAsia="宋体" w:hAnsi="Times New Roman" w:cs="Times New Roman"/>
                <w:kern w:val="0"/>
                <w:szCs w:val="21"/>
              </w:rPr>
              <w:t>泥驳船通过菊江航道进出转运坑，</w:t>
            </w:r>
            <w:r>
              <w:rPr>
                <w:rFonts w:ascii="Times New Roman" w:eastAsia="宋体" w:hAnsi="Times New Roman" w:cs="Times New Roman" w:hint="eastAsia"/>
                <w:kern w:val="0"/>
                <w:szCs w:val="21"/>
              </w:rPr>
              <w:t>平均每天</w:t>
            </w:r>
            <w:r>
              <w:rPr>
                <w:rFonts w:ascii="Times New Roman" w:eastAsia="宋体" w:hAnsi="Times New Roman" w:cs="Times New Roman" w:hint="eastAsia"/>
                <w:kern w:val="0"/>
                <w:szCs w:val="21"/>
              </w:rPr>
              <w:t>4</w:t>
            </w:r>
            <w:r>
              <w:rPr>
                <w:rFonts w:ascii="Times New Roman" w:eastAsia="宋体" w:hAnsi="Times New Roman" w:cs="Times New Roman" w:hint="eastAsia"/>
                <w:kern w:val="0"/>
                <w:szCs w:val="21"/>
              </w:rPr>
              <w:t>艘，</w:t>
            </w:r>
            <w:r>
              <w:rPr>
                <w:rFonts w:ascii="Times New Roman" w:eastAsia="宋体" w:hAnsi="Times New Roman" w:cs="Times New Roman"/>
                <w:kern w:val="0"/>
                <w:szCs w:val="21"/>
              </w:rPr>
              <w:t>增加</w:t>
            </w:r>
            <w:r>
              <w:rPr>
                <w:rFonts w:ascii="Times New Roman" w:eastAsia="宋体" w:hAnsi="Times New Roman" w:cs="Times New Roman"/>
                <w:kern w:val="0"/>
                <w:szCs w:val="21"/>
                <w:lang w:val="zh-CN"/>
              </w:rPr>
              <w:t>船舶通航密度。</w:t>
            </w:r>
          </w:p>
        </w:tc>
      </w:tr>
    </w:tbl>
    <w:p w14:paraId="4E94DC87" w14:textId="77777777" w:rsidR="00EB6ADA" w:rsidRDefault="00EB6ADA">
      <w:pPr>
        <w:spacing w:line="360" w:lineRule="auto"/>
        <w:ind w:firstLine="476"/>
        <w:jc w:val="left"/>
        <w:rPr>
          <w:rFonts w:ascii="Times New Roman" w:eastAsia="宋体" w:hAnsi="Times New Roman" w:cs="Times New Roman"/>
          <w:color w:val="FF0000"/>
          <w:sz w:val="24"/>
          <w:szCs w:val="24"/>
        </w:rPr>
        <w:sectPr w:rsidR="00EB6ADA" w:rsidSect="00A3460E">
          <w:headerReference w:type="default" r:id="rId14"/>
          <w:footerReference w:type="default" r:id="rId15"/>
          <w:pgSz w:w="11906" w:h="16838"/>
          <w:pgMar w:top="1134" w:right="1134" w:bottom="1134" w:left="1134" w:header="992" w:footer="794" w:gutter="0"/>
          <w:cols w:space="720"/>
          <w:docGrid w:linePitch="312"/>
        </w:sectPr>
      </w:pPr>
    </w:p>
    <w:p w14:paraId="32D15031" w14:textId="77777777" w:rsidR="00EB6ADA" w:rsidRDefault="00000000">
      <w:pPr>
        <w:pStyle w:val="2"/>
      </w:pPr>
      <w:bookmarkStart w:id="27" w:name="_Toc224053293"/>
      <w:r>
        <w:rPr>
          <w:rFonts w:hint="eastAsia"/>
        </w:rPr>
        <w:lastRenderedPageBreak/>
        <w:t>4</w:t>
      </w:r>
      <w:r>
        <w:t>.4</w:t>
      </w:r>
      <w:r>
        <w:t>相关利益协调分析</w:t>
      </w:r>
      <w:bookmarkEnd w:id="27"/>
    </w:p>
    <w:p w14:paraId="22FE416B" w14:textId="77777777" w:rsidR="00EB6ADA" w:rsidRDefault="00000000">
      <w:pPr>
        <w:pStyle w:val="3"/>
      </w:pPr>
      <w:r>
        <w:rPr>
          <w:rFonts w:hint="eastAsia"/>
        </w:rPr>
        <w:t>4</w:t>
      </w:r>
      <w:r>
        <w:t>.4.1</w:t>
      </w:r>
      <w:r>
        <w:t>与泉州海事局协调分析</w:t>
      </w:r>
    </w:p>
    <w:p w14:paraId="0F2062A4" w14:textId="7777777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施工期间，泥驳船进出会增加菊江航道船舶通航密度。建设单位应在施工前将施工方案和通航方案报送泉州海事局，服从主管部门的管理，并在海事部门统一协调下合理安排通航，提前发布航行通告，做好施工船舶和</w:t>
      </w:r>
      <w:r>
        <w:rPr>
          <w:rFonts w:ascii="Times New Roman" w:eastAsia="宋体" w:hAnsi="Times New Roman" w:cs="Times New Roman" w:hint="eastAsia"/>
          <w:kern w:val="0"/>
          <w:sz w:val="24"/>
        </w:rPr>
        <w:t>航道往来船舶</w:t>
      </w:r>
      <w:r>
        <w:rPr>
          <w:rFonts w:ascii="Times New Roman" w:eastAsia="宋体" w:hAnsi="Times New Roman" w:cs="Times New Roman"/>
          <w:kern w:val="0"/>
          <w:sz w:val="24"/>
        </w:rPr>
        <w:t>的避让工作。</w:t>
      </w:r>
    </w:p>
    <w:p w14:paraId="6874ECF7" w14:textId="77777777" w:rsidR="00EB6ADA" w:rsidRDefault="00000000">
      <w:pPr>
        <w:pStyle w:val="3"/>
      </w:pPr>
      <w:r>
        <w:rPr>
          <w:rFonts w:hint="eastAsia"/>
        </w:rPr>
        <w:t>4</w:t>
      </w:r>
      <w:r>
        <w:t>.4.2</w:t>
      </w:r>
      <w:r>
        <w:t>与海水养殖户的协调分析</w:t>
      </w:r>
    </w:p>
    <w:p w14:paraId="68B3B331" w14:textId="77777777" w:rsidR="00EB6ADA" w:rsidRDefault="00000000">
      <w:pPr>
        <w:pStyle w:val="10"/>
        <w:widowControl/>
        <w:ind w:firstLine="480"/>
      </w:pPr>
      <w:r>
        <w:t>本项目在原用海报批过程</w:t>
      </w:r>
      <w:r>
        <w:rPr>
          <w:rFonts w:hint="eastAsia"/>
        </w:rPr>
        <w:t>中</w:t>
      </w:r>
      <w:r>
        <w:t>已</w:t>
      </w:r>
      <w:r>
        <w:rPr>
          <w:rFonts w:hint="eastAsia"/>
        </w:rPr>
        <w:t>于</w:t>
      </w:r>
      <w:r>
        <w:rPr>
          <w:rFonts w:hint="eastAsia"/>
        </w:rPr>
        <w:t>2020</w:t>
      </w:r>
      <w:r>
        <w:rPr>
          <w:rFonts w:hint="eastAsia"/>
        </w:rPr>
        <w:t>年</w:t>
      </w:r>
      <w:r>
        <w:t>对用海范围及周边牡蛎养殖区进行赔偿，已妥善协调利益相关者，并取得</w:t>
      </w:r>
      <w:r>
        <w:rPr>
          <w:rFonts w:hint="eastAsia"/>
        </w:rPr>
        <w:t>海域</w:t>
      </w:r>
      <w:r>
        <w:t>不动产权证。</w:t>
      </w:r>
      <w:r>
        <w:rPr>
          <w:rFonts w:hint="eastAsia"/>
        </w:rPr>
        <w:t>项目</w:t>
      </w:r>
      <w:r>
        <w:t>于</w:t>
      </w:r>
      <w:r>
        <w:t>2020</w:t>
      </w:r>
      <w:r>
        <w:t>年</w:t>
      </w:r>
      <w:r>
        <w:t>11</w:t>
      </w:r>
      <w:r>
        <w:t>月开工建设，</w:t>
      </w:r>
      <w:r>
        <w:t>2021</w:t>
      </w:r>
      <w:r>
        <w:t>年</w:t>
      </w:r>
      <w:r>
        <w:t>1</w:t>
      </w:r>
      <w:r>
        <w:t>月年投入使用，实施过程未出现与利益相关者的用海纠纷。</w:t>
      </w:r>
    </w:p>
    <w:p w14:paraId="50EE5B7B" w14:textId="77777777" w:rsidR="00EB6ADA" w:rsidRDefault="00000000">
      <w:pPr>
        <w:pStyle w:val="10"/>
        <w:widowControl/>
        <w:ind w:firstLine="480"/>
      </w:pPr>
      <w:r>
        <w:t>后续施工悬浮泥沙</w:t>
      </w:r>
      <w:r>
        <w:t>10mg/L</w:t>
      </w:r>
      <w:r>
        <w:t>浓度增量范围涉及海水养殖面积约</w:t>
      </w:r>
      <w:r>
        <w:t>1</w:t>
      </w:r>
      <w:r>
        <w:rPr>
          <w:rFonts w:hint="eastAsia"/>
        </w:rPr>
        <w:t>9.1</w:t>
      </w:r>
      <w:r>
        <w:t>公顷，主要品种为牡蛎等，海水养殖户主体为南安市石井镇菊江村。考虑到海水养殖的季节性变化，本项目如占用或施工悬沙影响</w:t>
      </w:r>
      <w:r>
        <w:rPr>
          <w:rFonts w:hint="eastAsia"/>
        </w:rPr>
        <w:t>到现有</w:t>
      </w:r>
      <w:r>
        <w:t>海水养殖，</w:t>
      </w:r>
      <w:r>
        <w:rPr>
          <w:rFonts w:hint="eastAsia"/>
        </w:rPr>
        <w:t>用海单位应按实际影响情况</w:t>
      </w:r>
      <w:r>
        <w:t>做好</w:t>
      </w:r>
      <w:r>
        <w:rPr>
          <w:rFonts w:hint="eastAsia"/>
        </w:rPr>
        <w:t>养殖</w:t>
      </w:r>
      <w:r>
        <w:t>征迁补偿工作</w:t>
      </w:r>
      <w:r>
        <w:rPr>
          <w:rFonts w:hint="eastAsia"/>
        </w:rPr>
        <w:t>，妥善处理与养殖户的关系</w:t>
      </w:r>
      <w:r>
        <w:t>。</w:t>
      </w:r>
    </w:p>
    <w:p w14:paraId="6338611D" w14:textId="77777777" w:rsidR="00EB6ADA" w:rsidRDefault="00000000">
      <w:pPr>
        <w:widowControl/>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综上，项目用海与利益相关者具备协调途径。</w:t>
      </w:r>
    </w:p>
    <w:p w14:paraId="04F270CD" w14:textId="77777777" w:rsidR="00EB6ADA" w:rsidRDefault="00000000">
      <w:pPr>
        <w:pStyle w:val="2"/>
      </w:pPr>
      <w:bookmarkStart w:id="28" w:name="_Toc224053294"/>
      <w:r>
        <w:rPr>
          <w:rFonts w:hint="eastAsia"/>
        </w:rPr>
        <w:t>4</w:t>
      </w:r>
      <w:r>
        <w:t>.5</w:t>
      </w:r>
      <w:r>
        <w:t>项目用海与国防安全和国家海洋权益的协调性分析</w:t>
      </w:r>
      <w:bookmarkEnd w:id="28"/>
    </w:p>
    <w:p w14:paraId="63DE2516" w14:textId="77777777" w:rsidR="00EB6ADA" w:rsidRDefault="00000000">
      <w:pPr>
        <w:pStyle w:val="10"/>
        <w:widowControl/>
        <w:ind w:firstLine="480"/>
      </w:pPr>
      <w:r>
        <w:t>项目位于围头湾，地处我国内水海域，对国家权益没有影响。工程用海不占用军事用地，</w:t>
      </w:r>
      <w:r>
        <w:rPr>
          <w:rFonts w:hint="eastAsia"/>
        </w:rPr>
        <w:t>不</w:t>
      </w:r>
      <w:r>
        <w:t>破坏军事设施，不影响国防安全。</w:t>
      </w:r>
    </w:p>
    <w:p w14:paraId="5C41BB2C" w14:textId="77777777" w:rsidR="00EB6ADA" w:rsidRDefault="00EB6ADA">
      <w:pPr>
        <w:widowControl/>
        <w:spacing w:line="360" w:lineRule="auto"/>
        <w:ind w:firstLineChars="200" w:firstLine="480"/>
        <w:rPr>
          <w:rFonts w:ascii="Times New Roman" w:eastAsia="宋体" w:hAnsi="Times New Roman" w:cs="Times New Roman"/>
          <w:kern w:val="0"/>
          <w:sz w:val="24"/>
        </w:rPr>
      </w:pPr>
    </w:p>
    <w:p w14:paraId="60B65C53" w14:textId="77777777" w:rsidR="00EB6ADA" w:rsidRDefault="00EB6ADA">
      <w:pPr>
        <w:widowControl/>
        <w:spacing w:line="360" w:lineRule="auto"/>
        <w:ind w:firstLineChars="200" w:firstLine="480"/>
        <w:rPr>
          <w:rFonts w:ascii="Times New Roman" w:eastAsia="宋体" w:hAnsi="Times New Roman" w:cs="Times New Roman"/>
          <w:kern w:val="0"/>
          <w:sz w:val="24"/>
        </w:rPr>
      </w:pPr>
    </w:p>
    <w:p w14:paraId="4F00D815" w14:textId="77777777" w:rsidR="00EB6ADA" w:rsidRDefault="00EB6ADA">
      <w:pPr>
        <w:widowControl/>
        <w:spacing w:line="360" w:lineRule="auto"/>
        <w:ind w:firstLineChars="200" w:firstLine="480"/>
        <w:rPr>
          <w:rFonts w:ascii="Times New Roman" w:eastAsia="宋体" w:hAnsi="Times New Roman" w:cs="Times New Roman"/>
          <w:kern w:val="0"/>
          <w:sz w:val="24"/>
        </w:rPr>
      </w:pPr>
    </w:p>
    <w:p w14:paraId="6E6E8819" w14:textId="77777777" w:rsidR="00EB6ADA" w:rsidRDefault="00EB6ADA">
      <w:pPr>
        <w:widowControl/>
        <w:spacing w:line="360" w:lineRule="auto"/>
        <w:ind w:firstLineChars="200" w:firstLine="480"/>
        <w:rPr>
          <w:rFonts w:ascii="Times New Roman" w:eastAsia="宋体" w:hAnsi="Times New Roman" w:cs="Times New Roman"/>
          <w:kern w:val="0"/>
          <w:sz w:val="24"/>
        </w:rPr>
      </w:pPr>
    </w:p>
    <w:p w14:paraId="21682B8F" w14:textId="77777777" w:rsidR="00EB6ADA" w:rsidRDefault="00EB6ADA">
      <w:pPr>
        <w:pStyle w:val="10"/>
        <w:ind w:firstLine="480"/>
        <w:rPr>
          <w:rFonts w:cs="Times New Roman"/>
        </w:rPr>
        <w:sectPr w:rsidR="00EB6ADA">
          <w:pgSz w:w="11906" w:h="16838"/>
          <w:pgMar w:top="1134" w:right="1134" w:bottom="1134" w:left="1134" w:header="851" w:footer="850" w:gutter="0"/>
          <w:cols w:space="425"/>
          <w:docGrid w:type="lines" w:linePitch="312"/>
        </w:sectPr>
      </w:pPr>
    </w:p>
    <w:p w14:paraId="345BC5D2" w14:textId="77777777" w:rsidR="00EB6ADA" w:rsidRDefault="00000000">
      <w:pPr>
        <w:pStyle w:val="1"/>
        <w:rPr>
          <w:rFonts w:cs="Times New Roman"/>
        </w:rPr>
      </w:pPr>
      <w:bookmarkStart w:id="29" w:name="_Toc224053295"/>
      <w:r>
        <w:rPr>
          <w:rFonts w:cs="Times New Roman" w:hint="eastAsia"/>
        </w:rPr>
        <w:lastRenderedPageBreak/>
        <w:t>5</w:t>
      </w:r>
      <w:r>
        <w:rPr>
          <w:rFonts w:cs="Times New Roman"/>
        </w:rPr>
        <w:t>国土空间规划符合性分析</w:t>
      </w:r>
      <w:bookmarkEnd w:id="29"/>
    </w:p>
    <w:p w14:paraId="3FC0DDF5" w14:textId="77777777" w:rsidR="00EB6ADA" w:rsidRDefault="00000000">
      <w:pPr>
        <w:pStyle w:val="2"/>
        <w:rPr>
          <w:rFonts w:cs="Times New Roman"/>
        </w:rPr>
      </w:pPr>
      <w:bookmarkStart w:id="30" w:name="_Toc224053296"/>
      <w:r>
        <w:rPr>
          <w:rFonts w:cs="Times New Roman" w:hint="eastAsia"/>
        </w:rPr>
        <w:t>5</w:t>
      </w:r>
      <w:r>
        <w:rPr>
          <w:rFonts w:cs="Times New Roman"/>
        </w:rPr>
        <w:t>.1</w:t>
      </w:r>
      <w:r>
        <w:rPr>
          <w:rFonts w:cs="Times New Roman"/>
        </w:rPr>
        <w:t>项目用海与国土空间规划的符合性分析</w:t>
      </w:r>
      <w:bookmarkEnd w:id="30"/>
    </w:p>
    <w:p w14:paraId="650FE395" w14:textId="77777777" w:rsidR="00EB6ADA" w:rsidRDefault="00000000">
      <w:pPr>
        <w:pStyle w:val="3"/>
        <w:rPr>
          <w:rFonts w:cs="Times New Roman"/>
        </w:rPr>
      </w:pPr>
      <w:r>
        <w:rPr>
          <w:rFonts w:cs="Times New Roman" w:hint="eastAsia"/>
        </w:rPr>
        <w:t>5</w:t>
      </w:r>
      <w:r>
        <w:rPr>
          <w:rFonts w:cs="Times New Roman"/>
        </w:rPr>
        <w:t>.1.1</w:t>
      </w:r>
      <w:r>
        <w:rPr>
          <w:rFonts w:cs="Times New Roman"/>
        </w:rPr>
        <w:t>项目用海与《福建省国土空间规划（</w:t>
      </w:r>
      <w:r>
        <w:rPr>
          <w:rFonts w:cs="Times New Roman"/>
        </w:rPr>
        <w:t>2021-2035</w:t>
      </w:r>
      <w:r>
        <w:rPr>
          <w:rFonts w:cs="Times New Roman"/>
        </w:rPr>
        <w:t>年）》符合性分析</w:t>
      </w:r>
    </w:p>
    <w:p w14:paraId="2304D542" w14:textId="1CFEB97A" w:rsidR="00EB6ADA" w:rsidRDefault="00000000">
      <w:pPr>
        <w:pStyle w:val="10"/>
        <w:ind w:firstLine="480"/>
      </w:pPr>
      <w:r>
        <w:t>项目用海位于《福建省国土空间规划（</w:t>
      </w:r>
      <w:r>
        <w:t>2021-2035</w:t>
      </w:r>
      <w:r>
        <w:t>年）》中的</w:t>
      </w:r>
      <w:r>
        <w:rPr>
          <w:rFonts w:hint="eastAsia"/>
        </w:rPr>
        <w:t>“海洋开发利用空间”</w:t>
      </w:r>
      <w:r>
        <w:t>。</w:t>
      </w:r>
      <w:r>
        <w:rPr>
          <w:rFonts w:hint="eastAsia"/>
        </w:rPr>
        <w:t>“海洋开发利用空间”为</w:t>
      </w:r>
      <w:r>
        <w:t>允许集中开展开发利用活动的海域以及允许适度开展开发利用活动的无居民海岛，目标在于积极统筹陆地、海岸、近海、远海空间布局和资源开发，打造安全高效陆海通道，构建海洋产业发展新格局。本项目符合所在功能区管控要求。</w:t>
      </w:r>
    </w:p>
    <w:p w14:paraId="3DC13BD0" w14:textId="1D9916CD"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根据《福建省</w:t>
      </w:r>
      <w:r>
        <w:rPr>
          <w:rFonts w:ascii="Times New Roman" w:eastAsia="宋体" w:hAnsi="Times New Roman" w:cs="Times New Roman" w:hint="eastAsia"/>
          <w:sz w:val="24"/>
          <w:szCs w:val="24"/>
        </w:rPr>
        <w:t>“三区三线”</w:t>
      </w:r>
      <w:r>
        <w:rPr>
          <w:rFonts w:ascii="Times New Roman" w:eastAsia="宋体" w:hAnsi="Times New Roman" w:cs="Times New Roman"/>
          <w:sz w:val="24"/>
          <w:szCs w:val="24"/>
        </w:rPr>
        <w:t>划定成果》，项目用海不占用海洋生态保护红线区，东侧与</w:t>
      </w:r>
      <w:r>
        <w:rPr>
          <w:rFonts w:ascii="Times New Roman" w:eastAsia="宋体" w:hAnsi="Times New Roman" w:cs="Times New Roman" w:hint="eastAsia"/>
          <w:sz w:val="24"/>
          <w:szCs w:val="24"/>
        </w:rPr>
        <w:t>“小百屿生态保护红线区”最近距离约</w:t>
      </w:r>
      <w:r>
        <w:rPr>
          <w:rFonts w:ascii="Times New Roman" w:eastAsia="宋体" w:hAnsi="Times New Roman" w:cs="Times New Roman" w:hint="eastAsia"/>
          <w:sz w:val="24"/>
          <w:szCs w:val="24"/>
        </w:rPr>
        <w:t>3.8km</w:t>
      </w:r>
      <w:r>
        <w:rPr>
          <w:rFonts w:ascii="Times New Roman" w:eastAsia="宋体" w:hAnsi="Times New Roman" w:cs="Times New Roman" w:hint="eastAsia"/>
          <w:sz w:val="24"/>
          <w:szCs w:val="24"/>
        </w:rPr>
        <w:t>，西侧与闽东南沿海水土保持与防风固沙生态保护红线</w:t>
      </w:r>
      <w:r>
        <w:rPr>
          <w:rFonts w:ascii="Times New Roman" w:eastAsia="宋体" w:hAnsi="Times New Roman" w:cs="Times New Roman" w:hint="eastAsia"/>
          <w:sz w:val="24"/>
          <w:szCs w:val="24"/>
        </w:rPr>
        <w:t>7.4km</w:t>
      </w:r>
      <w:r>
        <w:rPr>
          <w:rFonts w:ascii="Times New Roman" w:eastAsia="宋体" w:hAnsi="Times New Roman" w:cs="Times New Roman" w:hint="eastAsia"/>
          <w:sz w:val="24"/>
          <w:szCs w:val="24"/>
        </w:rPr>
        <w:t>。根据数模结果，本项目施工期悬浮泥沙超过</w:t>
      </w:r>
      <w:r>
        <w:rPr>
          <w:rFonts w:ascii="Times New Roman" w:eastAsia="宋体" w:hAnsi="Times New Roman" w:cs="Times New Roman" w:hint="eastAsia"/>
          <w:sz w:val="24"/>
          <w:szCs w:val="24"/>
        </w:rPr>
        <w:t>10mg/L</w:t>
      </w:r>
      <w:r>
        <w:rPr>
          <w:rFonts w:ascii="Times New Roman" w:eastAsia="宋体" w:hAnsi="Times New Roman" w:cs="Times New Roman" w:hint="eastAsia"/>
          <w:sz w:val="24"/>
          <w:szCs w:val="24"/>
        </w:rPr>
        <w:t>的影响范围也未到达生态保护红线区。总体而言，本项目不会对海洋生态保护红线造成影响。</w:t>
      </w:r>
    </w:p>
    <w:p w14:paraId="3920626B" w14:textId="77777777" w:rsidR="00EB6ADA"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综上，项目用海符合《福建省国土空间规划（</w:t>
      </w:r>
      <w:r>
        <w:rPr>
          <w:rFonts w:ascii="Times New Roman" w:eastAsia="宋体" w:hAnsi="Times New Roman" w:cs="Times New Roman"/>
          <w:sz w:val="24"/>
          <w:szCs w:val="24"/>
        </w:rPr>
        <w:t>2021-2035</w:t>
      </w:r>
      <w:r>
        <w:rPr>
          <w:rFonts w:ascii="Times New Roman" w:eastAsia="宋体" w:hAnsi="Times New Roman" w:cs="Times New Roman"/>
          <w:sz w:val="24"/>
          <w:szCs w:val="24"/>
        </w:rPr>
        <w:t>年）》。</w:t>
      </w:r>
    </w:p>
    <w:p w14:paraId="7C19C8F2" w14:textId="77777777" w:rsidR="00EB6ADA" w:rsidRDefault="00000000">
      <w:pPr>
        <w:pStyle w:val="3"/>
        <w:rPr>
          <w:rFonts w:cs="Times New Roman"/>
        </w:rPr>
      </w:pPr>
      <w:r>
        <w:rPr>
          <w:rFonts w:cs="Times New Roman" w:hint="eastAsia"/>
        </w:rPr>
        <w:t>5</w:t>
      </w:r>
      <w:r>
        <w:rPr>
          <w:rFonts w:cs="Times New Roman"/>
        </w:rPr>
        <w:t>.1.2</w:t>
      </w:r>
      <w:r>
        <w:rPr>
          <w:rFonts w:cs="Times New Roman"/>
        </w:rPr>
        <w:t>项目用海与《泉州市国土空间总体规划（</w:t>
      </w:r>
      <w:r>
        <w:rPr>
          <w:rFonts w:cs="Times New Roman"/>
        </w:rPr>
        <w:t>2021-2035</w:t>
      </w:r>
      <w:r>
        <w:rPr>
          <w:rFonts w:cs="Times New Roman"/>
        </w:rPr>
        <w:t>年）》符合性分析</w:t>
      </w:r>
    </w:p>
    <w:p w14:paraId="043EDF3C" w14:textId="77777777" w:rsidR="00EB6ADA" w:rsidRDefault="00000000">
      <w:pPr>
        <w:pStyle w:val="4"/>
        <w:rPr>
          <w:rFonts w:cs="Times New Roman"/>
        </w:rPr>
      </w:pPr>
      <w:r>
        <w:rPr>
          <w:rFonts w:cs="Times New Roman" w:hint="eastAsia"/>
        </w:rPr>
        <w:t>5</w:t>
      </w:r>
      <w:r>
        <w:rPr>
          <w:rFonts w:cs="Times New Roman"/>
        </w:rPr>
        <w:t>.1.2.1</w:t>
      </w:r>
      <w:r>
        <w:rPr>
          <w:rFonts w:cs="Times New Roman"/>
        </w:rPr>
        <w:t>所在海域国土空间规划分区基本情况</w:t>
      </w:r>
    </w:p>
    <w:p w14:paraId="7B06A2E3"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根据《泉州市国土空间总体规划（</w:t>
      </w:r>
      <w:r>
        <w:rPr>
          <w:rFonts w:ascii="Times New Roman" w:eastAsia="宋体" w:hAnsi="Times New Roman" w:cs="Times New Roman" w:hint="eastAsia"/>
          <w:sz w:val="24"/>
          <w:szCs w:val="24"/>
        </w:rPr>
        <w:t>2021-2035</w:t>
      </w:r>
      <w:r>
        <w:rPr>
          <w:rFonts w:ascii="Times New Roman" w:eastAsia="宋体" w:hAnsi="Times New Roman" w:cs="Times New Roman" w:hint="eastAsia"/>
          <w:sz w:val="24"/>
          <w:szCs w:val="24"/>
        </w:rPr>
        <w:t>年）》，项目用海位于“渔业用海区”，周边国土空间规划分区主要有“交通运输用海区”“工矿通信用海区”和“生态保护区”。</w:t>
      </w:r>
    </w:p>
    <w:p w14:paraId="7EDAE1CE" w14:textId="77777777" w:rsidR="00EB6ADA" w:rsidRDefault="00000000">
      <w:pPr>
        <w:pStyle w:val="4"/>
        <w:rPr>
          <w:rFonts w:cs="Times New Roman"/>
        </w:rPr>
      </w:pPr>
      <w:r>
        <w:rPr>
          <w:rFonts w:cs="Times New Roman" w:hint="eastAsia"/>
        </w:rPr>
        <w:t>5</w:t>
      </w:r>
      <w:r>
        <w:rPr>
          <w:rFonts w:cs="Times New Roman"/>
        </w:rPr>
        <w:t>.1.2.2</w:t>
      </w:r>
      <w:r>
        <w:rPr>
          <w:rFonts w:cs="Times New Roman"/>
        </w:rPr>
        <w:t>对海域国土空间规划分区的影响分析</w:t>
      </w:r>
    </w:p>
    <w:p w14:paraId="2E15A123" w14:textId="77777777" w:rsidR="00EB6ADA" w:rsidRDefault="00000000">
      <w:pPr>
        <w:pStyle w:val="10"/>
        <w:ind w:firstLine="482"/>
        <w:rPr>
          <w:b/>
          <w:bCs/>
        </w:rPr>
      </w:pPr>
      <w:r>
        <w:rPr>
          <w:rFonts w:hint="eastAsia"/>
          <w:b/>
          <w:bCs/>
        </w:rPr>
        <w:t>（</w:t>
      </w:r>
      <w:r>
        <w:rPr>
          <w:rFonts w:hint="eastAsia"/>
          <w:b/>
          <w:bCs/>
        </w:rPr>
        <w:t>1</w:t>
      </w:r>
      <w:r>
        <w:rPr>
          <w:rFonts w:hint="eastAsia"/>
          <w:b/>
          <w:bCs/>
        </w:rPr>
        <w:t>）对“渔业用海区”的影响</w:t>
      </w:r>
    </w:p>
    <w:p w14:paraId="0ED37497" w14:textId="17891EB7" w:rsidR="00EB6ADA" w:rsidRDefault="00000000">
      <w:pPr>
        <w:pStyle w:val="10"/>
        <w:ind w:firstLine="480"/>
      </w:pPr>
      <w:r>
        <w:rPr>
          <w:rFonts w:hint="eastAsia"/>
        </w:rPr>
        <w:t>项目用海均位于“渔业用海区”，渔业用海区管控要求为“保障养殖用海，兼容游乐场、路桥、电缆管道、海底隧道、科研教学、海岸防护工程以及沙滩生态修复工程用海，兼容不损害主导用海功能的其他用海活动，严格限制改变海域自然属性”。根据数模结果，施工导致悬浮泥沙浓度增量大于</w:t>
      </w:r>
      <w:r>
        <w:rPr>
          <w:rFonts w:hint="eastAsia"/>
        </w:rPr>
        <w:t>10mg/L</w:t>
      </w:r>
      <w:r>
        <w:rPr>
          <w:rFonts w:hint="eastAsia"/>
        </w:rPr>
        <w:t>的包络面积涉及该区</w:t>
      </w:r>
      <w:r>
        <w:rPr>
          <w:rFonts w:hint="eastAsia"/>
        </w:rPr>
        <w:t>225.62</w:t>
      </w:r>
      <w:r>
        <w:rPr>
          <w:rFonts w:hint="eastAsia"/>
        </w:rPr>
        <w:t>公顷，施工结束后，悬浮泥沙影响将逐渐消失，周边海域的水质环境将逐渐恢复。本工程为转运坑的地形恢复，不改变海域属性，对周边海域的影响是暂时性且可恢复的，可采用渔业增殖放流等方式补偿项目实施对生物资源造成的损失。</w:t>
      </w:r>
    </w:p>
    <w:p w14:paraId="612C7329" w14:textId="77777777" w:rsidR="00EB6ADA" w:rsidRDefault="00000000">
      <w:pPr>
        <w:pStyle w:val="10"/>
        <w:ind w:firstLine="482"/>
        <w:rPr>
          <w:b/>
          <w:bCs/>
        </w:rPr>
      </w:pPr>
      <w:r>
        <w:rPr>
          <w:rFonts w:hint="eastAsia"/>
          <w:b/>
          <w:bCs/>
        </w:rPr>
        <w:t>（</w:t>
      </w:r>
      <w:r>
        <w:rPr>
          <w:rFonts w:hint="eastAsia"/>
          <w:b/>
          <w:bCs/>
        </w:rPr>
        <w:t>2</w:t>
      </w:r>
      <w:r>
        <w:rPr>
          <w:rFonts w:hint="eastAsia"/>
          <w:b/>
          <w:bCs/>
        </w:rPr>
        <w:t>）对“交通运输用海区”的影响</w:t>
      </w:r>
    </w:p>
    <w:p w14:paraId="014ACF7A" w14:textId="77777777" w:rsidR="00EB6ADA" w:rsidRDefault="00000000">
      <w:pPr>
        <w:pStyle w:val="10"/>
        <w:ind w:firstLine="480"/>
      </w:pPr>
      <w:r>
        <w:rPr>
          <w:rFonts w:hint="eastAsia"/>
        </w:rPr>
        <w:t>项目临近菊江航道，与“交通运输用海区”最近距离为</w:t>
      </w:r>
      <w:r>
        <w:rPr>
          <w:rFonts w:hint="eastAsia"/>
        </w:rPr>
        <w:t>0.11km</w:t>
      </w:r>
      <w:r>
        <w:rPr>
          <w:rFonts w:hint="eastAsia"/>
        </w:rPr>
        <w:t>。“交通运输用海区”管控要求为“保障航道、锚地用海，兼容路桥、电缆管道、海底隧道、科研教学以及海岸防护工程用海，兼容不损害主导用海功能的其他用海活动，严格限制改变海域自然属性”。本项目为</w:t>
      </w:r>
      <w:r>
        <w:rPr>
          <w:rFonts w:hint="eastAsia"/>
        </w:rPr>
        <w:lastRenderedPageBreak/>
        <w:t>石井航道二期工程的配套项目，后续工程拟开展转运坑的地形恢复，不改变海域自然属性。根据数值模拟研究报告，项目实施后泥沙冲淤范围主要位于转运坑及其周边，对菊江航道冲淤环境影响较小，与该区主导功能及管控要求不冲突。</w:t>
      </w:r>
    </w:p>
    <w:p w14:paraId="2E063E28" w14:textId="77777777" w:rsidR="00EB6ADA" w:rsidRDefault="00000000">
      <w:pPr>
        <w:pStyle w:val="10"/>
        <w:ind w:firstLine="482"/>
        <w:rPr>
          <w:b/>
          <w:bCs/>
        </w:rPr>
      </w:pPr>
      <w:r>
        <w:rPr>
          <w:rFonts w:hint="eastAsia"/>
          <w:b/>
          <w:bCs/>
        </w:rPr>
        <w:t>（</w:t>
      </w:r>
      <w:r>
        <w:rPr>
          <w:rFonts w:hint="eastAsia"/>
          <w:b/>
          <w:bCs/>
        </w:rPr>
        <w:t>3</w:t>
      </w:r>
      <w:r>
        <w:rPr>
          <w:rFonts w:hint="eastAsia"/>
          <w:b/>
          <w:bCs/>
        </w:rPr>
        <w:t>）对</w:t>
      </w:r>
      <w:r>
        <w:rPr>
          <w:rFonts w:hint="eastAsia"/>
          <w:b/>
          <w:bCs/>
        </w:rPr>
        <w:t xml:space="preserve"> </w:t>
      </w:r>
      <w:r>
        <w:rPr>
          <w:rFonts w:hint="eastAsia"/>
          <w:b/>
          <w:bCs/>
        </w:rPr>
        <w:t>“工矿通信用海区”的影响</w:t>
      </w:r>
    </w:p>
    <w:p w14:paraId="408B5F45" w14:textId="77777777" w:rsidR="00EB6ADA" w:rsidRDefault="00000000">
      <w:pPr>
        <w:pStyle w:val="10"/>
        <w:ind w:firstLine="480"/>
      </w:pPr>
      <w:r>
        <w:rPr>
          <w:rFonts w:hint="eastAsia"/>
        </w:rPr>
        <w:t>项目用海与“工矿通信用海区”的最近距离约</w:t>
      </w:r>
      <w:r>
        <w:rPr>
          <w:rFonts w:hint="eastAsia"/>
        </w:rPr>
        <w:t>0.28km</w:t>
      </w:r>
      <w:r>
        <w:rPr>
          <w:rFonts w:hint="eastAsia"/>
        </w:rPr>
        <w:t>，项目实施不影响工矿通信用海主导功能。</w:t>
      </w:r>
    </w:p>
    <w:p w14:paraId="3DD2BE22" w14:textId="77777777" w:rsidR="00EB6ADA" w:rsidRDefault="00000000">
      <w:pPr>
        <w:pStyle w:val="10"/>
        <w:ind w:firstLine="482"/>
        <w:rPr>
          <w:b/>
          <w:bCs/>
        </w:rPr>
      </w:pPr>
      <w:r>
        <w:rPr>
          <w:rFonts w:hint="eastAsia"/>
          <w:b/>
          <w:bCs/>
        </w:rPr>
        <w:t>（</w:t>
      </w:r>
      <w:r>
        <w:rPr>
          <w:rFonts w:hint="eastAsia"/>
          <w:b/>
          <w:bCs/>
        </w:rPr>
        <w:t>4</w:t>
      </w:r>
      <w:r>
        <w:rPr>
          <w:rFonts w:hint="eastAsia"/>
          <w:b/>
          <w:bCs/>
        </w:rPr>
        <w:t>）对“生态保护区”的影响分析</w:t>
      </w:r>
    </w:p>
    <w:p w14:paraId="58D4FB43" w14:textId="77777777" w:rsidR="00EB6ADA" w:rsidRDefault="00000000">
      <w:pPr>
        <w:pStyle w:val="10"/>
        <w:ind w:firstLine="480"/>
      </w:pPr>
      <w:r>
        <w:rPr>
          <w:rFonts w:hint="eastAsia"/>
        </w:rPr>
        <w:t>项目用海不占用“生态保护区”，最近距离约</w:t>
      </w:r>
      <w:r>
        <w:rPr>
          <w:rFonts w:hint="eastAsia"/>
        </w:rPr>
        <w:t>3.8km</w:t>
      </w:r>
      <w:r>
        <w:rPr>
          <w:rFonts w:hint="eastAsia"/>
        </w:rPr>
        <w:t>。根据数模结果，本项目疏浚产生的悬浮泥沙超过</w:t>
      </w:r>
      <w:r>
        <w:rPr>
          <w:rFonts w:hint="eastAsia"/>
        </w:rPr>
        <w:t>10mg/L</w:t>
      </w:r>
      <w:r>
        <w:rPr>
          <w:rFonts w:hint="eastAsia"/>
        </w:rPr>
        <w:t>的影响范围未占用生态保护区，不会对其造成影响。</w:t>
      </w:r>
    </w:p>
    <w:p w14:paraId="7DB81C2B" w14:textId="77777777" w:rsidR="00EB6ADA" w:rsidRDefault="00000000">
      <w:pPr>
        <w:pStyle w:val="4"/>
        <w:rPr>
          <w:rFonts w:cs="Times New Roman"/>
        </w:rPr>
      </w:pPr>
      <w:r>
        <w:rPr>
          <w:rFonts w:cs="Times New Roman" w:hint="eastAsia"/>
          <w:szCs w:val="24"/>
        </w:rPr>
        <w:t>5</w:t>
      </w:r>
      <w:r>
        <w:rPr>
          <w:rFonts w:cs="Times New Roman"/>
        </w:rPr>
        <w:t>.1.2.3</w:t>
      </w:r>
      <w:r>
        <w:rPr>
          <w:rFonts w:cs="Times New Roman"/>
        </w:rPr>
        <w:t>项目用海与海域国土空间规划分区的符合性分析</w:t>
      </w:r>
    </w:p>
    <w:p w14:paraId="1B1D8DDE" w14:textId="77777777" w:rsidR="00EB6ADA" w:rsidRDefault="00000000">
      <w:pPr>
        <w:pStyle w:val="10"/>
        <w:ind w:firstLine="480"/>
      </w:pPr>
      <w:r>
        <w:rPr>
          <w:rFonts w:hint="eastAsia"/>
        </w:rPr>
        <w:t>项目用海位于“渔业用海区”，不改变海域的自然属性，与现状养殖活动具备协调途径，符合《泉州市国土空间总体规划（</w:t>
      </w:r>
      <w:r>
        <w:rPr>
          <w:rFonts w:hint="eastAsia"/>
        </w:rPr>
        <w:t>2021-2035</w:t>
      </w:r>
      <w:r>
        <w:rPr>
          <w:rFonts w:hint="eastAsia"/>
        </w:rPr>
        <w:t>年）》。</w:t>
      </w:r>
    </w:p>
    <w:p w14:paraId="57D83505" w14:textId="77777777" w:rsidR="00EB6ADA" w:rsidRDefault="00000000">
      <w:pPr>
        <w:pStyle w:val="3"/>
        <w:rPr>
          <w:rFonts w:cs="Times New Roman"/>
        </w:rPr>
      </w:pPr>
      <w:r>
        <w:rPr>
          <w:rFonts w:cs="Times New Roman" w:hint="eastAsia"/>
          <w:sz w:val="24"/>
          <w:szCs w:val="24"/>
        </w:rPr>
        <w:t>5</w:t>
      </w:r>
      <w:r>
        <w:rPr>
          <w:rFonts w:cs="Times New Roman"/>
        </w:rPr>
        <w:t>.1.3</w:t>
      </w:r>
      <w:r>
        <w:rPr>
          <w:rFonts w:cs="Times New Roman"/>
        </w:rPr>
        <w:t>项目用海与《南安市国土空间总体规划（</w:t>
      </w:r>
      <w:r>
        <w:rPr>
          <w:rFonts w:cs="Times New Roman"/>
        </w:rPr>
        <w:t>2021-2035</w:t>
      </w:r>
      <w:r>
        <w:rPr>
          <w:rFonts w:cs="Times New Roman"/>
        </w:rPr>
        <w:t>年）》符合性分析</w:t>
      </w:r>
    </w:p>
    <w:p w14:paraId="1C76E393" w14:textId="6C137A2E" w:rsidR="00EB6ADA" w:rsidRDefault="00000000">
      <w:pPr>
        <w:pStyle w:val="10"/>
        <w:ind w:firstLine="480"/>
      </w:pPr>
      <w:r>
        <w:rPr>
          <w:rFonts w:hint="eastAsia"/>
        </w:rPr>
        <w:t>根据《南安市国土空间总体规划（</w:t>
      </w:r>
      <w:r>
        <w:rPr>
          <w:rFonts w:hint="eastAsia"/>
        </w:rPr>
        <w:t>2021-2035</w:t>
      </w:r>
      <w:r>
        <w:rPr>
          <w:rFonts w:hint="eastAsia"/>
        </w:rPr>
        <w:t>年）》，项目用海均位于“渔业用海区”。</w:t>
      </w:r>
    </w:p>
    <w:p w14:paraId="4DD86D94" w14:textId="77777777" w:rsidR="00EB6ADA" w:rsidRDefault="00000000">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本项目建设内容为现有转运坑的地形恢复，不改变海域的自然属性，对“渔业用海区”的影响是暂时且可恢复的，符合所在海域的空间用途准入和用海方式控制要求，符合《南安市国土空间总体规划（</w:t>
      </w:r>
      <w:r>
        <w:rPr>
          <w:rFonts w:ascii="Times New Roman" w:eastAsia="宋体" w:hAnsi="Times New Roman" w:cs="Times New Roman" w:hint="eastAsia"/>
          <w:sz w:val="24"/>
          <w:szCs w:val="24"/>
        </w:rPr>
        <w:t>2021-2035</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w:t>
      </w:r>
    </w:p>
    <w:p w14:paraId="02F0AD92" w14:textId="77777777" w:rsidR="00EB6ADA" w:rsidRDefault="00000000">
      <w:pPr>
        <w:pStyle w:val="3"/>
      </w:pPr>
      <w:r>
        <w:rPr>
          <w:rFonts w:hint="eastAsia"/>
        </w:rPr>
        <w:t>5</w:t>
      </w:r>
      <w:r>
        <w:t>.1.</w:t>
      </w:r>
      <w:r>
        <w:rPr>
          <w:rFonts w:hint="eastAsia"/>
        </w:rPr>
        <w:t>4</w:t>
      </w:r>
      <w:r>
        <w:rPr>
          <w:rFonts w:cs="Times New Roman"/>
        </w:rPr>
        <w:t>项目用海</w:t>
      </w:r>
      <w:r>
        <w:t>与《</w:t>
      </w:r>
      <w:r>
        <w:rPr>
          <w:rFonts w:hint="eastAsia"/>
        </w:rPr>
        <w:t>福建省海岸带及海洋空间规划</w:t>
      </w:r>
      <w:r>
        <w:t>》的符合性分析</w:t>
      </w:r>
    </w:p>
    <w:p w14:paraId="663F759B" w14:textId="027AD68B" w:rsidR="00EB6ADA"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根据《福建省海岸带及海洋空间规划》，本工程位于</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“渔业用海区”。根据数值模拟结果，项目实施过程中</w:t>
      </w:r>
      <w:r>
        <w:rPr>
          <w:rFonts w:ascii="Times New Roman" w:eastAsia="宋体" w:hAnsi="Times New Roman" w:cs="Times New Roman" w:hint="eastAsia"/>
          <w:sz w:val="24"/>
        </w:rPr>
        <w:t>10mg/L</w:t>
      </w:r>
      <w:r>
        <w:rPr>
          <w:rFonts w:ascii="Times New Roman" w:eastAsia="宋体" w:hAnsi="Times New Roman" w:cs="Times New Roman" w:hint="eastAsia"/>
          <w:sz w:val="24"/>
        </w:rPr>
        <w:t>悬浮泥沙增量影响范围涉及“渔业用海区”及“交通运输用海区”。施工结束后，悬浮泥沙影响将逐渐消失，周边海域的水质环境将逐渐恢复。本工程为转运坑的地形恢复，不改变海域属性，工程实施完成后不影响渔业资源自然繁育空间，与现状养殖活动具备协调途径，与“渔业用海区”不冲突</w:t>
      </w:r>
      <w:r>
        <w:rPr>
          <w:rFonts w:ascii="Times New Roman" w:eastAsia="宋体" w:hAnsi="Times New Roman" w:cs="Times New Roman"/>
          <w:sz w:val="24"/>
        </w:rPr>
        <w:t>。</w:t>
      </w:r>
      <w:r>
        <w:rPr>
          <w:rFonts w:ascii="Times New Roman" w:eastAsia="宋体" w:hAnsi="Times New Roman" w:cs="Times New Roman" w:hint="eastAsia"/>
          <w:sz w:val="24"/>
        </w:rPr>
        <w:t>此外工程实施后主要冲淤变化在转运坑及其周边，对周边航道、码头前沿的水深地形基本没有影响。</w:t>
      </w:r>
    </w:p>
    <w:p w14:paraId="2B8FA4A9" w14:textId="77777777" w:rsidR="00EB6ADA"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综上，项目符合《</w:t>
      </w:r>
      <w:r>
        <w:rPr>
          <w:rFonts w:ascii="Times New Roman" w:eastAsia="宋体" w:hAnsi="Times New Roman" w:cs="Times New Roman" w:hint="eastAsia"/>
          <w:sz w:val="24"/>
        </w:rPr>
        <w:t>福建省海岸带及海洋空间规划</w:t>
      </w:r>
      <w:r>
        <w:rPr>
          <w:rFonts w:ascii="Times New Roman" w:eastAsia="宋体" w:hAnsi="Times New Roman" w:cs="Times New Roman"/>
          <w:sz w:val="24"/>
        </w:rPr>
        <w:t>》。</w:t>
      </w:r>
    </w:p>
    <w:p w14:paraId="7BF8ABBF" w14:textId="77777777" w:rsidR="00EB6ADA" w:rsidRDefault="00000000">
      <w:pPr>
        <w:pStyle w:val="3"/>
        <w:rPr>
          <w:rFonts w:cs="Times New Roman"/>
        </w:rPr>
      </w:pPr>
      <w:r>
        <w:rPr>
          <w:rFonts w:cs="Times New Roman" w:hint="eastAsia"/>
        </w:rPr>
        <w:t>5</w:t>
      </w:r>
      <w:r>
        <w:rPr>
          <w:rFonts w:cs="Times New Roman"/>
        </w:rPr>
        <w:t>.1.5</w:t>
      </w:r>
      <w:r>
        <w:rPr>
          <w:rFonts w:cs="Times New Roman"/>
        </w:rPr>
        <w:t>项目用海与国土空间规划的符合性分析总结</w:t>
      </w:r>
    </w:p>
    <w:p w14:paraId="0DE1B05B"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项目不涉及生态保护红线，用海符合《福建省国土空间规划（</w:t>
      </w:r>
      <w:r>
        <w:rPr>
          <w:rFonts w:ascii="Times New Roman" w:eastAsia="宋体" w:hAnsi="Times New Roman" w:cs="Times New Roman"/>
          <w:sz w:val="24"/>
          <w:szCs w:val="24"/>
        </w:rPr>
        <w:t>2021-2035</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福建省海岸带及海洋空间规划</w:t>
      </w:r>
      <w:r>
        <w:rPr>
          <w:rFonts w:ascii="Times New Roman" w:eastAsia="宋体" w:hAnsi="Times New Roman" w:cs="Times New Roman"/>
          <w:sz w:val="24"/>
          <w:szCs w:val="24"/>
        </w:rPr>
        <w:t>》《泉州市国土空间总体规划（</w:t>
      </w:r>
      <w:r>
        <w:rPr>
          <w:rFonts w:ascii="Times New Roman" w:eastAsia="宋体" w:hAnsi="Times New Roman" w:cs="Times New Roman"/>
          <w:sz w:val="24"/>
          <w:szCs w:val="24"/>
        </w:rPr>
        <w:t>2021-2035</w:t>
      </w:r>
      <w:r>
        <w:rPr>
          <w:rFonts w:ascii="Times New Roman" w:eastAsia="宋体" w:hAnsi="Times New Roman" w:cs="Times New Roman"/>
          <w:sz w:val="24"/>
          <w:szCs w:val="24"/>
        </w:rPr>
        <w:t>年）》和《南安市国土空间总体规划（</w:t>
      </w:r>
      <w:r>
        <w:rPr>
          <w:rFonts w:ascii="Times New Roman" w:eastAsia="宋体" w:hAnsi="Times New Roman" w:cs="Times New Roman"/>
          <w:sz w:val="24"/>
          <w:szCs w:val="24"/>
        </w:rPr>
        <w:t>2021-2035</w:t>
      </w:r>
      <w:r>
        <w:rPr>
          <w:rFonts w:ascii="Times New Roman" w:eastAsia="宋体" w:hAnsi="Times New Roman" w:cs="Times New Roman"/>
          <w:sz w:val="24"/>
          <w:szCs w:val="24"/>
        </w:rPr>
        <w:t>年）》。综上，项目用海符合国土空间规划。</w:t>
      </w:r>
    </w:p>
    <w:p w14:paraId="2637512D" w14:textId="77777777" w:rsidR="00EB6ADA" w:rsidRDefault="00000000">
      <w:pPr>
        <w:pStyle w:val="2"/>
        <w:rPr>
          <w:rFonts w:cs="Times New Roman"/>
        </w:rPr>
      </w:pPr>
      <w:bookmarkStart w:id="31" w:name="_Toc192844061"/>
      <w:bookmarkStart w:id="32" w:name="_Toc219295869"/>
      <w:bookmarkStart w:id="33" w:name="_Toc224053297"/>
      <w:r>
        <w:rPr>
          <w:rFonts w:cs="Times New Roman" w:hint="eastAsia"/>
        </w:rPr>
        <w:lastRenderedPageBreak/>
        <w:t>5</w:t>
      </w:r>
      <w:r>
        <w:rPr>
          <w:rFonts w:cs="Times New Roman"/>
        </w:rPr>
        <w:t>.2</w:t>
      </w:r>
      <w:r>
        <w:rPr>
          <w:rFonts w:cs="Times New Roman"/>
        </w:rPr>
        <w:t>项目用海与其他相关规划的符合性分析</w:t>
      </w:r>
      <w:bookmarkEnd w:id="31"/>
      <w:bookmarkEnd w:id="32"/>
      <w:bookmarkEnd w:id="33"/>
    </w:p>
    <w:p w14:paraId="3331F514" w14:textId="77777777" w:rsidR="00EB6ADA" w:rsidRDefault="00000000">
      <w:pPr>
        <w:pStyle w:val="3"/>
        <w:rPr>
          <w:rFonts w:cs="Times New Roman"/>
        </w:rPr>
      </w:pPr>
      <w:r>
        <w:rPr>
          <w:rFonts w:cs="Times New Roman" w:hint="eastAsia"/>
        </w:rPr>
        <w:t>5</w:t>
      </w:r>
      <w:r>
        <w:rPr>
          <w:rFonts w:cs="Times New Roman"/>
        </w:rPr>
        <w:t>.2.1</w:t>
      </w:r>
      <w:r>
        <w:rPr>
          <w:rFonts w:cs="Times New Roman"/>
        </w:rPr>
        <w:t>项目用海与《泉州港总体规划（</w:t>
      </w:r>
      <w:r>
        <w:rPr>
          <w:rFonts w:cs="Times New Roman"/>
        </w:rPr>
        <w:t>2020-2035</w:t>
      </w:r>
      <w:r>
        <w:rPr>
          <w:rFonts w:cs="Times New Roman"/>
        </w:rPr>
        <w:t>年）》符合性分析</w:t>
      </w:r>
    </w:p>
    <w:p w14:paraId="1E93CFEB" w14:textId="4A308AE0"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根据《泉州港总体规划（</w:t>
      </w:r>
      <w:r>
        <w:rPr>
          <w:rFonts w:ascii="Times New Roman" w:eastAsia="宋体" w:hAnsi="Times New Roman" w:cs="Times New Roman" w:hint="eastAsia"/>
          <w:sz w:val="24"/>
          <w:szCs w:val="24"/>
        </w:rPr>
        <w:t>2020-2035</w:t>
      </w:r>
      <w:r>
        <w:rPr>
          <w:rFonts w:ascii="Times New Roman" w:eastAsia="宋体" w:hAnsi="Times New Roman" w:cs="Times New Roman" w:hint="eastAsia"/>
          <w:sz w:val="24"/>
          <w:szCs w:val="24"/>
        </w:rPr>
        <w:t>年）》的“围头湾航道规划图”，本项目位于菊江航道南侧，最近距离为</w:t>
      </w:r>
      <w:r>
        <w:rPr>
          <w:rFonts w:ascii="Times New Roman" w:eastAsia="宋体" w:hAnsi="Times New Roman" w:cs="Times New Roman" w:hint="eastAsia"/>
          <w:sz w:val="24"/>
          <w:szCs w:val="24"/>
        </w:rPr>
        <w:t>0.11km</w:t>
      </w:r>
      <w:r>
        <w:rPr>
          <w:rFonts w:ascii="Times New Roman" w:eastAsia="宋体" w:hAnsi="Times New Roman" w:cs="Times New Roman" w:hint="eastAsia"/>
          <w:sz w:val="24"/>
          <w:szCs w:val="24"/>
        </w:rPr>
        <w:t>，根据数值模拟研究报告，项目实施后泥沙冲淤范围主要位于转运坑及其周边，对周边航道、锚地及码头前沿水深地形基本没有影响</w:t>
      </w:r>
      <w:r>
        <w:rPr>
          <w:rFonts w:ascii="Times New Roman" w:eastAsia="宋体" w:hAnsi="Times New Roman" w:cs="Times New Roman"/>
          <w:sz w:val="24"/>
          <w:szCs w:val="24"/>
        </w:rPr>
        <w:t>。</w:t>
      </w:r>
      <w:r>
        <w:rPr>
          <w:rFonts w:ascii="Times New Roman" w:eastAsia="宋体" w:hAnsi="Times New Roman" w:cs="Times New Roman" w:hint="eastAsia"/>
          <w:sz w:val="24"/>
          <w:szCs w:val="24"/>
        </w:rPr>
        <w:t>作为石井航道二期工程配套的疏浚物处置项目，本项目是航道二期工程顺利实施的保障，对《泉州港总体规划（</w:t>
      </w:r>
      <w:r>
        <w:rPr>
          <w:rFonts w:ascii="Times New Roman" w:eastAsia="宋体" w:hAnsi="Times New Roman" w:cs="Times New Roman" w:hint="eastAsia"/>
          <w:sz w:val="24"/>
          <w:szCs w:val="24"/>
        </w:rPr>
        <w:t>2020-2035</w:t>
      </w:r>
      <w:r>
        <w:rPr>
          <w:rFonts w:ascii="Times New Roman" w:eastAsia="宋体" w:hAnsi="Times New Roman" w:cs="Times New Roman" w:hint="eastAsia"/>
          <w:sz w:val="24"/>
          <w:szCs w:val="24"/>
        </w:rPr>
        <w:t>年）》的实施具有积极作用。</w:t>
      </w:r>
    </w:p>
    <w:p w14:paraId="392BFA8D" w14:textId="77777777" w:rsidR="00EB6ADA" w:rsidRDefault="00000000">
      <w:pPr>
        <w:keepNext/>
        <w:keepLines/>
        <w:widowControl/>
        <w:adjustRightInd w:val="0"/>
        <w:spacing w:line="360" w:lineRule="auto"/>
        <w:jc w:val="left"/>
        <w:textAlignment w:val="baseline"/>
        <w:outlineLvl w:val="2"/>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5</w:t>
      </w:r>
      <w:r>
        <w:rPr>
          <w:rFonts w:ascii="Times New Roman" w:eastAsia="宋体" w:hAnsi="Times New Roman" w:cs="Times New Roman"/>
          <w:b/>
          <w:kern w:val="0"/>
          <w:sz w:val="28"/>
          <w:szCs w:val="28"/>
        </w:rPr>
        <w:t>.2.2</w:t>
      </w:r>
      <w:r>
        <w:rPr>
          <w:rFonts w:ascii="Times New Roman" w:eastAsia="宋体" w:hAnsi="Times New Roman" w:cs="Times New Roman"/>
          <w:b/>
          <w:kern w:val="0"/>
          <w:sz w:val="28"/>
          <w:szCs w:val="28"/>
        </w:rPr>
        <w:t>项目用海与区域养殖水域滩涂规划的协调性分析</w:t>
      </w:r>
    </w:p>
    <w:p w14:paraId="6737D18E" w14:textId="6888AA55" w:rsidR="00EB6ADA" w:rsidRDefault="00000000">
      <w:pPr>
        <w:spacing w:line="360" w:lineRule="auto"/>
        <w:ind w:firstLineChars="200" w:firstLine="480"/>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根据《南安市养殖水域滩涂规划（修编）（</w:t>
      </w:r>
      <w:r>
        <w:rPr>
          <w:rFonts w:ascii="Times New Roman" w:eastAsia="宋体" w:hAnsi="Times New Roman" w:cs="Times New Roman"/>
          <w:snapToGrid w:val="0"/>
          <w:kern w:val="0"/>
          <w:sz w:val="24"/>
        </w:rPr>
        <w:t>2018-2030</w:t>
      </w:r>
      <w:r>
        <w:rPr>
          <w:rFonts w:ascii="Times New Roman" w:eastAsia="宋体" w:hAnsi="Times New Roman" w:cs="Times New Roman"/>
          <w:snapToGrid w:val="0"/>
          <w:kern w:val="0"/>
          <w:sz w:val="24"/>
        </w:rPr>
        <w:t>）》，本项目用海</w:t>
      </w:r>
      <w:r>
        <w:rPr>
          <w:rFonts w:ascii="Times New Roman" w:eastAsia="宋体" w:hAnsi="Times New Roman" w:cs="Times New Roman" w:hint="eastAsia"/>
          <w:snapToGrid w:val="0"/>
          <w:kern w:val="0"/>
          <w:sz w:val="24"/>
        </w:rPr>
        <w:t>范围，以及</w:t>
      </w:r>
      <w:r>
        <w:rPr>
          <w:rFonts w:ascii="Times New Roman" w:eastAsia="宋体" w:hAnsi="Times New Roman" w:cs="Times New Roman"/>
          <w:sz w:val="24"/>
        </w:rPr>
        <w:t>悬浮泥沙浓度增量</w:t>
      </w:r>
      <w:r>
        <w:rPr>
          <w:rFonts w:ascii="Times New Roman" w:eastAsia="宋体" w:hAnsi="Times New Roman" w:cs="Times New Roman"/>
          <w:sz w:val="24"/>
        </w:rPr>
        <w:t>10mg/L</w:t>
      </w:r>
      <w:r>
        <w:rPr>
          <w:rFonts w:ascii="Times New Roman" w:eastAsia="宋体" w:hAnsi="Times New Roman" w:cs="Times New Roman"/>
          <w:sz w:val="24"/>
        </w:rPr>
        <w:t>的</w:t>
      </w:r>
      <w:r>
        <w:rPr>
          <w:rFonts w:ascii="Times New Roman" w:eastAsia="宋体" w:hAnsi="Times New Roman" w:cs="Times New Roman" w:hint="eastAsia"/>
          <w:sz w:val="24"/>
        </w:rPr>
        <w:t>影响范围均</w:t>
      </w:r>
      <w:r>
        <w:rPr>
          <w:rFonts w:ascii="Times New Roman" w:eastAsia="宋体" w:hAnsi="Times New Roman" w:cs="Times New Roman"/>
          <w:snapToGrid w:val="0"/>
          <w:kern w:val="0"/>
          <w:sz w:val="24"/>
        </w:rPr>
        <w:t>未涉及养殖区和限制养殖区。项目用海与区域养殖水域滩涂规划</w:t>
      </w:r>
      <w:r>
        <w:rPr>
          <w:rFonts w:ascii="Times New Roman" w:eastAsia="宋体" w:hAnsi="Times New Roman" w:cs="Times New Roman" w:hint="eastAsia"/>
          <w:snapToGrid w:val="0"/>
          <w:kern w:val="0"/>
          <w:sz w:val="24"/>
        </w:rPr>
        <w:t>可以</w:t>
      </w:r>
      <w:r>
        <w:rPr>
          <w:rFonts w:ascii="Times New Roman" w:eastAsia="宋体" w:hAnsi="Times New Roman" w:cs="Times New Roman"/>
          <w:snapToGrid w:val="0"/>
          <w:kern w:val="0"/>
          <w:sz w:val="24"/>
        </w:rPr>
        <w:t>协调。</w:t>
      </w:r>
    </w:p>
    <w:p w14:paraId="1016A2E7" w14:textId="77777777" w:rsidR="00EB6ADA" w:rsidRDefault="00000000">
      <w:pPr>
        <w:pStyle w:val="3"/>
        <w:rPr>
          <w:rFonts w:cs="Times New Roman"/>
          <w:snapToGrid w:val="0"/>
        </w:rPr>
      </w:pPr>
      <w:r>
        <w:rPr>
          <w:rFonts w:cs="Times New Roman" w:hint="eastAsia"/>
          <w:snapToGrid w:val="0"/>
        </w:rPr>
        <w:t>5</w:t>
      </w:r>
      <w:r>
        <w:rPr>
          <w:rFonts w:cs="Times New Roman"/>
          <w:snapToGrid w:val="0"/>
        </w:rPr>
        <w:t>.2.3</w:t>
      </w:r>
      <w:r>
        <w:rPr>
          <w:rFonts w:cs="Times New Roman"/>
          <w:snapToGrid w:val="0"/>
        </w:rPr>
        <w:t>项目用海与《厦门珍稀海洋物种国家级自然保护区总体规划》的符合性分析</w:t>
      </w:r>
    </w:p>
    <w:p w14:paraId="3912F7F2" w14:textId="309404BF" w:rsidR="00EB6ADA" w:rsidRDefault="00000000">
      <w:pPr>
        <w:pStyle w:val="10"/>
        <w:ind w:firstLine="480"/>
        <w:rPr>
          <w:rFonts w:cs="Times New Roman"/>
          <w:snapToGrid w:val="0"/>
        </w:rPr>
      </w:pPr>
      <w:r>
        <w:rPr>
          <w:rFonts w:cs="Times New Roman"/>
        </w:rPr>
        <w:t>《厦门珍稀海洋物种国家级自然保护区总体规划》于</w:t>
      </w:r>
      <w:r>
        <w:rPr>
          <w:rFonts w:cs="Times New Roman"/>
        </w:rPr>
        <w:t>2016</w:t>
      </w:r>
      <w:r>
        <w:rPr>
          <w:rFonts w:cs="Times New Roman"/>
        </w:rPr>
        <w:t>年获福建省人民政府批复</w:t>
      </w:r>
      <w:r>
        <w:rPr>
          <w:rFonts w:cs="Times New Roman" w:hint="eastAsia"/>
        </w:rPr>
        <w:t>，</w:t>
      </w:r>
      <w:r>
        <w:rPr>
          <w:rFonts w:cs="Times New Roman"/>
          <w:b/>
          <w:bCs/>
        </w:rPr>
        <w:t>规划期限为</w:t>
      </w:r>
      <w:r>
        <w:rPr>
          <w:rFonts w:cs="Times New Roman"/>
          <w:b/>
          <w:bCs/>
        </w:rPr>
        <w:t>10</w:t>
      </w:r>
      <w:r>
        <w:rPr>
          <w:rFonts w:cs="Times New Roman"/>
          <w:b/>
          <w:bCs/>
        </w:rPr>
        <w:t>年，即</w:t>
      </w:r>
      <w:r>
        <w:rPr>
          <w:rFonts w:cs="Times New Roman"/>
          <w:b/>
          <w:bCs/>
        </w:rPr>
        <w:t>2016</w:t>
      </w:r>
      <w:r>
        <w:rPr>
          <w:rFonts w:cs="Times New Roman"/>
          <w:b/>
          <w:bCs/>
        </w:rPr>
        <w:t>～</w:t>
      </w:r>
      <w:r>
        <w:rPr>
          <w:rFonts w:cs="Times New Roman"/>
          <w:b/>
          <w:bCs/>
        </w:rPr>
        <w:t>2025</w:t>
      </w:r>
      <w:r>
        <w:rPr>
          <w:rFonts w:cs="Times New Roman"/>
          <w:b/>
          <w:bCs/>
        </w:rPr>
        <w:t>年。</w:t>
      </w:r>
      <w:r>
        <w:rPr>
          <w:rFonts w:cs="Times New Roman" w:hint="eastAsia"/>
          <w:snapToGrid w:val="0"/>
        </w:rPr>
        <w:t>本项目拟申请用海不涉及保护区，与“厦门珍稀海洋物种国家级自然保护区外围保护地带（文昌鱼）”和“厦门珍稀海洋物种国家级自然保护区外围保护地带（中华白海豚）”最近距离为</w:t>
      </w:r>
      <w:r>
        <w:rPr>
          <w:rFonts w:cs="Times New Roman" w:hint="eastAsia"/>
          <w:snapToGrid w:val="0"/>
        </w:rPr>
        <w:t>1.3km</w:t>
      </w:r>
      <w:r>
        <w:rPr>
          <w:rFonts w:cs="Times New Roman" w:hint="eastAsia"/>
          <w:snapToGrid w:val="0"/>
        </w:rPr>
        <w:t>，与“厦门珍稀海洋物种国家级自然保护区（中华白海豚）”最近距离为</w:t>
      </w:r>
      <w:r>
        <w:rPr>
          <w:rFonts w:cs="Times New Roman" w:hint="eastAsia"/>
          <w:snapToGrid w:val="0"/>
        </w:rPr>
        <w:t>15.6km</w:t>
      </w:r>
      <w:r>
        <w:rPr>
          <w:rFonts w:cs="Times New Roman" w:hint="eastAsia"/>
          <w:snapToGrid w:val="0"/>
        </w:rPr>
        <w:t>。根据数值模拟研究报告，项目实施过程</w:t>
      </w:r>
      <w:r>
        <w:rPr>
          <w:rFonts w:cs="Times New Roman" w:hint="eastAsia"/>
          <w:snapToGrid w:val="0"/>
        </w:rPr>
        <w:t>10mg/L</w:t>
      </w:r>
      <w:r>
        <w:rPr>
          <w:rFonts w:cs="Times New Roman" w:hint="eastAsia"/>
          <w:snapToGrid w:val="0"/>
        </w:rPr>
        <w:t>悬浮泥沙增量范围不涉及保护区及外围保护地带，本项目的实施不会对保护区及外围保护地带造成影响，与《厦门珍稀海洋物种国家级自然保护区总体规划》不冲突</w:t>
      </w:r>
      <w:r>
        <w:rPr>
          <w:rFonts w:cs="Times New Roman"/>
          <w:snapToGrid w:val="0"/>
        </w:rPr>
        <w:t>。</w:t>
      </w:r>
    </w:p>
    <w:p w14:paraId="4FF3B962" w14:textId="77777777" w:rsidR="00EB6ADA" w:rsidRDefault="00000000" w:rsidP="00A3460E">
      <w:pPr>
        <w:pStyle w:val="10"/>
        <w:widowControl/>
        <w:adjustRightInd w:val="0"/>
        <w:spacing w:beforeLines="50" w:before="156"/>
        <w:ind w:firstLine="480"/>
        <w:rPr>
          <w:rFonts w:cs="Times New Roman"/>
        </w:rPr>
      </w:pPr>
      <w:r>
        <w:rPr>
          <w:rFonts w:cs="Times New Roman"/>
        </w:rPr>
        <w:t>国家林草局、自然资源部会同生态环境部、农业农村部等有关部门组织开展了自然保护地整合优化工作，形成《全国自然保护地整合优化方案》，并通过部门联合审查，于</w:t>
      </w:r>
      <w:r>
        <w:rPr>
          <w:rFonts w:cs="Times New Roman"/>
        </w:rPr>
        <w:t>2024</w:t>
      </w:r>
      <w:r>
        <w:rPr>
          <w:rFonts w:cs="Times New Roman"/>
        </w:rPr>
        <w:t>年</w:t>
      </w:r>
      <w:r>
        <w:rPr>
          <w:rFonts w:cs="Times New Roman"/>
        </w:rPr>
        <w:t>10</w:t>
      </w:r>
      <w:r>
        <w:rPr>
          <w:rFonts w:cs="Times New Roman"/>
        </w:rPr>
        <w:t>月进行公示。厦门珍稀海洋物种国家级自然保护区整合优化后范围与</w:t>
      </w:r>
      <w:r>
        <w:rPr>
          <w:rFonts w:cs="Times New Roman"/>
        </w:rPr>
        <w:t>“</w:t>
      </w:r>
      <w:r>
        <w:rPr>
          <w:rFonts w:cs="Times New Roman"/>
        </w:rPr>
        <w:t>三区三线</w:t>
      </w:r>
      <w:r>
        <w:rPr>
          <w:rFonts w:cs="Times New Roman"/>
        </w:rPr>
        <w:t>”</w:t>
      </w:r>
      <w:r>
        <w:rPr>
          <w:rFonts w:cs="Times New Roman"/>
        </w:rPr>
        <w:t>中的生态保护红线及国土空间规划中的</w:t>
      </w:r>
      <w:r>
        <w:rPr>
          <w:rFonts w:cs="Times New Roman"/>
        </w:rPr>
        <w:t>“</w:t>
      </w:r>
      <w:r>
        <w:rPr>
          <w:rFonts w:cs="Times New Roman"/>
        </w:rPr>
        <w:t>生态保护区</w:t>
      </w:r>
      <w:r>
        <w:rPr>
          <w:rFonts w:cs="Times New Roman"/>
        </w:rPr>
        <w:t>”</w:t>
      </w:r>
      <w:r>
        <w:rPr>
          <w:rFonts w:cs="Times New Roman"/>
        </w:rPr>
        <w:t>范围衔接。</w:t>
      </w:r>
    </w:p>
    <w:p w14:paraId="541BB5AC" w14:textId="77777777" w:rsidR="00EB6ADA" w:rsidRDefault="00000000">
      <w:pPr>
        <w:widowControl/>
        <w:adjustRightInd w:val="0"/>
        <w:spacing w:line="360" w:lineRule="auto"/>
        <w:ind w:firstLineChars="200" w:firstLine="480"/>
        <w:jc w:val="left"/>
        <w:rPr>
          <w:rFonts w:cs="Times New Roman" w:hint="eastAsia"/>
          <w:snapToGrid w:val="0"/>
        </w:rPr>
      </w:pPr>
      <w:r>
        <w:rPr>
          <w:rFonts w:ascii="Times New Roman" w:eastAsia="宋体" w:hAnsi="Times New Roman" w:cs="Times New Roman"/>
          <w:sz w:val="24"/>
        </w:rPr>
        <w:t>项目用海及施工悬沙影响范围均不涉及《厦门珍稀海洋物种国家级自然保护区总体规划》及整合优化后范围。</w:t>
      </w:r>
    </w:p>
    <w:p w14:paraId="461575DB" w14:textId="77777777" w:rsidR="00EB6ADA" w:rsidRDefault="00000000">
      <w:pPr>
        <w:keepNext/>
        <w:keepLines/>
        <w:widowControl/>
        <w:adjustRightInd w:val="0"/>
        <w:spacing w:line="360" w:lineRule="auto"/>
        <w:jc w:val="left"/>
        <w:textAlignment w:val="baseline"/>
        <w:outlineLvl w:val="2"/>
        <w:rPr>
          <w:rFonts w:ascii="Times New Roman" w:eastAsia="宋体" w:hAnsi="Times New Roman" w:cs="Times New Roman"/>
          <w:b/>
          <w:kern w:val="0"/>
          <w:sz w:val="28"/>
          <w:szCs w:val="28"/>
        </w:rPr>
      </w:pPr>
      <w:r>
        <w:rPr>
          <w:rFonts w:ascii="Times New Roman" w:eastAsia="宋体" w:hAnsi="Times New Roman" w:cs="Times New Roman" w:hint="eastAsia"/>
          <w:b/>
          <w:kern w:val="0"/>
          <w:sz w:val="28"/>
          <w:szCs w:val="28"/>
        </w:rPr>
        <w:t>5</w:t>
      </w:r>
      <w:r>
        <w:rPr>
          <w:rFonts w:ascii="Times New Roman" w:eastAsia="宋体" w:hAnsi="Times New Roman" w:cs="Times New Roman"/>
          <w:b/>
          <w:kern w:val="0"/>
          <w:sz w:val="28"/>
          <w:szCs w:val="28"/>
        </w:rPr>
        <w:t>.2.4</w:t>
      </w:r>
      <w:r>
        <w:rPr>
          <w:rFonts w:ascii="Times New Roman" w:eastAsia="宋体" w:hAnsi="Times New Roman" w:cs="Times New Roman"/>
          <w:b/>
          <w:kern w:val="0"/>
          <w:sz w:val="28"/>
          <w:szCs w:val="28"/>
        </w:rPr>
        <w:t>项目用海与《福建省</w:t>
      </w:r>
      <w:r w:rsidRPr="00A3460E">
        <w:rPr>
          <w:rFonts w:ascii="宋体" w:eastAsia="宋体" w:hAnsi="宋体" w:cs="Times New Roman"/>
          <w:b/>
          <w:kern w:val="0"/>
          <w:sz w:val="28"/>
          <w:szCs w:val="28"/>
        </w:rPr>
        <w:t>“</w:t>
      </w:r>
      <w:r w:rsidRPr="00A3460E">
        <w:rPr>
          <w:rFonts w:ascii="宋体" w:eastAsia="宋体" w:hAnsi="宋体" w:cs="Times New Roman" w:hint="eastAsia"/>
          <w:b/>
          <w:kern w:val="0"/>
          <w:sz w:val="28"/>
          <w:szCs w:val="28"/>
        </w:rPr>
        <w:t>十四五</w:t>
      </w:r>
      <w:r w:rsidRPr="00A3460E">
        <w:rPr>
          <w:rFonts w:ascii="宋体" w:eastAsia="宋体" w:hAnsi="宋体" w:cs="Times New Roman"/>
          <w:b/>
          <w:kern w:val="0"/>
          <w:sz w:val="28"/>
          <w:szCs w:val="28"/>
        </w:rPr>
        <w:t>”</w:t>
      </w:r>
      <w:r>
        <w:rPr>
          <w:rFonts w:ascii="Times New Roman" w:eastAsia="宋体" w:hAnsi="Times New Roman" w:cs="Times New Roman"/>
          <w:b/>
          <w:kern w:val="0"/>
          <w:sz w:val="28"/>
          <w:szCs w:val="28"/>
        </w:rPr>
        <w:t>海洋生态环境保护规划》的符合性分析</w:t>
      </w:r>
    </w:p>
    <w:p w14:paraId="40571B64" w14:textId="7CB9EA7C" w:rsidR="00EB6ADA" w:rsidRDefault="00000000" w:rsidP="004002F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napToGrid w:val="0"/>
          <w:kern w:val="0"/>
          <w:sz w:val="24"/>
        </w:rPr>
        <w:t>根据《福建省“十四五”海洋生态环境保护规划》，全省共划分</w:t>
      </w:r>
      <w:r>
        <w:rPr>
          <w:rFonts w:ascii="Times New Roman" w:eastAsia="宋体" w:hAnsi="Times New Roman" w:cs="Times New Roman" w:hint="eastAsia"/>
          <w:snapToGrid w:val="0"/>
          <w:kern w:val="0"/>
          <w:sz w:val="24"/>
        </w:rPr>
        <w:t>35</w:t>
      </w:r>
      <w:r>
        <w:rPr>
          <w:rFonts w:ascii="Times New Roman" w:eastAsia="宋体" w:hAnsi="Times New Roman" w:cs="Times New Roman" w:hint="eastAsia"/>
          <w:snapToGrid w:val="0"/>
          <w:kern w:val="0"/>
          <w:sz w:val="24"/>
        </w:rPr>
        <w:t>个美丽海湾（湾区）</w:t>
      </w:r>
      <w:r>
        <w:rPr>
          <w:rFonts w:ascii="Times New Roman" w:eastAsia="宋体" w:hAnsi="Times New Roman" w:cs="Times New Roman" w:hint="eastAsia"/>
          <w:snapToGrid w:val="0"/>
          <w:kern w:val="0"/>
          <w:sz w:val="24"/>
        </w:rPr>
        <w:lastRenderedPageBreak/>
        <w:t>管控单元。本项目所在海域位于“围头湾湾区”管控单元。“围头湾湾区”包含围头湾、安海湾、石井港。“围头湾”的重点任务为海漂垃圾视频监控系统建设，在围头湾海域重点岸段建设高清视频监控系统，实时掌握海漂垃圾动态，打击违法违规向海域偷倒倾倒垃圾行为。本项目作为石井航道二期工程的配套项目，后续实施内容为转运坑的地形恢复，作业区域离岸约</w:t>
      </w:r>
      <w:r>
        <w:rPr>
          <w:rFonts w:ascii="Times New Roman" w:eastAsia="宋体" w:hAnsi="Times New Roman" w:cs="Times New Roman" w:hint="eastAsia"/>
          <w:snapToGrid w:val="0"/>
          <w:kern w:val="0"/>
          <w:sz w:val="24"/>
        </w:rPr>
        <w:t>0.4km</w:t>
      </w:r>
      <w:r>
        <w:rPr>
          <w:rFonts w:ascii="Times New Roman" w:eastAsia="宋体" w:hAnsi="Times New Roman" w:cs="Times New Roman" w:hint="eastAsia"/>
          <w:snapToGrid w:val="0"/>
          <w:kern w:val="0"/>
          <w:sz w:val="24"/>
        </w:rPr>
        <w:t>，不影响重点岸段生态监控系统建设，符合《福建省“十四五”海洋生态环境保护规划》的管理要求</w:t>
      </w:r>
      <w:r>
        <w:rPr>
          <w:rFonts w:ascii="Times New Roman" w:eastAsia="宋体" w:hAnsi="Times New Roman" w:cs="Times New Roman"/>
          <w:snapToGrid w:val="0"/>
          <w:kern w:val="0"/>
          <w:sz w:val="24"/>
        </w:rPr>
        <w:t>。</w:t>
      </w:r>
    </w:p>
    <w:p w14:paraId="68C29415" w14:textId="77777777" w:rsidR="00EB6ADA" w:rsidRDefault="00EB6ADA">
      <w:pPr>
        <w:spacing w:line="360" w:lineRule="auto"/>
        <w:ind w:firstLineChars="200" w:firstLine="480"/>
        <w:jc w:val="left"/>
        <w:rPr>
          <w:rFonts w:ascii="Times New Roman" w:eastAsia="宋体" w:hAnsi="Times New Roman" w:cs="Times New Roman"/>
          <w:sz w:val="24"/>
          <w:szCs w:val="24"/>
        </w:rPr>
        <w:sectPr w:rsidR="00EB6ADA">
          <w:pgSz w:w="11906" w:h="16838"/>
          <w:pgMar w:top="1134" w:right="1134" w:bottom="1134" w:left="1134" w:header="851" w:footer="850" w:gutter="0"/>
          <w:cols w:space="425"/>
          <w:docGrid w:type="lines" w:linePitch="312"/>
        </w:sectPr>
      </w:pPr>
    </w:p>
    <w:p w14:paraId="0BB7D1C8" w14:textId="77777777" w:rsidR="00EB6ADA" w:rsidRDefault="00000000">
      <w:pPr>
        <w:pStyle w:val="1"/>
        <w:rPr>
          <w:rFonts w:cs="Times New Roman"/>
        </w:rPr>
      </w:pPr>
      <w:bookmarkStart w:id="34" w:name="_Toc224053298"/>
      <w:r>
        <w:rPr>
          <w:rFonts w:cs="Times New Roman" w:hint="eastAsia"/>
        </w:rPr>
        <w:lastRenderedPageBreak/>
        <w:t>6</w:t>
      </w:r>
      <w:r>
        <w:rPr>
          <w:rFonts w:cs="Times New Roman"/>
        </w:rPr>
        <w:t>项目用海合理性分析</w:t>
      </w:r>
      <w:bookmarkEnd w:id="34"/>
    </w:p>
    <w:p w14:paraId="25F7AB91" w14:textId="77777777" w:rsidR="00EB6ADA" w:rsidRDefault="00000000">
      <w:pPr>
        <w:pStyle w:val="2"/>
        <w:rPr>
          <w:rFonts w:cs="Times New Roman"/>
        </w:rPr>
      </w:pPr>
      <w:bookmarkStart w:id="35" w:name="_Toc224053299"/>
      <w:r>
        <w:rPr>
          <w:rFonts w:cs="Times New Roman" w:hint="eastAsia"/>
        </w:rPr>
        <w:t>6</w:t>
      </w:r>
      <w:r>
        <w:rPr>
          <w:rFonts w:cs="Times New Roman"/>
        </w:rPr>
        <w:t>.1</w:t>
      </w:r>
      <w:r>
        <w:rPr>
          <w:rFonts w:cs="Times New Roman"/>
        </w:rPr>
        <w:t>选址合理性分析</w:t>
      </w:r>
      <w:bookmarkEnd w:id="35"/>
    </w:p>
    <w:p w14:paraId="297D9F36"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月厦门蓝海绿洲科技有限公司编制的《泉州围头湾石井航道二期工程疏浚物综合处置配套项目海域使用论证报告书（报批稿）》</w:t>
      </w:r>
      <w:r>
        <w:rPr>
          <w:rFonts w:ascii="Times New Roman" w:eastAsia="宋体" w:hAnsi="Times New Roman" w:cs="Times New Roman" w:hint="eastAsia"/>
          <w:sz w:val="24"/>
          <w:szCs w:val="24"/>
        </w:rPr>
        <w:t>对项目的选址合理性分析如下：</w:t>
      </w:r>
      <w:r>
        <w:rPr>
          <w:rFonts w:ascii="Times New Roman" w:eastAsia="宋体" w:hAnsi="Times New Roman" w:cs="Times New Roman"/>
          <w:sz w:val="24"/>
          <w:szCs w:val="24"/>
        </w:rPr>
        <w:t>转运坑布置在菊江航道南侧，与围头湾石井二期航道疏浚一区运距约</w:t>
      </w:r>
      <w:r>
        <w:rPr>
          <w:rFonts w:ascii="Times New Roman" w:eastAsia="宋体" w:hAnsi="Times New Roman" w:cs="Times New Roman"/>
          <w:sz w:val="24"/>
          <w:szCs w:val="24"/>
        </w:rPr>
        <w:t>5.8km</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与</w:t>
      </w:r>
      <w:r>
        <w:rPr>
          <w:rFonts w:ascii="Times New Roman" w:eastAsia="宋体" w:hAnsi="Times New Roman" w:cs="Times New Roman"/>
          <w:sz w:val="24"/>
          <w:szCs w:val="24"/>
        </w:rPr>
        <w:t>疏浚二区运距约</w:t>
      </w:r>
      <w:r>
        <w:rPr>
          <w:rFonts w:ascii="Times New Roman" w:eastAsia="宋体" w:hAnsi="Times New Roman" w:cs="Times New Roman"/>
          <w:sz w:val="24"/>
          <w:szCs w:val="24"/>
        </w:rPr>
        <w:t>9.6km</w:t>
      </w:r>
      <w:r>
        <w:rPr>
          <w:rFonts w:ascii="Times New Roman" w:eastAsia="宋体" w:hAnsi="Times New Roman" w:cs="Times New Roman"/>
          <w:sz w:val="24"/>
          <w:szCs w:val="24"/>
        </w:rPr>
        <w:t>，</w:t>
      </w:r>
      <w:r>
        <w:rPr>
          <w:rFonts w:ascii="Times New Roman" w:eastAsia="宋体" w:hAnsi="Times New Roman" w:cs="Times New Roman" w:hint="eastAsia"/>
          <w:sz w:val="24"/>
          <w:szCs w:val="24"/>
        </w:rPr>
        <w:t>与</w:t>
      </w:r>
      <w:r>
        <w:rPr>
          <w:rFonts w:ascii="Times New Roman" w:eastAsia="宋体" w:hAnsi="Times New Roman" w:cs="Times New Roman"/>
          <w:sz w:val="24"/>
          <w:szCs w:val="24"/>
        </w:rPr>
        <w:t>疏浚三区运距约</w:t>
      </w:r>
      <w:r>
        <w:rPr>
          <w:rFonts w:ascii="Times New Roman" w:eastAsia="宋体" w:hAnsi="Times New Roman" w:cs="Times New Roman"/>
          <w:sz w:val="24"/>
          <w:szCs w:val="24"/>
        </w:rPr>
        <w:t>12.3km</w:t>
      </w:r>
      <w:r>
        <w:rPr>
          <w:rFonts w:ascii="Times New Roman" w:eastAsia="宋体" w:hAnsi="Times New Roman" w:cs="Times New Roman"/>
          <w:sz w:val="24"/>
          <w:szCs w:val="24"/>
        </w:rPr>
        <w:t>，施工船舶可由石井</w:t>
      </w:r>
      <w:r>
        <w:rPr>
          <w:rFonts w:ascii="Times New Roman" w:eastAsia="宋体" w:hAnsi="Times New Roman" w:cs="Times New Roman"/>
          <w:sz w:val="24"/>
          <w:szCs w:val="24"/>
        </w:rPr>
        <w:t>5000</w:t>
      </w:r>
      <w:r>
        <w:rPr>
          <w:rFonts w:ascii="Times New Roman" w:eastAsia="宋体" w:hAnsi="Times New Roman" w:cs="Times New Roman"/>
          <w:sz w:val="24"/>
          <w:szCs w:val="24"/>
        </w:rPr>
        <w:t>吨级通海航道及菊江航道进入转运坑。根据</w:t>
      </w:r>
      <w:r>
        <w:rPr>
          <w:rFonts w:ascii="Times New Roman" w:eastAsia="宋体" w:hAnsi="Times New Roman" w:cs="Times New Roman"/>
          <w:sz w:val="24"/>
          <w:szCs w:val="24"/>
        </w:rPr>
        <w:t>2019</w:t>
      </w:r>
      <w:r>
        <w:rPr>
          <w:rFonts w:ascii="Times New Roman" w:eastAsia="宋体" w:hAnsi="Times New Roman" w:cs="Times New Roman"/>
          <w:sz w:val="24"/>
          <w:szCs w:val="24"/>
        </w:rPr>
        <w:t>年水深测量结果，转运坑原</w:t>
      </w:r>
      <w:r>
        <w:rPr>
          <w:rFonts w:ascii="Times New Roman" w:eastAsia="宋体" w:hAnsi="Times New Roman" w:cs="Times New Roman" w:hint="eastAsia"/>
          <w:sz w:val="24"/>
          <w:szCs w:val="24"/>
        </w:rPr>
        <w:t>泥面</w:t>
      </w:r>
      <w:r>
        <w:rPr>
          <w:rFonts w:ascii="Times New Roman" w:eastAsia="宋体" w:hAnsi="Times New Roman" w:cs="Times New Roman"/>
          <w:sz w:val="24"/>
          <w:szCs w:val="24"/>
        </w:rPr>
        <w:t>高程约</w:t>
      </w:r>
      <w:r>
        <w:rPr>
          <w:rFonts w:ascii="Times New Roman" w:eastAsia="宋体" w:hAnsi="Times New Roman" w:cs="Times New Roman"/>
          <w:sz w:val="24"/>
          <w:szCs w:val="24"/>
        </w:rPr>
        <w:t>-</w:t>
      </w:r>
      <w:r>
        <w:rPr>
          <w:rFonts w:ascii="Times New Roman" w:eastAsia="宋体" w:hAnsi="Times New Roman" w:cs="Times New Roman" w:hint="eastAsia"/>
          <w:sz w:val="24"/>
          <w:szCs w:val="24"/>
        </w:rPr>
        <w:t>0</w:t>
      </w:r>
      <w:r>
        <w:rPr>
          <w:rFonts w:ascii="Times New Roman" w:eastAsia="宋体" w:hAnsi="Times New Roman" w:cs="Times New Roman"/>
          <w:sz w:val="24"/>
          <w:szCs w:val="24"/>
        </w:rPr>
        <w:t>.5m</w:t>
      </w:r>
      <w:r>
        <w:rPr>
          <w:rFonts w:ascii="Times New Roman" w:eastAsia="宋体" w:hAnsi="Times New Roman" w:cs="Times New Roman"/>
          <w:sz w:val="24"/>
          <w:szCs w:val="24"/>
        </w:rPr>
        <w:t>，周边海域水深地形变化平缓，适合后续抛泥及绞吸吹填作业。工程实施几乎不会对周边流态和动力条件造成变化。项目建设与周边的开发利用是可协调的。总体而言，转运坑选址合理。</w:t>
      </w:r>
    </w:p>
    <w:p w14:paraId="5351A3AC" w14:textId="69E15595"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航道二期工程疏浚物综合处置配套项目于</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月取得用海权证，结合航道二期工程施工进程，已完成疏浚物中转服务。根据</w:t>
      </w:r>
      <w:r>
        <w:rPr>
          <w:rFonts w:ascii="Times New Roman" w:eastAsia="宋体" w:hAnsi="Times New Roman" w:cs="Times New Roman"/>
          <w:sz w:val="24"/>
          <w:szCs w:val="24"/>
        </w:rPr>
        <w:t>2026</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月测深资料，目前转运坑</w:t>
      </w:r>
      <w:r>
        <w:rPr>
          <w:rFonts w:ascii="Times New Roman" w:eastAsia="宋体" w:hAnsi="Times New Roman" w:cs="Times New Roman" w:hint="eastAsia"/>
          <w:sz w:val="24"/>
          <w:szCs w:val="24"/>
        </w:rPr>
        <w:t>泥面标高约</w:t>
      </w:r>
      <w:r>
        <w:rPr>
          <w:rFonts w:ascii="Times New Roman" w:eastAsia="宋体" w:hAnsi="Times New Roman" w:cs="Times New Roman"/>
          <w:sz w:val="24"/>
          <w:szCs w:val="24"/>
        </w:rPr>
        <w:t>-6.0m</w:t>
      </w:r>
      <w:r>
        <w:rPr>
          <w:rFonts w:ascii="Times New Roman" w:eastAsia="宋体" w:hAnsi="Times New Roman" w:cs="Times New Roman"/>
          <w:sz w:val="24"/>
          <w:szCs w:val="24"/>
        </w:rPr>
        <w:t>，本次申请用海旨在利用航道后续施工的疏浚物恢复转运坑地形，用海选址具有唯一性。</w:t>
      </w:r>
    </w:p>
    <w:p w14:paraId="7E00DB24" w14:textId="77777777" w:rsidR="00EB6ADA" w:rsidRDefault="00000000">
      <w:pPr>
        <w:pStyle w:val="2"/>
        <w:rPr>
          <w:rFonts w:cs="Times New Roman"/>
        </w:rPr>
      </w:pPr>
      <w:bookmarkStart w:id="36" w:name="_Toc224053300"/>
      <w:r>
        <w:rPr>
          <w:rFonts w:cs="Times New Roman" w:hint="eastAsia"/>
        </w:rPr>
        <w:t>6</w:t>
      </w:r>
      <w:r>
        <w:rPr>
          <w:rFonts w:cs="Times New Roman"/>
        </w:rPr>
        <w:t>.2</w:t>
      </w:r>
      <w:r>
        <w:rPr>
          <w:rFonts w:cs="Times New Roman"/>
        </w:rPr>
        <w:t>用海平面布置合理性分析</w:t>
      </w:r>
      <w:bookmarkEnd w:id="36"/>
    </w:p>
    <w:p w14:paraId="01E3F63C" w14:textId="7777777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转运坑的尺度为</w:t>
      </w:r>
      <w:r>
        <w:rPr>
          <w:rFonts w:ascii="Times New Roman" w:eastAsia="宋体" w:hAnsi="Times New Roman" w:cs="Times New Roman"/>
          <w:sz w:val="24"/>
          <w:szCs w:val="24"/>
        </w:rPr>
        <w:t>650m×260m</w:t>
      </w:r>
      <w:r>
        <w:rPr>
          <w:rFonts w:ascii="Times New Roman" w:eastAsia="宋体" w:hAnsi="Times New Roman" w:cs="Times New Roman"/>
          <w:sz w:val="24"/>
          <w:szCs w:val="24"/>
        </w:rPr>
        <w:t>，根据厦门蓝海绿洲科技有限公司</w:t>
      </w:r>
      <w:r>
        <w:rPr>
          <w:rFonts w:ascii="Times New Roman" w:eastAsia="宋体" w:hAnsi="Times New Roman" w:cs="Times New Roman"/>
          <w:sz w:val="24"/>
          <w:szCs w:val="24"/>
        </w:rPr>
        <w:t>2019</w:t>
      </w:r>
      <w:r>
        <w:rPr>
          <w:rFonts w:ascii="Times New Roman" w:eastAsia="宋体" w:hAnsi="Times New Roman" w:cs="Times New Roman"/>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月编制的《泉州围头湾石井航道二期工程疏浚物综合处置配套项目海域使用论证报告书》，转运坑平面布置能满足施工船舶进出、抛泥的需求。</w:t>
      </w:r>
    </w:p>
    <w:p w14:paraId="2169FC8B" w14:textId="77827C17"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目前，转运坑已完成其疏浚物中转功能，后续将利用航道疏浚物恢复其地形。</w:t>
      </w:r>
      <w:r>
        <w:rPr>
          <w:rFonts w:ascii="Times New Roman" w:eastAsia="宋体" w:hAnsi="Times New Roman" w:cs="Times New Roman" w:hint="eastAsia"/>
          <w:sz w:val="24"/>
          <w:szCs w:val="24"/>
        </w:rPr>
        <w:t>根据《转运坑纳泥量和航道二期主航道剩余疏浚量匹配说明》，结合转运坑现有水深、平面尺寸测算，转运坑尚有</w:t>
      </w:r>
      <w:r>
        <w:rPr>
          <w:rFonts w:ascii="Times New Roman" w:eastAsia="宋体" w:hAnsi="Times New Roman" w:cs="Times New Roman"/>
          <w:sz w:val="24"/>
          <w:szCs w:val="24"/>
        </w:rPr>
        <w:t>91.3</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m³</w:t>
      </w:r>
      <w:r>
        <w:rPr>
          <w:rFonts w:ascii="Times New Roman" w:eastAsia="宋体" w:hAnsi="Times New Roman" w:cs="Times New Roman" w:hint="eastAsia"/>
          <w:sz w:val="24"/>
          <w:szCs w:val="24"/>
        </w:rPr>
        <w:t>的纳泥空间</w:t>
      </w:r>
      <w:r>
        <w:rPr>
          <w:rFonts w:ascii="Times New Roman" w:eastAsia="宋体" w:hAnsi="Times New Roman" w:cs="Times New Roman"/>
          <w:sz w:val="24"/>
          <w:szCs w:val="24"/>
        </w:rPr>
        <w:t>，</w:t>
      </w:r>
      <w:r>
        <w:rPr>
          <w:rFonts w:ascii="Times New Roman" w:eastAsia="宋体" w:hAnsi="Times New Roman" w:cs="Times New Roman" w:hint="eastAsia"/>
          <w:sz w:val="24"/>
          <w:szCs w:val="24"/>
        </w:rPr>
        <w:t>能够</w:t>
      </w:r>
      <w:r>
        <w:rPr>
          <w:rFonts w:ascii="Times New Roman" w:eastAsia="宋体" w:hAnsi="Times New Roman" w:cs="Times New Roman"/>
          <w:sz w:val="24"/>
          <w:szCs w:val="24"/>
        </w:rPr>
        <w:t>接纳</w:t>
      </w:r>
      <w:r>
        <w:rPr>
          <w:rFonts w:ascii="Times New Roman" w:eastAsia="宋体" w:hAnsi="Times New Roman" w:cs="Times New Roman" w:hint="eastAsia"/>
          <w:sz w:val="24"/>
          <w:szCs w:val="24"/>
        </w:rPr>
        <w:t>航道后续施工共</w:t>
      </w:r>
      <w:r>
        <w:rPr>
          <w:rFonts w:ascii="Times New Roman" w:eastAsia="宋体" w:hAnsi="Times New Roman" w:cs="Times New Roman"/>
          <w:sz w:val="24"/>
          <w:szCs w:val="24"/>
        </w:rPr>
        <w:t>30.9</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的剩余疏浚物（考虑松散膨胀系数后所需容积量</w:t>
      </w:r>
      <w:r>
        <w:rPr>
          <w:rFonts w:ascii="Times New Roman" w:eastAsia="宋体" w:hAnsi="Times New Roman" w:cs="Times New Roman"/>
          <w:sz w:val="24"/>
          <w:szCs w:val="24"/>
        </w:rPr>
        <w:t>34</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）。本次用海申请旨在恢复转运坑地形，用海平面布置合理。</w:t>
      </w:r>
    </w:p>
    <w:p w14:paraId="7A0A226F" w14:textId="77777777" w:rsidR="00EB6ADA" w:rsidRDefault="00000000">
      <w:pPr>
        <w:pStyle w:val="2"/>
        <w:rPr>
          <w:rFonts w:cs="Times New Roman"/>
        </w:rPr>
      </w:pPr>
      <w:bookmarkStart w:id="37" w:name="_Toc224053301"/>
      <w:r>
        <w:rPr>
          <w:rFonts w:cs="Times New Roman" w:hint="eastAsia"/>
        </w:rPr>
        <w:t>6</w:t>
      </w:r>
      <w:r>
        <w:rPr>
          <w:rFonts w:cs="Times New Roman"/>
        </w:rPr>
        <w:t>.3</w:t>
      </w:r>
      <w:r>
        <w:rPr>
          <w:rFonts w:cs="Times New Roman"/>
        </w:rPr>
        <w:t>用海方式合理性分析</w:t>
      </w:r>
      <w:bookmarkEnd w:id="37"/>
    </w:p>
    <w:p w14:paraId="71D7E72B" w14:textId="0E201614"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作为泉州围头湾石井航道二期工程疏浚物综合处置配套项目，转运坑在疏浚物抛掷前，先进行挖深，以满足施工船舶吃水需要。围头湾石井航道二期工程疏浚物抛至转运坑后，再经转运坑吹填至海峡科技生态城</w:t>
      </w:r>
      <w:r>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片区进行填海造地。目前，石井航道二期工程已完成约</w:t>
      </w:r>
      <w:r>
        <w:rPr>
          <w:rFonts w:ascii="Times New Roman" w:eastAsia="宋体" w:hAnsi="Times New Roman" w:cs="Times New Roman" w:hint="eastAsia"/>
          <w:sz w:val="24"/>
          <w:szCs w:val="24"/>
        </w:rPr>
        <w:t>95%</w:t>
      </w:r>
      <w:r>
        <w:rPr>
          <w:rFonts w:ascii="Times New Roman" w:eastAsia="宋体" w:hAnsi="Times New Roman" w:cs="Times New Roman" w:hint="eastAsia"/>
          <w:sz w:val="24"/>
          <w:szCs w:val="24"/>
        </w:rPr>
        <w:t>的主航道疏浚工作，由转运坑吹填上岸的物料约</w:t>
      </w:r>
      <w:r>
        <w:rPr>
          <w:rFonts w:ascii="Times New Roman" w:eastAsia="宋体" w:hAnsi="Times New Roman" w:cs="Times New Roman" w:hint="eastAsia"/>
          <w:sz w:val="24"/>
          <w:szCs w:val="24"/>
        </w:rPr>
        <w:t>516</w:t>
      </w:r>
      <w:r>
        <w:rPr>
          <w:rFonts w:ascii="Times New Roman" w:eastAsia="宋体" w:hAnsi="Times New Roman" w:cs="Times New Roman" w:hint="eastAsia"/>
          <w:sz w:val="24"/>
          <w:szCs w:val="24"/>
        </w:rPr>
        <w:t>万</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³。本次申请用海拟将</w:t>
      </w:r>
      <w:r>
        <w:rPr>
          <w:rFonts w:ascii="Times New Roman" w:eastAsia="宋体" w:hAnsi="Times New Roman" w:cs="Times New Roman" w:hint="eastAsia"/>
          <w:sz w:val="24"/>
          <w:szCs w:val="24"/>
        </w:rPr>
        <w:t>30.9</w:t>
      </w:r>
      <w:r>
        <w:rPr>
          <w:rFonts w:ascii="Times New Roman" w:eastAsia="宋体" w:hAnsi="Times New Roman" w:cs="Times New Roman" w:hint="eastAsia"/>
          <w:sz w:val="24"/>
          <w:szCs w:val="24"/>
        </w:rPr>
        <w:t>万</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³的航道疏浚物运送至转运坑，以恢复其地形，不再吹填上岸。至此，转运坑的使用性质已从“疏浚物中转”转变为“利用疏浚物恢复原有地形”。</w:t>
      </w:r>
    </w:p>
    <w:p w14:paraId="02CC5DBA" w14:textId="7FFBC20C"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《海域使用分类》未对此类用海做出明确规定。类比《海域使用分类》相关用海方式，</w:t>
      </w:r>
      <w:r>
        <w:rPr>
          <w:rFonts w:ascii="Times New Roman" w:eastAsia="宋体" w:hAnsi="Times New Roman" w:cs="Times New Roman" w:hint="eastAsia"/>
          <w:sz w:val="24"/>
          <w:szCs w:val="24"/>
        </w:rPr>
        <w:lastRenderedPageBreak/>
        <w:t>开放式用海指“不进行填海造地、围海或设置构筑物，直接利用海域进行开发活动的用海方式”。本次申请用海活动拟利用航道疏浚物恢复转运坑地形，不涉及填海造地、围海或设置构筑物，参照《海域使用分类》，用海类型为“其他用海”，用海方式界定为“开放式”中的“专用航道、锚地及其他开放式”。用海方式界定合理。</w:t>
      </w:r>
    </w:p>
    <w:p w14:paraId="748E0C1A" w14:textId="77777777" w:rsidR="00EB6ADA" w:rsidRDefault="00000000">
      <w:pPr>
        <w:pStyle w:val="2"/>
        <w:rPr>
          <w:rFonts w:cs="Times New Roman"/>
        </w:rPr>
      </w:pPr>
      <w:bookmarkStart w:id="38" w:name="_Toc224053302"/>
      <w:r>
        <w:rPr>
          <w:rFonts w:cs="Times New Roman" w:hint="eastAsia"/>
        </w:rPr>
        <w:t>6</w:t>
      </w:r>
      <w:r>
        <w:rPr>
          <w:rFonts w:cs="Times New Roman"/>
        </w:rPr>
        <w:t>.4</w:t>
      </w:r>
      <w:r>
        <w:rPr>
          <w:rFonts w:cs="Times New Roman"/>
        </w:rPr>
        <w:t>用海面积合理性分析</w:t>
      </w:r>
      <w:bookmarkEnd w:id="38"/>
    </w:p>
    <w:p w14:paraId="08732720" w14:textId="77777777" w:rsidR="00EB6ADA"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w:t>
      </w:r>
      <w:r>
        <w:rPr>
          <w:rFonts w:ascii="Times New Roman" w:eastAsia="宋体" w:hAnsi="Times New Roman" w:cs="Times New Roman"/>
          <w:b/>
          <w:bCs/>
          <w:sz w:val="24"/>
          <w:szCs w:val="24"/>
        </w:rPr>
        <w:t>1</w:t>
      </w:r>
      <w:r>
        <w:rPr>
          <w:rFonts w:ascii="Times New Roman" w:eastAsia="宋体" w:hAnsi="Times New Roman" w:cs="Times New Roman"/>
          <w:b/>
          <w:bCs/>
          <w:sz w:val="24"/>
          <w:szCs w:val="24"/>
        </w:rPr>
        <w:t>）项目用海需求</w:t>
      </w:r>
    </w:p>
    <w:p w14:paraId="44B0BCD5" w14:textId="13425894"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截止</w:t>
      </w:r>
      <w:r w:rsidR="004002F0">
        <w:rPr>
          <w:rFonts w:ascii="Times New Roman" w:eastAsia="宋体" w:hAnsi="Times New Roman" w:cs="Times New Roman" w:hint="eastAsia"/>
          <w:sz w:val="24"/>
          <w:szCs w:val="24"/>
        </w:rPr>
        <w:t>到</w:t>
      </w:r>
      <w:r>
        <w:rPr>
          <w:rFonts w:ascii="Times New Roman" w:eastAsia="宋体" w:hAnsi="Times New Roman" w:cs="Times New Roman"/>
          <w:sz w:val="24"/>
          <w:szCs w:val="24"/>
        </w:rPr>
        <w:t>2025</w:t>
      </w:r>
      <w:r>
        <w:rPr>
          <w:rFonts w:ascii="Times New Roman" w:eastAsia="宋体" w:hAnsi="Times New Roman" w:cs="Times New Roman"/>
          <w:sz w:val="24"/>
          <w:szCs w:val="24"/>
        </w:rPr>
        <w:t>年</w:t>
      </w:r>
      <w:r>
        <w:rPr>
          <w:rFonts w:ascii="Times New Roman" w:eastAsia="宋体" w:hAnsi="Times New Roman" w:cs="Times New Roman"/>
          <w:sz w:val="24"/>
          <w:szCs w:val="24"/>
        </w:rPr>
        <w:t>10</w:t>
      </w:r>
      <w:r>
        <w:rPr>
          <w:rFonts w:ascii="Times New Roman" w:eastAsia="宋体" w:hAnsi="Times New Roman" w:cs="Times New Roman"/>
          <w:sz w:val="24"/>
          <w:szCs w:val="24"/>
        </w:rPr>
        <w:t>月</w:t>
      </w:r>
      <w:r>
        <w:rPr>
          <w:rFonts w:ascii="Times New Roman" w:eastAsia="宋体" w:hAnsi="Times New Roman" w:cs="Times New Roman"/>
          <w:sz w:val="24"/>
          <w:szCs w:val="24"/>
        </w:rPr>
        <w:t>14</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，石井航道二期工程</w:t>
      </w:r>
      <w:r>
        <w:rPr>
          <w:rFonts w:ascii="Times New Roman" w:eastAsia="宋体" w:hAnsi="Times New Roman" w:cs="Times New Roman"/>
          <w:sz w:val="24"/>
          <w:szCs w:val="24"/>
        </w:rPr>
        <w:t>共完成疏浚</w:t>
      </w:r>
      <w:r>
        <w:rPr>
          <w:rFonts w:ascii="Times New Roman" w:eastAsia="宋体" w:hAnsi="Times New Roman" w:cs="Times New Roman"/>
          <w:sz w:val="24"/>
          <w:szCs w:val="24"/>
        </w:rPr>
        <w:t>56</w:t>
      </w:r>
      <w:r>
        <w:rPr>
          <w:rFonts w:ascii="Times New Roman" w:eastAsia="宋体" w:hAnsi="Times New Roman" w:cs="Times New Roman" w:hint="eastAsia"/>
          <w:sz w:val="24"/>
          <w:szCs w:val="24"/>
        </w:rPr>
        <w:t>5.0</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hint="eastAsia"/>
          <w:sz w:val="24"/>
          <w:szCs w:val="24"/>
        </w:rPr>
        <w:t>，</w:t>
      </w:r>
      <w:r>
        <w:rPr>
          <w:rFonts w:ascii="Times New Roman" w:eastAsia="宋体" w:hAnsi="Times New Roman" w:cs="Times New Roman"/>
          <w:sz w:val="24"/>
          <w:szCs w:val="24"/>
        </w:rPr>
        <w:t>疏浚物均运送至本项目的转运坑，其中</w:t>
      </w:r>
      <w:r>
        <w:rPr>
          <w:rFonts w:ascii="Times New Roman" w:eastAsia="宋体" w:hAnsi="Times New Roman" w:cs="Times New Roman"/>
          <w:sz w:val="24"/>
          <w:szCs w:val="24"/>
        </w:rPr>
        <w:t>527.95</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由转运坑吹填至南安市海峡科技生态城</w:t>
      </w:r>
      <w:r>
        <w:rPr>
          <w:rFonts w:ascii="Times New Roman" w:eastAsia="宋体" w:hAnsi="Times New Roman" w:cs="Times New Roman"/>
          <w:sz w:val="24"/>
          <w:szCs w:val="24"/>
        </w:rPr>
        <w:t>A6</w:t>
      </w:r>
      <w:r>
        <w:rPr>
          <w:rFonts w:ascii="Times New Roman" w:eastAsia="宋体" w:hAnsi="Times New Roman" w:cs="Times New Roman"/>
          <w:sz w:val="24"/>
          <w:szCs w:val="24"/>
        </w:rPr>
        <w:t>、</w:t>
      </w:r>
      <w:r>
        <w:rPr>
          <w:rFonts w:ascii="Times New Roman" w:eastAsia="宋体" w:hAnsi="Times New Roman" w:cs="Times New Roman"/>
          <w:sz w:val="24"/>
          <w:szCs w:val="24"/>
        </w:rPr>
        <w:t>A7</w:t>
      </w:r>
      <w:r>
        <w:rPr>
          <w:rFonts w:ascii="Times New Roman" w:eastAsia="宋体" w:hAnsi="Times New Roman" w:cs="Times New Roman"/>
          <w:sz w:val="24"/>
          <w:szCs w:val="24"/>
        </w:rPr>
        <w:t>片区综合利用，</w:t>
      </w:r>
      <w:r>
        <w:rPr>
          <w:rFonts w:ascii="Times New Roman" w:eastAsia="宋体" w:hAnsi="Times New Roman" w:cs="Times New Roman"/>
          <w:sz w:val="24"/>
          <w:szCs w:val="24"/>
        </w:rPr>
        <w:t>3</w:t>
      </w:r>
      <w:r>
        <w:rPr>
          <w:rFonts w:ascii="Times New Roman" w:eastAsia="宋体" w:hAnsi="Times New Roman" w:cs="Times New Roman" w:hint="eastAsia"/>
          <w:sz w:val="24"/>
          <w:szCs w:val="24"/>
        </w:rPr>
        <w:t>7.0</w:t>
      </w:r>
      <w:r>
        <w:rPr>
          <w:rFonts w:ascii="Times New Roman" w:eastAsia="宋体" w:hAnsi="Times New Roman" w:cs="Times New Roman"/>
          <w:sz w:val="24"/>
          <w:szCs w:val="24"/>
        </w:rPr>
        <w:t>5</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堆存于转运坑内，作为恢复转运坑地形的物料。</w:t>
      </w:r>
      <w:r>
        <w:rPr>
          <w:rFonts w:ascii="Times New Roman" w:eastAsia="宋体" w:hAnsi="Times New Roman" w:cs="Times New Roman" w:hint="eastAsia"/>
          <w:sz w:val="24"/>
          <w:szCs w:val="24"/>
        </w:rPr>
        <w:t>根据中交水利水电建设有限公司《转运坑纳泥量和航道二期主航道剩余疏浚量匹配说明》，转运坑尚有</w:t>
      </w:r>
      <w:r>
        <w:rPr>
          <w:rFonts w:ascii="Times New Roman" w:eastAsia="宋体" w:hAnsi="Times New Roman" w:cs="Times New Roman"/>
          <w:sz w:val="24"/>
          <w:szCs w:val="24"/>
        </w:rPr>
        <w:t>91.3</w:t>
      </w:r>
      <w:r>
        <w:rPr>
          <w:rFonts w:ascii="Times New Roman" w:eastAsia="宋体" w:hAnsi="Times New Roman" w:cs="Times New Roman" w:hint="eastAsia"/>
          <w:sz w:val="24"/>
          <w:szCs w:val="24"/>
        </w:rPr>
        <w:t>万</w:t>
      </w:r>
      <w:r>
        <w:rPr>
          <w:rFonts w:ascii="Times New Roman" w:eastAsia="宋体" w:hAnsi="Times New Roman" w:cs="Times New Roman"/>
          <w:sz w:val="24"/>
          <w:szCs w:val="24"/>
        </w:rPr>
        <w:t>m³</w:t>
      </w:r>
      <w:r>
        <w:rPr>
          <w:rFonts w:ascii="Times New Roman" w:eastAsia="宋体" w:hAnsi="Times New Roman" w:cs="Times New Roman" w:hint="eastAsia"/>
          <w:sz w:val="24"/>
          <w:szCs w:val="24"/>
        </w:rPr>
        <w:t>的纳泥空间，能够</w:t>
      </w:r>
      <w:r>
        <w:rPr>
          <w:rFonts w:ascii="Times New Roman" w:eastAsia="宋体" w:hAnsi="Times New Roman" w:cs="Times New Roman"/>
          <w:sz w:val="24"/>
          <w:szCs w:val="24"/>
        </w:rPr>
        <w:t>接纳</w:t>
      </w:r>
      <w:r>
        <w:rPr>
          <w:rFonts w:ascii="Times New Roman" w:eastAsia="宋体" w:hAnsi="Times New Roman" w:cs="Times New Roman" w:hint="eastAsia"/>
          <w:sz w:val="24"/>
          <w:szCs w:val="24"/>
        </w:rPr>
        <w:t>航道后续施工共</w:t>
      </w:r>
      <w:r>
        <w:rPr>
          <w:rFonts w:ascii="Times New Roman" w:eastAsia="宋体" w:hAnsi="Times New Roman" w:cs="Times New Roman" w:hint="eastAsia"/>
          <w:sz w:val="24"/>
          <w:szCs w:val="24"/>
        </w:rPr>
        <w:t>30.9</w:t>
      </w:r>
      <w:r>
        <w:rPr>
          <w:rFonts w:ascii="Times New Roman" w:eastAsia="宋体" w:hAnsi="Times New Roman" w:cs="Times New Roman" w:hint="eastAsia"/>
          <w:sz w:val="24"/>
          <w:szCs w:val="24"/>
        </w:rPr>
        <w:t>万</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³的</w:t>
      </w:r>
      <w:r>
        <w:rPr>
          <w:rFonts w:ascii="Times New Roman" w:eastAsia="宋体" w:hAnsi="Times New Roman" w:cs="Times New Roman"/>
          <w:sz w:val="24"/>
          <w:szCs w:val="24"/>
        </w:rPr>
        <w:t>剩余疏浚物（考虑松散膨胀系数后所需容积量</w:t>
      </w:r>
      <w:r>
        <w:rPr>
          <w:rFonts w:ascii="Times New Roman" w:eastAsia="宋体" w:hAnsi="Times New Roman" w:cs="Times New Roman"/>
          <w:sz w:val="24"/>
          <w:szCs w:val="24"/>
        </w:rPr>
        <w:t>34</w:t>
      </w:r>
      <w:r>
        <w:rPr>
          <w:rFonts w:ascii="Times New Roman" w:eastAsia="宋体" w:hAnsi="Times New Roman" w:cs="Times New Roman"/>
          <w:sz w:val="24"/>
          <w:szCs w:val="24"/>
        </w:rPr>
        <w:t>万</w:t>
      </w:r>
      <w:r>
        <w:rPr>
          <w:rFonts w:ascii="Times New Roman" w:eastAsia="宋体" w:hAnsi="Times New Roman" w:cs="Times New Roman"/>
          <w:sz w:val="24"/>
          <w:szCs w:val="24"/>
        </w:rPr>
        <w:t>m³</w:t>
      </w:r>
      <w:r>
        <w:rPr>
          <w:rFonts w:ascii="Times New Roman" w:eastAsia="宋体" w:hAnsi="Times New Roman" w:cs="Times New Roman"/>
          <w:sz w:val="24"/>
          <w:szCs w:val="24"/>
        </w:rPr>
        <w:t>），疏浚物将用于恢复转运坑地形，不再吹填至后方陆域。因此，本次仅进行转运坑的地形恢复，申请用海为原转运坑范围，不再申请连接通道和吹泥管道用海。</w:t>
      </w:r>
    </w:p>
    <w:p w14:paraId="4B4918C9" w14:textId="77777777" w:rsidR="00EB6ADA"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w:t>
      </w:r>
      <w:r>
        <w:rPr>
          <w:rFonts w:ascii="Times New Roman" w:eastAsia="宋体" w:hAnsi="Times New Roman" w:cs="Times New Roman"/>
          <w:b/>
          <w:bCs/>
          <w:sz w:val="24"/>
          <w:szCs w:val="24"/>
        </w:rPr>
        <w:t>2</w:t>
      </w:r>
      <w:r>
        <w:rPr>
          <w:rFonts w:ascii="Times New Roman" w:eastAsia="宋体" w:hAnsi="Times New Roman" w:cs="Times New Roman"/>
          <w:b/>
          <w:bCs/>
          <w:sz w:val="24"/>
          <w:szCs w:val="24"/>
        </w:rPr>
        <w:t>）用海范围界定及面积量算</w:t>
      </w:r>
    </w:p>
    <w:p w14:paraId="4E48B5F4" w14:textId="7FCF2589"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转运坑用海方式为“开放式”之“专用航道、锚地及其他开放式”，根据《海籍调查规范》（</w:t>
      </w:r>
      <w:r>
        <w:rPr>
          <w:rFonts w:ascii="Times New Roman" w:eastAsia="宋体" w:hAnsi="Times New Roman" w:cs="Times New Roman" w:hint="eastAsia"/>
          <w:sz w:val="24"/>
          <w:szCs w:val="24"/>
        </w:rPr>
        <w:t>HY/T124-2009</w:t>
      </w:r>
      <w:r>
        <w:rPr>
          <w:rFonts w:ascii="Times New Roman" w:eastAsia="宋体" w:hAnsi="Times New Roman" w:cs="Times New Roman" w:hint="eastAsia"/>
          <w:sz w:val="24"/>
          <w:szCs w:val="24"/>
        </w:rPr>
        <w:t>），其用海范围“以实际设计或使用的范围为界”。根据工程实际用海需求，本次申请用海仅包括转运坑用海。结合转运坑设计断面示意图，转运坑长</w:t>
      </w:r>
      <w:r>
        <w:rPr>
          <w:rFonts w:ascii="Times New Roman" w:eastAsia="宋体" w:hAnsi="Times New Roman" w:cs="Times New Roman" w:hint="eastAsia"/>
          <w:sz w:val="24"/>
          <w:szCs w:val="24"/>
        </w:rPr>
        <w:t>650m</w:t>
      </w:r>
      <w:r>
        <w:rPr>
          <w:rFonts w:ascii="Times New Roman" w:eastAsia="宋体" w:hAnsi="Times New Roman" w:cs="Times New Roman" w:hint="eastAsia"/>
          <w:sz w:val="24"/>
          <w:szCs w:val="24"/>
        </w:rPr>
        <w:t>（以边坡坡脚计，下同），宽</w:t>
      </w:r>
      <w:r>
        <w:rPr>
          <w:rFonts w:ascii="Times New Roman" w:eastAsia="宋体" w:hAnsi="Times New Roman" w:cs="Times New Roman" w:hint="eastAsia"/>
          <w:sz w:val="24"/>
          <w:szCs w:val="24"/>
        </w:rPr>
        <w:t>260m</w:t>
      </w:r>
      <w:r>
        <w:rPr>
          <w:rFonts w:ascii="Times New Roman" w:eastAsia="宋体" w:hAnsi="Times New Roman" w:cs="Times New Roman" w:hint="eastAsia"/>
          <w:sz w:val="24"/>
          <w:szCs w:val="24"/>
        </w:rPr>
        <w:t>，边坡</w:t>
      </w:r>
      <w:r>
        <w:rPr>
          <w:rFonts w:ascii="Times New Roman" w:eastAsia="宋体" w:hAnsi="Times New Roman" w:cs="Times New Roman" w:hint="eastAsia"/>
          <w:sz w:val="24"/>
          <w:szCs w:val="24"/>
        </w:rPr>
        <w:t>1:3</w:t>
      </w:r>
      <w:r>
        <w:rPr>
          <w:rFonts w:ascii="Times New Roman" w:eastAsia="宋体" w:hAnsi="Times New Roman" w:cs="Times New Roman" w:hint="eastAsia"/>
          <w:sz w:val="24"/>
          <w:szCs w:val="24"/>
        </w:rPr>
        <w:t>，原始泥面标高水深</w:t>
      </w:r>
      <w:r>
        <w:rPr>
          <w:rFonts w:ascii="Times New Roman" w:eastAsia="宋体" w:hAnsi="Times New Roman" w:cs="Times New Roman" w:hint="eastAsia"/>
          <w:sz w:val="24"/>
          <w:szCs w:val="24"/>
        </w:rPr>
        <w:t>-0.5m</w:t>
      </w:r>
      <w:r>
        <w:rPr>
          <w:rFonts w:ascii="Times New Roman" w:eastAsia="宋体" w:hAnsi="Times New Roman" w:cs="Times New Roman" w:hint="eastAsia"/>
          <w:sz w:val="24"/>
          <w:szCs w:val="24"/>
        </w:rPr>
        <w:t>，设计底标高</w:t>
      </w:r>
      <w:r>
        <w:rPr>
          <w:rFonts w:ascii="Times New Roman" w:eastAsia="宋体" w:hAnsi="Times New Roman" w:cs="Times New Roman" w:hint="eastAsia"/>
          <w:sz w:val="24"/>
          <w:szCs w:val="24"/>
        </w:rPr>
        <w:t>-9.0m</w:t>
      </w:r>
      <w:r>
        <w:rPr>
          <w:rFonts w:ascii="Times New Roman" w:eastAsia="宋体" w:hAnsi="Times New Roman" w:cs="Times New Roman" w:hint="eastAsia"/>
          <w:sz w:val="24"/>
          <w:szCs w:val="24"/>
        </w:rPr>
        <w:t>计，考虑施工过程超深为</w:t>
      </w:r>
      <w:r>
        <w:rPr>
          <w:rFonts w:ascii="Times New Roman" w:eastAsia="宋体" w:hAnsi="Times New Roman" w:cs="Times New Roman" w:hint="eastAsia"/>
          <w:sz w:val="24"/>
          <w:szCs w:val="24"/>
        </w:rPr>
        <w:t>0.3m</w:t>
      </w:r>
      <w:r>
        <w:rPr>
          <w:rFonts w:ascii="Times New Roman" w:eastAsia="宋体" w:hAnsi="Times New Roman" w:cs="Times New Roman" w:hint="eastAsia"/>
          <w:sz w:val="24"/>
          <w:szCs w:val="24"/>
        </w:rPr>
        <w:t>，由此计算得出施工坡脚与坡顶水平距离为</w:t>
      </w:r>
      <w:r>
        <w:rPr>
          <w:rFonts w:ascii="Times New Roman" w:eastAsia="宋体" w:hAnsi="Times New Roman" w:cs="Times New Roman" w:hint="eastAsia"/>
          <w:sz w:val="24"/>
          <w:szCs w:val="24"/>
        </w:rPr>
        <w:t>[-0.5-</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+0.3]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3=26.4m</w:t>
      </w:r>
      <w:r>
        <w:rPr>
          <w:rFonts w:ascii="Times New Roman" w:eastAsia="宋体" w:hAnsi="Times New Roman" w:cs="Times New Roman" w:hint="eastAsia"/>
          <w:sz w:val="24"/>
          <w:szCs w:val="24"/>
        </w:rPr>
        <w:t>，即转运坑用海外边界是在原设计单位提供的转运坑边界的基础上外扩</w:t>
      </w:r>
      <w:r>
        <w:rPr>
          <w:rFonts w:ascii="Times New Roman" w:eastAsia="宋体" w:hAnsi="Times New Roman" w:cs="Times New Roman" w:hint="eastAsia"/>
          <w:sz w:val="24"/>
          <w:szCs w:val="24"/>
        </w:rPr>
        <w:t>26.4m</w:t>
      </w:r>
      <w:r>
        <w:rPr>
          <w:rFonts w:ascii="Times New Roman" w:eastAsia="宋体" w:hAnsi="Times New Roman" w:cs="Times New Roman"/>
          <w:sz w:val="24"/>
          <w:szCs w:val="24"/>
        </w:rPr>
        <w:t>。</w:t>
      </w:r>
    </w:p>
    <w:p w14:paraId="1D5DDDB0" w14:textId="6D763778" w:rsidR="00EB6ADA"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根据上述方法划定用海边界后，利用制图软件得到各界址点的</w:t>
      </w:r>
      <w:r>
        <w:rPr>
          <w:rFonts w:ascii="Times New Roman" w:eastAsia="宋体" w:hAnsi="Times New Roman" w:cs="Times New Roman"/>
          <w:sz w:val="24"/>
          <w:szCs w:val="24"/>
        </w:rPr>
        <w:t>CGCS2000</w:t>
      </w:r>
      <w:r>
        <w:rPr>
          <w:rFonts w:ascii="Times New Roman" w:eastAsia="宋体" w:hAnsi="Times New Roman" w:cs="Times New Roman"/>
          <w:sz w:val="24"/>
          <w:szCs w:val="24"/>
        </w:rPr>
        <w:t>坐标及用海单元的面积。本项目的用海面积</w:t>
      </w:r>
      <w:r>
        <w:rPr>
          <w:rFonts w:ascii="Times New Roman" w:eastAsia="宋体" w:hAnsi="Times New Roman" w:cs="Times New Roman"/>
          <w:sz w:val="24"/>
          <w:szCs w:val="24"/>
        </w:rPr>
        <w:t>21.9736</w:t>
      </w:r>
      <w:r>
        <w:rPr>
          <w:rFonts w:ascii="Times New Roman" w:eastAsia="宋体" w:hAnsi="Times New Roman" w:cs="Times New Roman"/>
          <w:sz w:val="24"/>
          <w:szCs w:val="24"/>
        </w:rPr>
        <w:t>公顷。</w:t>
      </w:r>
    </w:p>
    <w:p w14:paraId="0E760EF9" w14:textId="77777777" w:rsidR="00EB6ADA" w:rsidRDefault="00000000">
      <w:pPr>
        <w:pStyle w:val="2"/>
        <w:rPr>
          <w:rFonts w:cs="Times New Roman"/>
        </w:rPr>
      </w:pPr>
      <w:bookmarkStart w:id="39" w:name="_Toc224053303"/>
      <w:r>
        <w:rPr>
          <w:rFonts w:cs="Times New Roman" w:hint="eastAsia"/>
        </w:rPr>
        <w:t>6</w:t>
      </w:r>
      <w:r>
        <w:rPr>
          <w:rFonts w:cs="Times New Roman"/>
        </w:rPr>
        <w:t>.5</w:t>
      </w:r>
      <w:r>
        <w:rPr>
          <w:rFonts w:cs="Times New Roman"/>
        </w:rPr>
        <w:t>用海期限合理性分析</w:t>
      </w:r>
      <w:bookmarkEnd w:id="39"/>
    </w:p>
    <w:p w14:paraId="62290DA5" w14:textId="6D3C816D" w:rsidR="00EB6ADA" w:rsidRDefault="00000000">
      <w:pPr>
        <w:pStyle w:val="10"/>
        <w:ind w:firstLine="480"/>
        <w:rPr>
          <w:rFonts w:cs="Times New Roman"/>
          <w:szCs w:val="24"/>
        </w:rPr>
      </w:pPr>
      <w:r>
        <w:rPr>
          <w:rFonts w:hint="eastAsia"/>
        </w:rPr>
        <w:t>泉州围头湾石井航道二期工程主航道的后续疏浚工期约</w:t>
      </w:r>
      <w:r>
        <w:rPr>
          <w:rFonts w:hint="eastAsia"/>
        </w:rPr>
        <w:t>6</w:t>
      </w:r>
      <w:r>
        <w:rPr>
          <w:rFonts w:hint="eastAsia"/>
        </w:rPr>
        <w:t>个月，考虑恶劣天气等不确定因素，申请用海期限为</w:t>
      </w:r>
      <w:r>
        <w:rPr>
          <w:rFonts w:hint="eastAsia"/>
        </w:rPr>
        <w:t>12</w:t>
      </w:r>
      <w:r>
        <w:rPr>
          <w:rFonts w:hint="eastAsia"/>
        </w:rPr>
        <w:t>个月。作为围头湾石井航道二期工程的配套项目，本项目用海期限主要根据航道施工工期确定，申请用海期限</w:t>
      </w:r>
      <w:r>
        <w:rPr>
          <w:rFonts w:hint="eastAsia"/>
        </w:rPr>
        <w:t>12</w:t>
      </w:r>
      <w:r>
        <w:rPr>
          <w:rFonts w:hint="eastAsia"/>
        </w:rPr>
        <w:t>个月，用海期限界定合理。</w:t>
      </w:r>
    </w:p>
    <w:p w14:paraId="5BFD4CB4" w14:textId="77777777" w:rsidR="00EB6ADA" w:rsidRDefault="00EB6ADA">
      <w:pPr>
        <w:spacing w:line="360" w:lineRule="auto"/>
        <w:ind w:firstLineChars="200" w:firstLine="480"/>
        <w:rPr>
          <w:rFonts w:ascii="Times New Roman" w:eastAsia="宋体" w:hAnsi="Times New Roman" w:cs="Times New Roman"/>
          <w:sz w:val="24"/>
          <w:szCs w:val="24"/>
        </w:rPr>
        <w:sectPr w:rsidR="00EB6ADA">
          <w:pgSz w:w="11906" w:h="16838"/>
          <w:pgMar w:top="1134" w:right="1134" w:bottom="1134" w:left="1134" w:header="851" w:footer="850" w:gutter="0"/>
          <w:cols w:space="425"/>
          <w:docGrid w:type="lines" w:linePitch="312"/>
        </w:sectPr>
      </w:pPr>
    </w:p>
    <w:p w14:paraId="3EC5479F" w14:textId="77777777" w:rsidR="00EB6ADA" w:rsidRDefault="00000000">
      <w:pPr>
        <w:pStyle w:val="1"/>
        <w:rPr>
          <w:rFonts w:cs="Times New Roman"/>
        </w:rPr>
      </w:pPr>
      <w:bookmarkStart w:id="40" w:name="_Toc224053304"/>
      <w:r>
        <w:rPr>
          <w:rFonts w:cs="Times New Roman" w:hint="eastAsia"/>
        </w:rPr>
        <w:lastRenderedPageBreak/>
        <w:t>7</w:t>
      </w:r>
      <w:r>
        <w:rPr>
          <w:rFonts w:cs="Times New Roman"/>
        </w:rPr>
        <w:t>生态用海对策措施</w:t>
      </w:r>
      <w:bookmarkEnd w:id="40"/>
    </w:p>
    <w:p w14:paraId="315984E4" w14:textId="77777777" w:rsidR="00EB6ADA" w:rsidRDefault="00000000">
      <w:pPr>
        <w:pStyle w:val="2"/>
        <w:rPr>
          <w:rFonts w:cs="Times New Roman"/>
        </w:rPr>
      </w:pPr>
      <w:bookmarkStart w:id="41" w:name="_Toc224053305"/>
      <w:r>
        <w:rPr>
          <w:rFonts w:cs="Times New Roman" w:hint="eastAsia"/>
        </w:rPr>
        <w:t>7</w:t>
      </w:r>
      <w:r>
        <w:rPr>
          <w:rFonts w:cs="Times New Roman"/>
        </w:rPr>
        <w:t>.1</w:t>
      </w:r>
      <w:r>
        <w:rPr>
          <w:rFonts w:cs="Times New Roman"/>
        </w:rPr>
        <w:t>生态用海对策</w:t>
      </w:r>
      <w:bookmarkEnd w:id="41"/>
    </w:p>
    <w:p w14:paraId="524BE868" w14:textId="77777777" w:rsidR="00EB6ADA" w:rsidRDefault="00000000">
      <w:pPr>
        <w:pStyle w:val="3"/>
        <w:rPr>
          <w:rFonts w:cs="Times New Roman"/>
        </w:rPr>
      </w:pPr>
      <w:r>
        <w:rPr>
          <w:rFonts w:cs="Times New Roman" w:hint="eastAsia"/>
        </w:rPr>
        <w:t>7</w:t>
      </w:r>
      <w:r>
        <w:rPr>
          <w:rFonts w:cs="Times New Roman"/>
        </w:rPr>
        <w:t>.1.1</w:t>
      </w:r>
      <w:r>
        <w:rPr>
          <w:rFonts w:cs="Times New Roman"/>
        </w:rPr>
        <w:t>生态保护措施</w:t>
      </w:r>
    </w:p>
    <w:p w14:paraId="451FC5DB" w14:textId="77777777" w:rsidR="00EB6ADA" w:rsidRDefault="00000000">
      <w:pPr>
        <w:pStyle w:val="10"/>
        <w:ind w:firstLine="480"/>
        <w:rPr>
          <w:rFonts w:cs="Times New Roman"/>
        </w:rPr>
      </w:pPr>
      <w:r>
        <w:rPr>
          <w:rFonts w:cs="Times New Roman"/>
        </w:rPr>
        <w:t>结合项目环评批复相关要求及项目后续施工内容，提出以下生态保护措施：</w:t>
      </w:r>
    </w:p>
    <w:p w14:paraId="6EF647DC" w14:textId="77777777" w:rsidR="00EB6ADA" w:rsidRDefault="00000000">
      <w:pPr>
        <w:pStyle w:val="10"/>
        <w:numPr>
          <w:ilvl w:val="0"/>
          <w:numId w:val="2"/>
        </w:numPr>
        <w:ind w:firstLine="480"/>
        <w:rPr>
          <w:rFonts w:cs="Times New Roman"/>
        </w:rPr>
      </w:pPr>
      <w:r>
        <w:rPr>
          <w:rFonts w:cs="Times New Roman" w:hint="eastAsia"/>
        </w:rPr>
        <w:t>选择合理的工期、施工工艺及方式，制定合理的施工计划、方案；</w:t>
      </w:r>
    </w:p>
    <w:p w14:paraId="792FB2F0" w14:textId="77777777" w:rsidR="00EB6ADA" w:rsidRDefault="00000000">
      <w:pPr>
        <w:pStyle w:val="10"/>
        <w:numPr>
          <w:ilvl w:val="0"/>
          <w:numId w:val="2"/>
        </w:numPr>
        <w:ind w:firstLine="480"/>
        <w:rPr>
          <w:rFonts w:cs="Times New Roman"/>
        </w:rPr>
      </w:pPr>
      <w:r>
        <w:rPr>
          <w:rFonts w:cs="Times New Roman"/>
        </w:rPr>
        <w:t>做好疏浚物运输管理，避免输送过程中泄露对水体造成二次污染，严格控制船舶装驳量，避免</w:t>
      </w:r>
      <w:r>
        <w:rPr>
          <w:rFonts w:cs="Times New Roman" w:hint="eastAsia"/>
        </w:rPr>
        <w:t>运输过程</w:t>
      </w:r>
      <w:r>
        <w:rPr>
          <w:rFonts w:cs="Times New Roman"/>
        </w:rPr>
        <w:t>舱内泥水溢流到海水中。</w:t>
      </w:r>
      <w:r>
        <w:rPr>
          <w:rFonts w:cs="Times New Roman" w:hint="eastAsia"/>
        </w:rPr>
        <w:t>同时加强施工过程环境监管，督促施工单位认真履行相关环境保护条款。</w:t>
      </w:r>
    </w:p>
    <w:p w14:paraId="35F0904F" w14:textId="77777777" w:rsidR="00EB6ADA" w:rsidRDefault="00000000">
      <w:pPr>
        <w:pStyle w:val="10"/>
        <w:ind w:firstLine="480"/>
        <w:rPr>
          <w:rFonts w:cs="Times New Roman"/>
        </w:rPr>
      </w:pPr>
      <w:r>
        <w:rPr>
          <w:rFonts w:cs="Times New Roman"/>
        </w:rPr>
        <w:t>（</w:t>
      </w:r>
      <w:r>
        <w:rPr>
          <w:rFonts w:cs="Times New Roman" w:hint="eastAsia"/>
        </w:rPr>
        <w:t>3</w:t>
      </w:r>
      <w:r>
        <w:rPr>
          <w:rFonts w:cs="Times New Roman"/>
        </w:rPr>
        <w:t>）施工船舶含油污水、固体废物等应委托有资质单位进行接收处置，严禁直接排入海域。</w:t>
      </w:r>
      <w:r>
        <w:rPr>
          <w:rFonts w:cs="Times New Roman" w:hint="eastAsia"/>
        </w:rPr>
        <w:t>加强施工、船舶机械维护管理，强化施工噪声控制。</w:t>
      </w:r>
    </w:p>
    <w:p w14:paraId="68DCE88F" w14:textId="77777777" w:rsidR="00EB6ADA" w:rsidRDefault="00000000">
      <w:pPr>
        <w:pStyle w:val="10"/>
        <w:ind w:firstLine="480"/>
        <w:rPr>
          <w:rFonts w:cs="Times New Roman"/>
        </w:rPr>
      </w:pPr>
      <w:r>
        <w:rPr>
          <w:rFonts w:cs="Times New Roman"/>
        </w:rPr>
        <w:t>（</w:t>
      </w:r>
      <w:r>
        <w:rPr>
          <w:rFonts w:cs="Times New Roman" w:hint="eastAsia"/>
        </w:rPr>
        <w:t>4</w:t>
      </w:r>
      <w:r>
        <w:rPr>
          <w:rFonts w:cs="Times New Roman"/>
        </w:rPr>
        <w:t>）泥驳船应配备精确的定位及监测设备等，从而实现高精度的定点定深卸泥，确保疏浚物抛掷工作准确进行。</w:t>
      </w:r>
      <w:r>
        <w:rPr>
          <w:rFonts w:cs="Times New Roman" w:hint="eastAsia"/>
        </w:rPr>
        <w:t>抛泥过程控制航速及抛泥速度</w:t>
      </w:r>
      <w:r>
        <w:rPr>
          <w:rFonts w:cs="Times New Roman"/>
        </w:rPr>
        <w:t>，均匀卸泥，避免集中</w:t>
      </w:r>
      <w:r>
        <w:rPr>
          <w:rFonts w:cs="Times New Roman" w:hint="eastAsia"/>
        </w:rPr>
        <w:t>抛泥</w:t>
      </w:r>
      <w:r>
        <w:rPr>
          <w:rFonts w:cs="Times New Roman"/>
        </w:rPr>
        <w:t>形成浅点。</w:t>
      </w:r>
      <w:r>
        <w:rPr>
          <w:rFonts w:cs="Times New Roman" w:hint="eastAsia"/>
        </w:rPr>
        <w:t>疏浚物全部抛掷完成后立即开展海底地形测量，如出现海底地形浅点应及时进行整平。</w:t>
      </w:r>
    </w:p>
    <w:p w14:paraId="7DD2A92F" w14:textId="77777777" w:rsidR="00EB6ADA" w:rsidRDefault="00000000">
      <w:pPr>
        <w:pStyle w:val="3"/>
        <w:rPr>
          <w:rFonts w:cs="Times New Roman"/>
        </w:rPr>
      </w:pPr>
      <w:r>
        <w:rPr>
          <w:rFonts w:cs="Times New Roman" w:hint="eastAsia"/>
        </w:rPr>
        <w:t>7</w:t>
      </w:r>
      <w:r>
        <w:rPr>
          <w:rFonts w:cs="Times New Roman"/>
        </w:rPr>
        <w:t>.1.2</w:t>
      </w:r>
      <w:r>
        <w:rPr>
          <w:rFonts w:cs="Times New Roman"/>
        </w:rPr>
        <w:t>中华白海豚保护措施</w:t>
      </w:r>
    </w:p>
    <w:p w14:paraId="15B17E37" w14:textId="77777777" w:rsidR="00EB6ADA" w:rsidRDefault="00000000">
      <w:pPr>
        <w:pStyle w:val="10"/>
        <w:ind w:firstLine="480"/>
        <w:rPr>
          <w:rFonts w:cs="Times New Roman"/>
        </w:rPr>
      </w:pPr>
      <w:r>
        <w:rPr>
          <w:rFonts w:cs="Times New Roman" w:hint="eastAsia"/>
        </w:rPr>
        <w:t>泥驳船进入转运坑前，降低航速至不超过</w:t>
      </w:r>
      <w:r>
        <w:rPr>
          <w:rFonts w:cs="Times New Roman" w:hint="eastAsia"/>
        </w:rPr>
        <w:t>3</w:t>
      </w:r>
      <w:r>
        <w:rPr>
          <w:rFonts w:cs="Times New Roman" w:hint="eastAsia"/>
        </w:rPr>
        <w:t>海里</w:t>
      </w:r>
      <w:r>
        <w:rPr>
          <w:rFonts w:cs="Times New Roman" w:hint="eastAsia"/>
        </w:rPr>
        <w:t>/h</w:t>
      </w:r>
      <w:r>
        <w:rPr>
          <w:rFonts w:cs="Times New Roman" w:hint="eastAsia"/>
        </w:rPr>
        <w:t>，并安排观察员在船上视野开阔处瞭望、观察船舶及施工区周围</w:t>
      </w:r>
      <w:r>
        <w:rPr>
          <w:rFonts w:cs="Times New Roman" w:hint="eastAsia"/>
        </w:rPr>
        <w:t>360</w:t>
      </w:r>
      <w:r>
        <w:rPr>
          <w:rFonts w:cs="Times New Roman" w:hint="eastAsia"/>
        </w:rPr>
        <w:t>°范围，确定视线范围内没有中华白海豚出现方可实施疏浚物抛掷。若发现中华白海豚应立即停止施工，避免施工船舶机械对中华白海豚造成直接伤害等。一旦发现中华白海豚的异常情况，应立即向主管部门报告，并积极配合主管部门采取应急救助措施。</w:t>
      </w:r>
    </w:p>
    <w:p w14:paraId="5543CD7C" w14:textId="77777777" w:rsidR="00EB6ADA" w:rsidRDefault="00000000">
      <w:pPr>
        <w:pStyle w:val="3"/>
        <w:rPr>
          <w:rFonts w:cs="Times New Roman"/>
        </w:rPr>
      </w:pPr>
      <w:r>
        <w:rPr>
          <w:rFonts w:cs="Times New Roman" w:hint="eastAsia"/>
        </w:rPr>
        <w:t>7</w:t>
      </w:r>
      <w:r>
        <w:rPr>
          <w:rFonts w:cs="Times New Roman"/>
        </w:rPr>
        <w:t>.1.3</w:t>
      </w:r>
      <w:r>
        <w:rPr>
          <w:rFonts w:cs="Times New Roman"/>
        </w:rPr>
        <w:t>中华白海豚应急救助预案</w:t>
      </w:r>
    </w:p>
    <w:p w14:paraId="252EEF28" w14:textId="77777777" w:rsidR="00EB6ADA" w:rsidRDefault="00000000">
      <w:pPr>
        <w:pStyle w:val="10"/>
        <w:ind w:firstLine="480"/>
        <w:rPr>
          <w:rFonts w:cs="Times New Roman"/>
        </w:rPr>
      </w:pPr>
      <w:r>
        <w:rPr>
          <w:rFonts w:cs="Times New Roman" w:hint="eastAsia"/>
        </w:rPr>
        <w:t>为保障工程施工期间中华白海豚的安全，确保在发现中华白海豚遇险事故时，能够及时有效进行应急救助，从而最大限度降低对中华白海豚的影响，应制定中华白海豚应急救助预案。</w:t>
      </w:r>
    </w:p>
    <w:p w14:paraId="6A1CB014" w14:textId="2A56AE99" w:rsidR="00EB6ADA" w:rsidRDefault="00000000" w:rsidP="00A3460E">
      <w:pPr>
        <w:pStyle w:val="10"/>
        <w:ind w:firstLine="480"/>
        <w:rPr>
          <w:rFonts w:cs="Times New Roman"/>
        </w:rPr>
      </w:pPr>
      <w:r>
        <w:rPr>
          <w:rFonts w:cs="Times New Roman" w:hint="eastAsia"/>
        </w:rPr>
        <w:t>若发现中华白海豚受伤、搁浅等遇险情况，应及时掌握其遇险的区域、程度、状态、现场环境条件等基本情况，立即报告应急救助小组，启动应急救助预案，并及时上报相关单位。各应急组成员应迅速到位履行职责，响应预案。救助过程中，需服从相关部门的管理，积极组织人员、设备，配合有关单位对遇险的中华白海豚实施救助。同时，应委托具有鲸豚类救护经验和资质的水生野生动物救护网络成员单位对突发意外情况实施科学救护，以确保意外受伤的中华白海豚能够得到及时有效</w:t>
      </w:r>
      <w:r w:rsidR="00CA2D6E">
        <w:rPr>
          <w:rFonts w:cs="Times New Roman" w:hint="eastAsia"/>
        </w:rPr>
        <w:t>地</w:t>
      </w:r>
      <w:r>
        <w:rPr>
          <w:rFonts w:cs="Times New Roman" w:hint="eastAsia"/>
        </w:rPr>
        <w:t>救治。</w:t>
      </w:r>
    </w:p>
    <w:p w14:paraId="699BEC65" w14:textId="77777777" w:rsidR="00EB6ADA" w:rsidRDefault="00000000">
      <w:pPr>
        <w:pStyle w:val="3"/>
        <w:rPr>
          <w:rFonts w:cs="Times New Roman"/>
        </w:rPr>
      </w:pPr>
      <w:r>
        <w:rPr>
          <w:rFonts w:cs="Times New Roman" w:hint="eastAsia"/>
        </w:rPr>
        <w:lastRenderedPageBreak/>
        <w:t>7</w:t>
      </w:r>
      <w:r>
        <w:rPr>
          <w:rFonts w:cs="Times New Roman"/>
        </w:rPr>
        <w:t>.1.4</w:t>
      </w:r>
      <w:r>
        <w:rPr>
          <w:rFonts w:cs="Times New Roman"/>
        </w:rPr>
        <w:t>生态跟踪监测</w:t>
      </w:r>
    </w:p>
    <w:p w14:paraId="1DC8C592" w14:textId="77777777" w:rsidR="00EB6ADA" w:rsidRDefault="00000000">
      <w:pPr>
        <w:pStyle w:val="10"/>
        <w:ind w:firstLine="480"/>
        <w:rPr>
          <w:rFonts w:cs="Times New Roman"/>
        </w:rPr>
      </w:pPr>
      <w:r>
        <w:rPr>
          <w:rFonts w:cs="Times New Roman"/>
        </w:rPr>
        <w:t>《泉州围头湾石井航道二期工程疏浚物综合处置配套项目施工期海洋环境影响跟踪监测实施方案》根据项目环评文件要求，在目标海域设置</w:t>
      </w:r>
      <w:r>
        <w:rPr>
          <w:rFonts w:cs="Times New Roman"/>
        </w:rPr>
        <w:t>8</w:t>
      </w:r>
      <w:r>
        <w:rPr>
          <w:rFonts w:cs="Times New Roman"/>
        </w:rPr>
        <w:t>个水质站位，</w:t>
      </w:r>
      <w:r>
        <w:rPr>
          <w:rFonts w:cs="Times New Roman"/>
        </w:rPr>
        <w:t>6</w:t>
      </w:r>
      <w:r>
        <w:rPr>
          <w:rFonts w:cs="Times New Roman"/>
        </w:rPr>
        <w:t>个海洋生态站位，</w:t>
      </w:r>
      <w:r>
        <w:rPr>
          <w:rFonts w:cs="Times New Roman"/>
        </w:rPr>
        <w:t>6</w:t>
      </w:r>
      <w:r>
        <w:rPr>
          <w:rFonts w:cs="Times New Roman"/>
        </w:rPr>
        <w:t>个游泳动物站位，</w:t>
      </w:r>
      <w:r>
        <w:rPr>
          <w:rFonts w:cs="Times New Roman"/>
        </w:rPr>
        <w:t>9</w:t>
      </w:r>
      <w:r>
        <w:rPr>
          <w:rFonts w:cs="Times New Roman"/>
        </w:rPr>
        <w:t>个大型底栖生物站位。海水水质监测为施工中每季节大潮期</w:t>
      </w:r>
      <w:r>
        <w:rPr>
          <w:rFonts w:cs="Times New Roman"/>
        </w:rPr>
        <w:t>1</w:t>
      </w:r>
      <w:r>
        <w:rPr>
          <w:rFonts w:cs="Times New Roman"/>
        </w:rPr>
        <w:t>次，施工后</w:t>
      </w:r>
      <w:r>
        <w:rPr>
          <w:rFonts w:cs="Times New Roman"/>
        </w:rPr>
        <w:t>1</w:t>
      </w:r>
      <w:r>
        <w:rPr>
          <w:rFonts w:cs="Times New Roman"/>
        </w:rPr>
        <w:t>次，共计</w:t>
      </w:r>
      <w:r>
        <w:rPr>
          <w:rFonts w:cs="Times New Roman"/>
        </w:rPr>
        <w:t>5</w:t>
      </w:r>
      <w:r>
        <w:rPr>
          <w:rFonts w:cs="Times New Roman"/>
        </w:rPr>
        <w:t>次；对海洋生态和游泳动物的监测为施工中监测</w:t>
      </w:r>
      <w:r>
        <w:rPr>
          <w:rFonts w:cs="Times New Roman"/>
        </w:rPr>
        <w:t>1</w:t>
      </w:r>
      <w:r>
        <w:rPr>
          <w:rFonts w:cs="Times New Roman"/>
        </w:rPr>
        <w:t>次，共计</w:t>
      </w:r>
      <w:r>
        <w:rPr>
          <w:rFonts w:cs="Times New Roman"/>
        </w:rPr>
        <w:t>1</w:t>
      </w:r>
      <w:r>
        <w:rPr>
          <w:rFonts w:cs="Times New Roman"/>
        </w:rPr>
        <w:t>次。监测内容包括</w:t>
      </w:r>
      <w:r>
        <w:rPr>
          <w:rFonts w:ascii="宋体" w:hAnsi="宋体" w:cs="Times New Roman"/>
        </w:rPr>
        <w:t>①</w:t>
      </w:r>
      <w:r>
        <w:rPr>
          <w:rFonts w:cs="Times New Roman"/>
        </w:rPr>
        <w:t>水质：水温、盐度、悬浮物、化学需氧量、油类，共</w:t>
      </w:r>
      <w:r>
        <w:rPr>
          <w:rFonts w:cs="Times New Roman"/>
        </w:rPr>
        <w:t>5</w:t>
      </w:r>
      <w:r>
        <w:rPr>
          <w:rFonts w:cs="Times New Roman"/>
        </w:rPr>
        <w:t>项；</w:t>
      </w:r>
      <w:r>
        <w:rPr>
          <w:rFonts w:ascii="宋体" w:hAnsi="宋体" w:cs="Times New Roman"/>
        </w:rPr>
        <w:t>②</w:t>
      </w:r>
      <w:r>
        <w:rPr>
          <w:rFonts w:cs="Times New Roman"/>
        </w:rPr>
        <w:t>海洋生态：叶绿素</w:t>
      </w:r>
      <w:r>
        <w:rPr>
          <w:rFonts w:cs="Times New Roman"/>
        </w:rPr>
        <w:t>a</w:t>
      </w:r>
      <w:r>
        <w:rPr>
          <w:rFonts w:cs="Times New Roman"/>
        </w:rPr>
        <w:t>、初级生产力、浮游植物、浮游动物、大型底栖生物、游泳动物，共</w:t>
      </w:r>
      <w:r>
        <w:rPr>
          <w:rFonts w:cs="Times New Roman"/>
        </w:rPr>
        <w:t>6</w:t>
      </w:r>
      <w:r>
        <w:rPr>
          <w:rFonts w:cs="Times New Roman"/>
        </w:rPr>
        <w:t>项。</w:t>
      </w:r>
    </w:p>
    <w:p w14:paraId="3A503493" w14:textId="1ACC47A4" w:rsidR="00EB6ADA" w:rsidRDefault="00000000">
      <w:pPr>
        <w:pStyle w:val="10"/>
        <w:ind w:firstLine="480"/>
        <w:rPr>
          <w:rFonts w:cs="Times New Roman"/>
        </w:rPr>
      </w:pPr>
      <w:r>
        <w:rPr>
          <w:rFonts w:cs="Times New Roman"/>
        </w:rPr>
        <w:t>项目已实施工程</w:t>
      </w:r>
      <w:r>
        <w:rPr>
          <w:rFonts w:cs="Times New Roman" w:hint="eastAsia"/>
        </w:rPr>
        <w:t>在</w:t>
      </w:r>
      <w:r>
        <w:rPr>
          <w:rFonts w:cs="Times New Roman"/>
        </w:rPr>
        <w:t>施工期间，</w:t>
      </w:r>
      <w:r>
        <w:rPr>
          <w:rFonts w:cs="Times New Roman" w:hint="eastAsia"/>
        </w:rPr>
        <w:t>已</w:t>
      </w:r>
      <w:r>
        <w:rPr>
          <w:rFonts w:cs="Times New Roman"/>
        </w:rPr>
        <w:t>于</w:t>
      </w:r>
      <w:r>
        <w:rPr>
          <w:rFonts w:cs="Times New Roman"/>
        </w:rPr>
        <w:t>2024</w:t>
      </w:r>
      <w:r>
        <w:rPr>
          <w:rFonts w:cs="Times New Roman"/>
        </w:rPr>
        <w:t>年第二季度</w:t>
      </w:r>
      <w:r>
        <w:rPr>
          <w:rFonts w:cs="Times New Roman"/>
        </w:rPr>
        <w:t>~2025</w:t>
      </w:r>
      <w:r>
        <w:rPr>
          <w:rFonts w:cs="Times New Roman"/>
        </w:rPr>
        <w:t>年第二季度每季度</w:t>
      </w:r>
      <w:r>
        <w:rPr>
          <w:rFonts w:cs="Times New Roman" w:hint="eastAsia"/>
        </w:rPr>
        <w:t>组织</w:t>
      </w:r>
      <w:r>
        <w:rPr>
          <w:rFonts w:cs="Times New Roman"/>
        </w:rPr>
        <w:t>开展</w:t>
      </w:r>
      <w:r>
        <w:rPr>
          <w:rFonts w:cs="Times New Roman"/>
        </w:rPr>
        <w:t>1</w:t>
      </w:r>
      <w:r>
        <w:rPr>
          <w:rFonts w:cs="Times New Roman"/>
        </w:rPr>
        <w:t>次施工期海洋环境影响跟踪监测。后续施工应按照项目环评文件相关要求开展生态跟踪监测。跟踪监测站位</w:t>
      </w:r>
      <w:r>
        <w:rPr>
          <w:rFonts w:cs="Times New Roman" w:hint="eastAsia"/>
        </w:rPr>
        <w:t>可参</w:t>
      </w:r>
      <w:r>
        <w:rPr>
          <w:rFonts w:cs="Times New Roman"/>
        </w:rPr>
        <w:t>照《泉州围头湾石井航道二期工程疏浚物综合处置配套项目施工期海洋环境影响跟踪监测实施方案》布设。</w:t>
      </w:r>
    </w:p>
    <w:p w14:paraId="33A1528C" w14:textId="77777777" w:rsidR="00EB6ADA" w:rsidRDefault="00000000">
      <w:pPr>
        <w:pStyle w:val="2"/>
        <w:rPr>
          <w:rFonts w:cs="Times New Roman"/>
        </w:rPr>
      </w:pPr>
      <w:bookmarkStart w:id="42" w:name="_Toc224053306"/>
      <w:r>
        <w:rPr>
          <w:rFonts w:cs="Times New Roman" w:hint="eastAsia"/>
        </w:rPr>
        <w:t>7</w:t>
      </w:r>
      <w:r>
        <w:rPr>
          <w:rFonts w:cs="Times New Roman"/>
        </w:rPr>
        <w:t>.2</w:t>
      </w:r>
      <w:r>
        <w:rPr>
          <w:rFonts w:cs="Times New Roman"/>
        </w:rPr>
        <w:t>生态保护修复措施</w:t>
      </w:r>
      <w:bookmarkEnd w:id="42"/>
    </w:p>
    <w:p w14:paraId="4EE897A8" w14:textId="77777777" w:rsidR="00EB6ADA" w:rsidRDefault="00000000">
      <w:pPr>
        <w:pStyle w:val="10"/>
        <w:ind w:firstLine="480"/>
        <w:rPr>
          <w:rFonts w:cs="Times New Roman"/>
        </w:rPr>
      </w:pPr>
      <w:r>
        <w:rPr>
          <w:rFonts w:cs="Times New Roman"/>
        </w:rPr>
        <w:t>根据项目环评文件要求，项目海洋生物资源补偿金额</w:t>
      </w:r>
      <w:r>
        <w:rPr>
          <w:rFonts w:cs="Times New Roman"/>
        </w:rPr>
        <w:t>551.97</w:t>
      </w:r>
      <w:r>
        <w:rPr>
          <w:rFonts w:cs="Times New Roman"/>
        </w:rPr>
        <w:t>万元</w:t>
      </w:r>
      <w:r>
        <w:rPr>
          <w:rFonts w:cs="Times New Roman" w:hint="eastAsia"/>
        </w:rPr>
        <w:t>。</w:t>
      </w:r>
      <w:r>
        <w:rPr>
          <w:rFonts w:cs="Times New Roman"/>
        </w:rPr>
        <w:t>因项目未完工，</w:t>
      </w:r>
      <w:r>
        <w:rPr>
          <w:rFonts w:cs="Times New Roman" w:hint="eastAsia"/>
        </w:rPr>
        <w:t>目前</w:t>
      </w:r>
      <w:r>
        <w:rPr>
          <w:rFonts w:cs="Times New Roman"/>
        </w:rPr>
        <w:t>暂未实施生态补偿。结合项目用海影响情况，建议采取增殖放流的方式</w:t>
      </w:r>
      <w:r>
        <w:rPr>
          <w:rFonts w:cs="Times New Roman" w:hint="eastAsia"/>
        </w:rPr>
        <w:t>，</w:t>
      </w:r>
      <w:r>
        <w:rPr>
          <w:rFonts w:cs="Times New Roman"/>
        </w:rPr>
        <w:t>一定程度补偿项目用海造成的海洋生物资源损失。项目建设单位可委托有资质技术单位，针对围头湾及周边海域的特点制定针对性的增殖放流方案，经渔业主管部门批准后执行。增殖放流</w:t>
      </w:r>
      <w:r>
        <w:rPr>
          <w:rFonts w:cs="Times New Roman" w:hint="eastAsia"/>
        </w:rPr>
        <w:t>应</w:t>
      </w:r>
      <w:r>
        <w:rPr>
          <w:rFonts w:cs="Times New Roman"/>
        </w:rPr>
        <w:t>严格执行《水生生物增殖放流管理规定》等相关规定，具体措施如下：</w:t>
      </w:r>
    </w:p>
    <w:p w14:paraId="4C0ED6DB" w14:textId="77777777" w:rsidR="00EB6ADA" w:rsidRDefault="00000000">
      <w:pPr>
        <w:pStyle w:val="10"/>
        <w:ind w:firstLine="480"/>
        <w:rPr>
          <w:rFonts w:cs="Times New Roman"/>
        </w:rPr>
      </w:pPr>
      <w:r>
        <w:rPr>
          <w:rFonts w:ascii="宋体" w:hAnsi="宋体" w:cs="Times New Roman" w:hint="eastAsia"/>
        </w:rPr>
        <w:t>①</w:t>
      </w:r>
      <w:r>
        <w:rPr>
          <w:rFonts w:cs="Times New Roman"/>
        </w:rPr>
        <w:t>增殖放流种类和数量</w:t>
      </w:r>
    </w:p>
    <w:p w14:paraId="70556CB1" w14:textId="69E56FF3" w:rsidR="00EB6ADA" w:rsidRDefault="00000000">
      <w:pPr>
        <w:pStyle w:val="10"/>
        <w:ind w:firstLine="480"/>
        <w:rPr>
          <w:rFonts w:cs="Times New Roman"/>
        </w:rPr>
      </w:pPr>
      <w:r>
        <w:rPr>
          <w:rFonts w:cs="Times New Roman" w:hint="eastAsia"/>
        </w:rPr>
        <w:t>放流品种上，根据《农业农村部关于做好“十四五”水生生物增殖放流工作的指导意见》（农渔发</w:t>
      </w:r>
      <w:r w:rsidR="00CA2D6E" w:rsidRPr="00CA2D6E">
        <w:rPr>
          <w:rFonts w:cs="Times New Roman" w:hint="eastAsia"/>
        </w:rPr>
        <w:t>〔</w:t>
      </w:r>
      <w:r>
        <w:rPr>
          <w:rFonts w:cs="Times New Roman" w:hint="eastAsia"/>
        </w:rPr>
        <w:t>2022</w:t>
      </w:r>
      <w:r w:rsidR="00CA2D6E" w:rsidRPr="00CA2D6E">
        <w:rPr>
          <w:rFonts w:cs="Times New Roman" w:hint="eastAsia"/>
        </w:rPr>
        <w:t>〕</w:t>
      </w:r>
      <w:r>
        <w:rPr>
          <w:rFonts w:cs="Times New Roman" w:hint="eastAsia"/>
        </w:rPr>
        <w:t>1</w:t>
      </w:r>
      <w:r>
        <w:rPr>
          <w:rFonts w:cs="Times New Roman" w:hint="eastAsia"/>
        </w:rPr>
        <w:t>号）“东海增殖放流分水域适宜性评价表”中福建南部海区泉州湾海域适宜放流物种进行选取，具体包括长毛对虾、日本对虾、拟穴青蟹、三疣梭子蟹、大黄鱼、真鲷、黑鲷、黄鳍鲷、花鲈、点带石斑鱼、赤点石斑鱼、青石斑鱼、云纹石斑鱼、花尾胡椒鲷、斜带髭鲷、双斑东方鲀、鲻、中国鲎共</w:t>
      </w:r>
      <w:r>
        <w:rPr>
          <w:rFonts w:cs="Times New Roman" w:hint="eastAsia"/>
        </w:rPr>
        <w:t>18</w:t>
      </w:r>
      <w:r>
        <w:rPr>
          <w:rFonts w:cs="Times New Roman" w:hint="eastAsia"/>
        </w:rPr>
        <w:t>类物种</w:t>
      </w:r>
      <w:r>
        <w:rPr>
          <w:rFonts w:cs="Times New Roman"/>
        </w:rPr>
        <w:t>。</w:t>
      </w:r>
    </w:p>
    <w:p w14:paraId="1837BA0A" w14:textId="77777777" w:rsidR="00EB6ADA" w:rsidRDefault="00000000">
      <w:pPr>
        <w:pStyle w:val="10"/>
        <w:ind w:firstLine="480"/>
        <w:rPr>
          <w:rFonts w:cs="Times New Roman"/>
        </w:rPr>
      </w:pPr>
      <w:r>
        <w:rPr>
          <w:rFonts w:ascii="宋体" w:hAnsi="宋体" w:cs="Times New Roman" w:hint="eastAsia"/>
        </w:rPr>
        <w:t>②</w:t>
      </w:r>
      <w:r>
        <w:rPr>
          <w:rFonts w:cs="Times New Roman"/>
        </w:rPr>
        <w:t>放流时间及水域</w:t>
      </w:r>
    </w:p>
    <w:p w14:paraId="2CE8CF4D" w14:textId="77777777" w:rsidR="00EB6ADA" w:rsidRDefault="00000000">
      <w:pPr>
        <w:pStyle w:val="10"/>
        <w:ind w:firstLine="480"/>
        <w:rPr>
          <w:rFonts w:cs="Times New Roman"/>
        </w:rPr>
      </w:pPr>
      <w:r>
        <w:rPr>
          <w:rFonts w:cs="Times New Roman"/>
        </w:rPr>
        <w:t>放流时间掌握在苗种的自然生长季节和海区伏季休渔前夕。放流水域位于围头湾海域，在饵料丰富、水势平稳、环境符合放流品种生态习性的海域进行放流，最终以主管部门批复的增殖放流方案为准。</w:t>
      </w:r>
    </w:p>
    <w:p w14:paraId="7A658341" w14:textId="77777777" w:rsidR="00EB6ADA" w:rsidRDefault="00000000">
      <w:pPr>
        <w:pStyle w:val="10"/>
        <w:ind w:firstLine="480"/>
        <w:rPr>
          <w:rFonts w:cs="Times New Roman"/>
        </w:rPr>
      </w:pPr>
      <w:r>
        <w:rPr>
          <w:rFonts w:ascii="宋体" w:hAnsi="宋体" w:cs="Times New Roman" w:hint="eastAsia"/>
        </w:rPr>
        <w:t>③</w:t>
      </w:r>
      <w:r>
        <w:rPr>
          <w:rFonts w:cs="Times New Roman"/>
        </w:rPr>
        <w:t>加强后期监管。放流前进行公示，组织专家技术组对选定的放流品种、质量、数量进行技术监督、检查和验收。</w:t>
      </w:r>
    </w:p>
    <w:p w14:paraId="175590CD" w14:textId="2204A415" w:rsidR="00EB6ADA" w:rsidRDefault="00000000">
      <w:pPr>
        <w:pStyle w:val="10"/>
        <w:ind w:firstLine="480"/>
        <w:rPr>
          <w:rFonts w:cs="Times New Roman"/>
        </w:rPr>
      </w:pPr>
      <w:r>
        <w:rPr>
          <w:rFonts w:ascii="宋体" w:hAnsi="宋体" w:cs="Times New Roman" w:hint="eastAsia"/>
        </w:rPr>
        <w:t>④</w:t>
      </w:r>
      <w:r>
        <w:rPr>
          <w:rFonts w:cs="Times New Roman"/>
        </w:rPr>
        <w:t>规范放流资金使用。对增殖放流资金进行转账核算、专款专用，设置资金使用明细账。</w:t>
      </w:r>
    </w:p>
    <w:p w14:paraId="48A0C89C" w14:textId="77777777" w:rsidR="00EB6ADA" w:rsidRDefault="00EB6ADA">
      <w:pPr>
        <w:pStyle w:val="1"/>
        <w:rPr>
          <w:rFonts w:cs="Times New Roman"/>
        </w:rPr>
        <w:sectPr w:rsidR="00EB6ADA">
          <w:pgSz w:w="11906" w:h="16838"/>
          <w:pgMar w:top="1134" w:right="1134" w:bottom="1134" w:left="1134" w:header="851" w:footer="850" w:gutter="0"/>
          <w:cols w:space="425"/>
          <w:docGrid w:type="lines" w:linePitch="312"/>
        </w:sectPr>
      </w:pPr>
    </w:p>
    <w:p w14:paraId="5B3CF517" w14:textId="77777777" w:rsidR="00EB6ADA" w:rsidRDefault="00000000">
      <w:pPr>
        <w:pStyle w:val="1"/>
        <w:rPr>
          <w:rFonts w:cs="Times New Roman"/>
        </w:rPr>
      </w:pPr>
      <w:bookmarkStart w:id="43" w:name="_Toc224053307"/>
      <w:r>
        <w:rPr>
          <w:rFonts w:cs="Times New Roman" w:hint="eastAsia"/>
        </w:rPr>
        <w:lastRenderedPageBreak/>
        <w:t>8</w:t>
      </w:r>
      <w:r>
        <w:rPr>
          <w:rFonts w:cs="Times New Roman"/>
        </w:rPr>
        <w:t>结论</w:t>
      </w:r>
      <w:bookmarkEnd w:id="43"/>
    </w:p>
    <w:p w14:paraId="4C936D30" w14:textId="77777777" w:rsidR="00EB6ADA" w:rsidRDefault="00000000">
      <w:pPr>
        <w:pStyle w:val="2"/>
        <w:rPr>
          <w:rFonts w:cs="Times New Roman"/>
        </w:rPr>
      </w:pPr>
      <w:bookmarkStart w:id="44" w:name="_Toc224053308"/>
      <w:r>
        <w:rPr>
          <w:rFonts w:cs="Times New Roman" w:hint="eastAsia"/>
        </w:rPr>
        <w:t>8</w:t>
      </w:r>
      <w:r>
        <w:rPr>
          <w:rFonts w:cs="Times New Roman"/>
        </w:rPr>
        <w:t>.1</w:t>
      </w:r>
      <w:r>
        <w:rPr>
          <w:rFonts w:cs="Times New Roman"/>
        </w:rPr>
        <w:t>项目用海基本情况</w:t>
      </w:r>
      <w:bookmarkEnd w:id="44"/>
    </w:p>
    <w:p w14:paraId="4ED0B19D" w14:textId="77777777" w:rsidR="00EB6ADA" w:rsidRDefault="00000000">
      <w:pPr>
        <w:pStyle w:val="10"/>
        <w:ind w:firstLine="480"/>
        <w:rPr>
          <w:rFonts w:cs="Times New Roman"/>
        </w:rPr>
      </w:pPr>
      <w:r>
        <w:rPr>
          <w:rFonts w:cs="Times New Roman"/>
        </w:rPr>
        <w:t>泉州围头湾石井航道二期工程疏浚物综合处置配套项目将</w:t>
      </w:r>
      <w:r>
        <w:rPr>
          <w:rFonts w:cs="Times New Roman"/>
          <w:color w:val="000000"/>
          <w:szCs w:val="24"/>
        </w:rPr>
        <w:t>泉州围头湾石井航道二期工程疏浚物经石井航道、菊江航道运至转运坑，再采用沉管方式吹填至海峡科技生态城</w:t>
      </w:r>
      <w:r>
        <w:rPr>
          <w:rFonts w:cs="Times New Roman"/>
          <w:color w:val="000000"/>
          <w:szCs w:val="24"/>
        </w:rPr>
        <w:t>A</w:t>
      </w:r>
      <w:r>
        <w:rPr>
          <w:rFonts w:cs="Times New Roman"/>
          <w:color w:val="000000"/>
          <w:szCs w:val="24"/>
        </w:rPr>
        <w:t>片区。</w:t>
      </w:r>
      <w:r>
        <w:rPr>
          <w:rFonts w:cs="Times New Roman" w:hint="eastAsia"/>
          <w:snapToGrid w:val="0"/>
        </w:rPr>
        <w:t>2020</w:t>
      </w:r>
      <w:r>
        <w:rPr>
          <w:rFonts w:cs="Times New Roman" w:hint="eastAsia"/>
          <w:snapToGrid w:val="0"/>
        </w:rPr>
        <w:t>年</w:t>
      </w:r>
      <w:r>
        <w:rPr>
          <w:rFonts w:cs="Times New Roman" w:hint="eastAsia"/>
          <w:snapToGrid w:val="0"/>
        </w:rPr>
        <w:t>1</w:t>
      </w:r>
      <w:r>
        <w:rPr>
          <w:rFonts w:cs="Times New Roman" w:hint="eastAsia"/>
          <w:snapToGrid w:val="0"/>
        </w:rPr>
        <w:t>月，泉州市南翼置业发展集团有限责任公司取得了“泉州围头湾石井航道二期工程疏浚物综合处置配套项目”不动产权证，用海方式为“专用航道、锚地用海及其他开放式”，用海面积</w:t>
      </w:r>
      <w:r>
        <w:rPr>
          <w:rFonts w:cs="Times New Roman" w:hint="eastAsia"/>
          <w:snapToGrid w:val="0"/>
        </w:rPr>
        <w:t>34.5277</w:t>
      </w:r>
      <w:r>
        <w:rPr>
          <w:rFonts w:cs="Times New Roman" w:hint="eastAsia"/>
          <w:snapToGrid w:val="0"/>
        </w:rPr>
        <w:t>公顷。</w:t>
      </w:r>
      <w:r>
        <w:rPr>
          <w:rFonts w:cs="Times New Roman"/>
          <w:color w:val="000000"/>
          <w:szCs w:val="24"/>
        </w:rPr>
        <w:t>项目转运坑于</w:t>
      </w:r>
      <w:r>
        <w:rPr>
          <w:rFonts w:cs="Times New Roman"/>
        </w:rPr>
        <w:t>2020</w:t>
      </w:r>
      <w:r>
        <w:rPr>
          <w:rFonts w:cs="Times New Roman"/>
        </w:rPr>
        <w:t>年</w:t>
      </w:r>
      <w:r>
        <w:rPr>
          <w:rFonts w:cs="Times New Roman"/>
        </w:rPr>
        <w:t>11</w:t>
      </w:r>
      <w:r>
        <w:rPr>
          <w:rFonts w:cs="Times New Roman"/>
        </w:rPr>
        <w:t>月</w:t>
      </w:r>
      <w:r>
        <w:rPr>
          <w:rFonts w:cs="Times New Roman"/>
        </w:rPr>
        <w:t>10</w:t>
      </w:r>
      <w:r>
        <w:rPr>
          <w:rFonts w:cs="Times New Roman"/>
        </w:rPr>
        <w:t>日开工建设，</w:t>
      </w:r>
      <w:r>
        <w:rPr>
          <w:rFonts w:cs="Times New Roman"/>
        </w:rPr>
        <w:t>2021</w:t>
      </w:r>
      <w:r>
        <w:rPr>
          <w:rFonts w:cs="Times New Roman"/>
        </w:rPr>
        <w:t>年</w:t>
      </w:r>
      <w:r>
        <w:rPr>
          <w:rFonts w:cs="Times New Roman"/>
        </w:rPr>
        <w:t>1</w:t>
      </w:r>
      <w:r>
        <w:rPr>
          <w:rFonts w:cs="Times New Roman"/>
        </w:rPr>
        <w:t>月投入使用，</w:t>
      </w:r>
      <w:r>
        <w:rPr>
          <w:rFonts w:cs="Times New Roman"/>
          <w:snapToGrid w:val="0"/>
          <w:color w:val="000000"/>
          <w:szCs w:val="24"/>
        </w:rPr>
        <w:t>总投资额</w:t>
      </w:r>
      <w:r>
        <w:rPr>
          <w:rFonts w:cs="Times New Roman"/>
          <w:snapToGrid w:val="0"/>
          <w:color w:val="000000"/>
          <w:szCs w:val="24"/>
        </w:rPr>
        <w:t>14760.57</w:t>
      </w:r>
      <w:r>
        <w:rPr>
          <w:rFonts w:cs="Times New Roman"/>
          <w:snapToGrid w:val="0"/>
          <w:color w:val="000000"/>
          <w:szCs w:val="24"/>
        </w:rPr>
        <w:t>万</w:t>
      </w:r>
      <w:r>
        <w:rPr>
          <w:rFonts w:cs="Times New Roman"/>
        </w:rPr>
        <w:t>。</w:t>
      </w:r>
    </w:p>
    <w:p w14:paraId="373AB272" w14:textId="09F61E4A" w:rsidR="00EB6ADA" w:rsidRDefault="00000000">
      <w:pPr>
        <w:pStyle w:val="10"/>
        <w:ind w:firstLine="480"/>
        <w:rPr>
          <w:rFonts w:cs="Times New Roman"/>
        </w:rPr>
      </w:pPr>
      <w:r>
        <w:rPr>
          <w:rFonts w:cs="Times New Roman"/>
        </w:rPr>
        <w:t>截止</w:t>
      </w:r>
      <w:r w:rsidR="004002F0">
        <w:rPr>
          <w:rFonts w:cs="Times New Roman" w:hint="eastAsia"/>
        </w:rPr>
        <w:t>到</w:t>
      </w:r>
      <w:r>
        <w:rPr>
          <w:rFonts w:cs="Times New Roman"/>
        </w:rPr>
        <w:t>2025</w:t>
      </w:r>
      <w:r>
        <w:rPr>
          <w:rFonts w:cs="Times New Roman"/>
        </w:rPr>
        <w:t>年</w:t>
      </w:r>
      <w:r>
        <w:rPr>
          <w:rFonts w:cs="Times New Roman"/>
        </w:rPr>
        <w:t>10</w:t>
      </w:r>
      <w:r>
        <w:rPr>
          <w:rFonts w:cs="Times New Roman"/>
        </w:rPr>
        <w:t>月</w:t>
      </w:r>
      <w:r>
        <w:rPr>
          <w:rFonts w:cs="Times New Roman"/>
        </w:rPr>
        <w:t>14</w:t>
      </w:r>
      <w:r>
        <w:rPr>
          <w:rFonts w:cs="Times New Roman"/>
        </w:rPr>
        <w:t>日</w:t>
      </w:r>
      <w:r>
        <w:rPr>
          <w:rFonts w:cs="Times New Roman" w:hint="eastAsia"/>
        </w:rPr>
        <w:t>，石井航道二期工程</w:t>
      </w:r>
      <w:r>
        <w:rPr>
          <w:rFonts w:cs="Times New Roman"/>
          <w:szCs w:val="24"/>
        </w:rPr>
        <w:t>共完成疏浚</w:t>
      </w:r>
      <w:r>
        <w:rPr>
          <w:rFonts w:cs="Times New Roman"/>
          <w:color w:val="000000"/>
          <w:szCs w:val="24"/>
        </w:rPr>
        <w:t>56</w:t>
      </w:r>
      <w:r>
        <w:rPr>
          <w:rFonts w:cs="Times New Roman" w:hint="eastAsia"/>
          <w:color w:val="000000"/>
          <w:szCs w:val="24"/>
        </w:rPr>
        <w:t>5.0</w:t>
      </w:r>
      <w:r>
        <w:rPr>
          <w:rFonts w:cs="Times New Roman"/>
          <w:color w:val="000000"/>
          <w:szCs w:val="24"/>
        </w:rPr>
        <w:t>万</w:t>
      </w:r>
      <w:r>
        <w:rPr>
          <w:rFonts w:cs="Times New Roman"/>
          <w:color w:val="000000"/>
          <w:szCs w:val="24"/>
        </w:rPr>
        <w:t>m³</w:t>
      </w:r>
      <w:r>
        <w:rPr>
          <w:rFonts w:cs="Times New Roman"/>
          <w:color w:val="000000"/>
          <w:szCs w:val="24"/>
        </w:rPr>
        <w:t>，疏浚物均运送至</w:t>
      </w:r>
      <w:r>
        <w:rPr>
          <w:rFonts w:cs="Times New Roman"/>
          <w:szCs w:val="24"/>
        </w:rPr>
        <w:t>本项目的转运坑，其中</w:t>
      </w:r>
      <w:r>
        <w:rPr>
          <w:rFonts w:cs="Times New Roman"/>
          <w:szCs w:val="24"/>
        </w:rPr>
        <w:t>527.95</w:t>
      </w:r>
      <w:r>
        <w:rPr>
          <w:rFonts w:cs="Times New Roman"/>
          <w:szCs w:val="24"/>
        </w:rPr>
        <w:t>万</w:t>
      </w:r>
      <w:r>
        <w:rPr>
          <w:rFonts w:cs="Times New Roman"/>
          <w:szCs w:val="24"/>
        </w:rPr>
        <w:t>m</w:t>
      </w:r>
      <w:r>
        <w:rPr>
          <w:rFonts w:cs="Times New Roman"/>
          <w:szCs w:val="24"/>
          <w:vertAlign w:val="superscript"/>
        </w:rPr>
        <w:t>3</w:t>
      </w:r>
      <w:r>
        <w:rPr>
          <w:rFonts w:cs="Times New Roman"/>
          <w:szCs w:val="24"/>
        </w:rPr>
        <w:t>已由转运坑吹填至南安市海峡科技生态城</w:t>
      </w:r>
      <w:r>
        <w:rPr>
          <w:rFonts w:cs="Times New Roman"/>
          <w:szCs w:val="24"/>
        </w:rPr>
        <w:t>A6</w:t>
      </w:r>
      <w:r>
        <w:rPr>
          <w:rFonts w:cs="Times New Roman"/>
          <w:szCs w:val="24"/>
        </w:rPr>
        <w:t>、</w:t>
      </w:r>
      <w:r>
        <w:rPr>
          <w:rFonts w:cs="Times New Roman"/>
          <w:szCs w:val="24"/>
        </w:rPr>
        <w:t>A7</w:t>
      </w:r>
      <w:r>
        <w:rPr>
          <w:rFonts w:cs="Times New Roman"/>
          <w:szCs w:val="24"/>
        </w:rPr>
        <w:t>片区综合利用，</w:t>
      </w:r>
      <w:r>
        <w:rPr>
          <w:rFonts w:cs="Times New Roman"/>
          <w:szCs w:val="24"/>
        </w:rPr>
        <w:t>3</w:t>
      </w:r>
      <w:r>
        <w:rPr>
          <w:rFonts w:cs="Times New Roman" w:hint="eastAsia"/>
          <w:szCs w:val="24"/>
        </w:rPr>
        <w:t>7.0</w:t>
      </w:r>
      <w:r>
        <w:rPr>
          <w:rFonts w:cs="Times New Roman"/>
          <w:szCs w:val="24"/>
        </w:rPr>
        <w:t>5</w:t>
      </w:r>
      <w:r>
        <w:rPr>
          <w:rFonts w:cs="Times New Roman"/>
          <w:szCs w:val="24"/>
        </w:rPr>
        <w:t>万</w:t>
      </w:r>
      <w:r>
        <w:rPr>
          <w:rFonts w:cs="Times New Roman"/>
          <w:szCs w:val="24"/>
        </w:rPr>
        <w:t>m</w:t>
      </w:r>
      <w:r>
        <w:rPr>
          <w:rFonts w:cs="Times New Roman"/>
          <w:szCs w:val="24"/>
          <w:vertAlign w:val="superscript"/>
        </w:rPr>
        <w:t>3</w:t>
      </w:r>
      <w:r>
        <w:rPr>
          <w:rFonts w:cs="Times New Roman"/>
          <w:szCs w:val="24"/>
        </w:rPr>
        <w:t>堆存于转运坑内，作为恢复转运坑地形的物料</w:t>
      </w:r>
      <w:r>
        <w:rPr>
          <w:rFonts w:cs="Times New Roman"/>
          <w:color w:val="000000"/>
          <w:szCs w:val="24"/>
        </w:rPr>
        <w:t>。转运坑现状</w:t>
      </w:r>
      <w:r>
        <w:rPr>
          <w:rFonts w:cs="Times New Roman" w:hint="eastAsia"/>
          <w:color w:val="000000"/>
          <w:szCs w:val="24"/>
        </w:rPr>
        <w:t>泥面标高</w:t>
      </w:r>
      <w:r>
        <w:rPr>
          <w:rFonts w:cs="Times New Roman" w:hint="eastAsia"/>
          <w:color w:val="000000"/>
          <w:szCs w:val="24"/>
        </w:rPr>
        <w:t>-6.0m</w:t>
      </w:r>
      <w:r>
        <w:rPr>
          <w:rFonts w:cs="Times New Roman"/>
          <w:color w:val="000000"/>
          <w:szCs w:val="24"/>
        </w:rPr>
        <w:t>，</w:t>
      </w:r>
      <w:r>
        <w:rPr>
          <w:rFonts w:cs="Times New Roman"/>
          <w:snapToGrid w:val="0"/>
          <w:color w:val="000000"/>
          <w:szCs w:val="24"/>
        </w:rPr>
        <w:t>中交水利水电建设有限公司根据</w:t>
      </w:r>
      <w:r>
        <w:rPr>
          <w:rFonts w:cs="Times New Roman"/>
          <w:color w:val="000000"/>
          <w:szCs w:val="24"/>
        </w:rPr>
        <w:t>现状水深测算，若恢复至原有地形（</w:t>
      </w:r>
      <w:r>
        <w:rPr>
          <w:rFonts w:cs="Times New Roman" w:hint="eastAsia"/>
          <w:color w:val="000000"/>
          <w:szCs w:val="24"/>
        </w:rPr>
        <w:t>泥面标高</w:t>
      </w:r>
      <w:r>
        <w:rPr>
          <w:rFonts w:cs="Times New Roman" w:hint="eastAsia"/>
          <w:color w:val="000000"/>
          <w:szCs w:val="24"/>
        </w:rPr>
        <w:t>-0.</w:t>
      </w:r>
      <w:r>
        <w:rPr>
          <w:rFonts w:cs="Times New Roman"/>
          <w:color w:val="000000"/>
          <w:szCs w:val="24"/>
        </w:rPr>
        <w:t>5m</w:t>
      </w:r>
      <w:r>
        <w:rPr>
          <w:rFonts w:cs="Times New Roman"/>
          <w:color w:val="000000"/>
          <w:szCs w:val="24"/>
        </w:rPr>
        <w:t>），</w:t>
      </w:r>
      <w:r>
        <w:rPr>
          <w:rFonts w:cs="Times New Roman" w:hint="eastAsia"/>
          <w:color w:val="000000"/>
          <w:szCs w:val="24"/>
        </w:rPr>
        <w:t>转运坑尚有</w:t>
      </w:r>
      <w:r>
        <w:rPr>
          <w:rFonts w:cs="Times New Roman"/>
          <w:color w:val="000000"/>
          <w:szCs w:val="24"/>
        </w:rPr>
        <w:t>91.3</w:t>
      </w:r>
      <w:r>
        <w:rPr>
          <w:rFonts w:cs="Times New Roman" w:hint="eastAsia"/>
          <w:color w:val="000000"/>
          <w:szCs w:val="24"/>
        </w:rPr>
        <w:t>万</w:t>
      </w:r>
      <w:r>
        <w:rPr>
          <w:rFonts w:cs="Times New Roman"/>
          <w:color w:val="000000"/>
          <w:szCs w:val="24"/>
        </w:rPr>
        <w:t>m</w:t>
      </w:r>
      <w:r>
        <w:rPr>
          <w:rFonts w:cs="Times New Roman"/>
          <w:color w:val="000000"/>
          <w:szCs w:val="24"/>
          <w:vertAlign w:val="superscript"/>
        </w:rPr>
        <w:t>3</w:t>
      </w:r>
      <w:r>
        <w:rPr>
          <w:rFonts w:cs="Times New Roman" w:hint="eastAsia"/>
          <w:color w:val="000000"/>
          <w:szCs w:val="24"/>
        </w:rPr>
        <w:t>的纳泥空间。</w:t>
      </w:r>
      <w:r>
        <w:rPr>
          <w:rFonts w:cs="Times New Roman" w:hint="eastAsia"/>
          <w:snapToGrid w:val="0"/>
          <w:color w:val="000000"/>
          <w:szCs w:val="24"/>
        </w:rPr>
        <w:t>围头湾石井航道二期工程主航道后续施工所产生的</w:t>
      </w:r>
      <w:r>
        <w:rPr>
          <w:rFonts w:cs="Times New Roman" w:hint="eastAsia"/>
          <w:snapToGrid w:val="0"/>
          <w:color w:val="000000"/>
          <w:szCs w:val="24"/>
        </w:rPr>
        <w:t>30.9</w:t>
      </w:r>
      <w:r>
        <w:rPr>
          <w:rFonts w:cs="Times New Roman" w:hint="eastAsia"/>
          <w:snapToGrid w:val="0"/>
          <w:color w:val="000000"/>
          <w:szCs w:val="24"/>
        </w:rPr>
        <w:t>万</w:t>
      </w:r>
      <w:r>
        <w:rPr>
          <w:rFonts w:cs="Times New Roman" w:hint="eastAsia"/>
          <w:snapToGrid w:val="0"/>
          <w:color w:val="000000"/>
          <w:szCs w:val="24"/>
        </w:rPr>
        <w:t>m</w:t>
      </w:r>
      <w:r>
        <w:rPr>
          <w:rFonts w:cs="Times New Roman" w:hint="eastAsia"/>
          <w:snapToGrid w:val="0"/>
          <w:color w:val="000000"/>
          <w:szCs w:val="24"/>
        </w:rPr>
        <w:t>³的疏浚物将抛至转运坑，</w:t>
      </w:r>
      <w:r>
        <w:rPr>
          <w:rFonts w:cs="Times New Roman"/>
          <w:snapToGrid w:val="0"/>
          <w:color w:val="000000"/>
          <w:szCs w:val="24"/>
        </w:rPr>
        <w:t>接纳</w:t>
      </w:r>
      <w:r>
        <w:rPr>
          <w:rFonts w:cs="Times New Roman" w:hint="eastAsia"/>
          <w:snapToGrid w:val="0"/>
          <w:color w:val="000000"/>
          <w:szCs w:val="24"/>
        </w:rPr>
        <w:t>上述</w:t>
      </w:r>
      <w:r>
        <w:rPr>
          <w:rFonts w:cs="Times New Roman"/>
          <w:snapToGrid w:val="0"/>
          <w:color w:val="000000"/>
          <w:szCs w:val="24"/>
        </w:rPr>
        <w:t>疏浚物后，转运坑</w:t>
      </w:r>
      <w:r>
        <w:rPr>
          <w:rFonts w:cs="Times New Roman" w:hint="eastAsia"/>
          <w:snapToGrid w:val="0"/>
          <w:color w:val="000000"/>
          <w:szCs w:val="24"/>
        </w:rPr>
        <w:t>泥面标高将达到</w:t>
      </w:r>
      <w:r>
        <w:rPr>
          <w:rFonts w:cs="Times New Roman" w:hint="eastAsia"/>
          <w:snapToGrid w:val="0"/>
          <w:color w:val="000000"/>
          <w:szCs w:val="24"/>
        </w:rPr>
        <w:t>-</w:t>
      </w:r>
      <w:r>
        <w:rPr>
          <w:rFonts w:cs="Times New Roman"/>
          <w:snapToGrid w:val="0"/>
          <w:color w:val="000000"/>
          <w:szCs w:val="24"/>
        </w:rPr>
        <w:t>4</w:t>
      </w:r>
      <w:r>
        <w:rPr>
          <w:rFonts w:cs="Times New Roman" w:hint="eastAsia"/>
          <w:snapToGrid w:val="0"/>
          <w:color w:val="000000"/>
          <w:szCs w:val="24"/>
        </w:rPr>
        <w:t>.0</w:t>
      </w:r>
      <w:r>
        <w:rPr>
          <w:rFonts w:cs="Times New Roman"/>
          <w:snapToGrid w:val="0"/>
          <w:color w:val="000000"/>
          <w:szCs w:val="24"/>
        </w:rPr>
        <w:t>m</w:t>
      </w:r>
      <w:r>
        <w:rPr>
          <w:rFonts w:cs="Times New Roman" w:hint="eastAsia"/>
          <w:snapToGrid w:val="0"/>
          <w:color w:val="000000"/>
          <w:szCs w:val="24"/>
        </w:rPr>
        <w:t>。航道</w:t>
      </w:r>
      <w:r>
        <w:rPr>
          <w:rFonts w:cs="Times New Roman"/>
          <w:color w:val="000000"/>
          <w:szCs w:val="24"/>
        </w:rPr>
        <w:t>后续疏浚物</w:t>
      </w:r>
      <w:r>
        <w:rPr>
          <w:rFonts w:cs="Times New Roman"/>
          <w:snapToGrid w:val="0"/>
          <w:color w:val="000000"/>
          <w:szCs w:val="24"/>
        </w:rPr>
        <w:t>将用于恢复转运坑地形，不再吹填至后方陆域，</w:t>
      </w:r>
      <w:r>
        <w:rPr>
          <w:rFonts w:cs="Times New Roman" w:hint="eastAsia"/>
          <w:snapToGrid w:val="0"/>
          <w:color w:val="000000"/>
          <w:szCs w:val="24"/>
        </w:rPr>
        <w:t>根据项目实际用海需求</w:t>
      </w:r>
      <w:r>
        <w:rPr>
          <w:rFonts w:cs="Times New Roman"/>
          <w:snapToGrid w:val="0"/>
          <w:color w:val="000000"/>
          <w:szCs w:val="24"/>
        </w:rPr>
        <w:t>，本次申请用海为原转运坑范围，不再申请连接通道和吹泥管道用海。</w:t>
      </w:r>
    </w:p>
    <w:p w14:paraId="61DC9428" w14:textId="620CE575" w:rsidR="00EB6ADA" w:rsidRDefault="00000000">
      <w:pPr>
        <w:pStyle w:val="10"/>
        <w:ind w:firstLine="480"/>
        <w:rPr>
          <w:rFonts w:cs="Times New Roman"/>
        </w:rPr>
      </w:pPr>
      <w:r>
        <w:rPr>
          <w:rFonts w:hint="eastAsia"/>
        </w:rPr>
        <w:t>本项目拟利用航道疏浚物恢复转运坑地形，不涉及填海造地、围海或设置构筑物，拟申请用海面积</w:t>
      </w:r>
      <w:r>
        <w:t>21.9736</w:t>
      </w:r>
      <w:r>
        <w:rPr>
          <w:rFonts w:hint="eastAsia"/>
        </w:rPr>
        <w:t>公顷。参照《海域使用分类》，用海类型为“其他用海”，用海方式界定为“</w:t>
      </w:r>
      <w:r>
        <w:rPr>
          <w:rFonts w:ascii="Calibri" w:hint="eastAsia"/>
        </w:rPr>
        <w:t>航道、锚地及</w:t>
      </w:r>
      <w:r>
        <w:rPr>
          <w:rFonts w:hint="eastAsia"/>
        </w:rPr>
        <w:t>其他开放式”。根据《国土空间调查、规划、用途管制用地用海分类指南》，用海类型为“特殊用海”中的“其他特殊用海”。本次</w:t>
      </w:r>
      <w:r>
        <w:rPr>
          <w:rFonts w:cs="Times New Roman"/>
        </w:rPr>
        <w:t>申请用海期限为</w:t>
      </w:r>
      <w:r>
        <w:rPr>
          <w:rFonts w:cs="Times New Roman"/>
        </w:rPr>
        <w:t>1</w:t>
      </w:r>
      <w:r>
        <w:rPr>
          <w:rFonts w:cs="Times New Roman"/>
        </w:rPr>
        <w:t>年。</w:t>
      </w:r>
    </w:p>
    <w:p w14:paraId="662CAD14" w14:textId="77777777" w:rsidR="00EB6ADA" w:rsidRDefault="00000000">
      <w:pPr>
        <w:pStyle w:val="2"/>
        <w:rPr>
          <w:rFonts w:cs="Times New Roman"/>
        </w:rPr>
      </w:pPr>
      <w:bookmarkStart w:id="45" w:name="_Toc224053309"/>
      <w:r>
        <w:rPr>
          <w:rFonts w:cs="Times New Roman" w:hint="eastAsia"/>
        </w:rPr>
        <w:t>8</w:t>
      </w:r>
      <w:r>
        <w:rPr>
          <w:rFonts w:cs="Times New Roman"/>
        </w:rPr>
        <w:t>.2</w:t>
      </w:r>
      <w:r>
        <w:rPr>
          <w:rFonts w:cs="Times New Roman"/>
        </w:rPr>
        <w:t>项目用海必要性结论</w:t>
      </w:r>
      <w:bookmarkEnd w:id="45"/>
    </w:p>
    <w:p w14:paraId="5AF8BD58" w14:textId="0D942EF9" w:rsidR="00EB6ADA" w:rsidRDefault="00000000">
      <w:pPr>
        <w:pStyle w:val="10"/>
        <w:ind w:firstLine="480"/>
        <w:rPr>
          <w:rFonts w:cs="Times New Roman"/>
        </w:rPr>
      </w:pPr>
      <w:r>
        <w:rPr>
          <w:rFonts w:cs="Times New Roman"/>
        </w:rPr>
        <w:t>本项目作为泉州围头湾石井航道二期工程的配套项目</w:t>
      </w:r>
      <w:r>
        <w:rPr>
          <w:rFonts w:cs="Times New Roman" w:hint="eastAsia"/>
        </w:rPr>
        <w:t>，石井航道二期工程</w:t>
      </w:r>
      <w:r>
        <w:rPr>
          <w:rFonts w:cs="Times New Roman"/>
        </w:rPr>
        <w:t>后续施工的疏浚物将抛至现有转运坑，用于恢复转运坑的地形，不再吹填至后方陆域。本工程是</w:t>
      </w:r>
      <w:r>
        <w:rPr>
          <w:rFonts w:cs="Times New Roman" w:hint="eastAsia"/>
        </w:rPr>
        <w:t>石井</w:t>
      </w:r>
      <w:r>
        <w:rPr>
          <w:rFonts w:cs="Times New Roman"/>
        </w:rPr>
        <w:t>航道二期工程疏浚物妥善处置，保证航道工程后续清淤工作顺利推进的需要；同时也是转运坑地形恢复的需要。</w:t>
      </w:r>
      <w:r>
        <w:rPr>
          <w:rFonts w:hint="eastAsia"/>
        </w:rPr>
        <w:t>航道疏浚物拟采用抛泥船运至转运坑抛掷，抛泥作业需要占用海域，</w:t>
      </w:r>
      <w:r w:rsidR="004002F0">
        <w:rPr>
          <w:rFonts w:hint="eastAsia"/>
        </w:rPr>
        <w:t>并</w:t>
      </w:r>
      <w:r>
        <w:rPr>
          <w:rFonts w:hint="eastAsia"/>
        </w:rPr>
        <w:t>且具有一定排他性，项目用海是必要的。</w:t>
      </w:r>
    </w:p>
    <w:p w14:paraId="1384B416" w14:textId="77777777" w:rsidR="00EB6ADA" w:rsidRDefault="00000000">
      <w:pPr>
        <w:pStyle w:val="2"/>
        <w:rPr>
          <w:rFonts w:cs="Times New Roman"/>
        </w:rPr>
      </w:pPr>
      <w:bookmarkStart w:id="46" w:name="_Toc224053310"/>
      <w:r>
        <w:rPr>
          <w:rFonts w:cs="Times New Roman" w:hint="eastAsia"/>
        </w:rPr>
        <w:t>8</w:t>
      </w:r>
      <w:r>
        <w:rPr>
          <w:rFonts w:cs="Times New Roman"/>
        </w:rPr>
        <w:t>.3</w:t>
      </w:r>
      <w:r>
        <w:rPr>
          <w:rFonts w:cs="Times New Roman"/>
        </w:rPr>
        <w:t>项目用海资源生态影响分析结论</w:t>
      </w:r>
      <w:bookmarkEnd w:id="46"/>
    </w:p>
    <w:p w14:paraId="64FD5EAC" w14:textId="3A0ABCC8" w:rsidR="00EB6ADA" w:rsidRDefault="00000000">
      <w:pPr>
        <w:pStyle w:val="10"/>
        <w:ind w:firstLine="480"/>
        <w:rPr>
          <w:rFonts w:cs="Times New Roman"/>
        </w:rPr>
      </w:pPr>
      <w:r>
        <w:rPr>
          <w:rFonts w:cs="Times New Roman"/>
        </w:rPr>
        <w:t>本项目不涉及岸线，不涉及重要湿地及一般湿地名录。根据数模计算结果，转运坑的地形恢复对周边地形地貌及冲淤环境影响较小，后续施工对环境的影响主要体现在施工期悬浮</w:t>
      </w:r>
      <w:r>
        <w:rPr>
          <w:rFonts w:cs="Times New Roman"/>
        </w:rPr>
        <w:lastRenderedPageBreak/>
        <w:t>泥沙入海及疏浚物抛掷对海洋生物资源的影响，造成浮游植物、浮游动物、鱼卵、仔稚鱼、游泳动物、底栖生物损失量分别为</w:t>
      </w:r>
      <w:r>
        <w:rPr>
          <w:rFonts w:cs="Times New Roman"/>
        </w:rPr>
        <w:t>4.72×10</w:t>
      </w:r>
      <w:r>
        <w:rPr>
          <w:rFonts w:cs="Times New Roman"/>
          <w:vertAlign w:val="superscript"/>
        </w:rPr>
        <w:t>12</w:t>
      </w:r>
      <w:r>
        <w:rPr>
          <w:rFonts w:cs="Times New Roman"/>
        </w:rPr>
        <w:t>cells</w:t>
      </w:r>
      <w:r>
        <w:rPr>
          <w:rFonts w:cs="Times New Roman"/>
        </w:rPr>
        <w:t>、</w:t>
      </w:r>
      <w:r>
        <w:rPr>
          <w:rFonts w:cs="Times New Roman"/>
        </w:rPr>
        <w:t>12.33t</w:t>
      </w:r>
      <w:r>
        <w:rPr>
          <w:rFonts w:cs="Times New Roman"/>
        </w:rPr>
        <w:t>、</w:t>
      </w:r>
      <w:r>
        <w:rPr>
          <w:rFonts w:cs="Times New Roman"/>
        </w:rPr>
        <w:t>4.72×10</w:t>
      </w:r>
      <w:r>
        <w:rPr>
          <w:rFonts w:cs="Times New Roman"/>
          <w:vertAlign w:val="superscript"/>
        </w:rPr>
        <w:t>7</w:t>
      </w:r>
      <w:r>
        <w:rPr>
          <w:rFonts w:cs="Times New Roman"/>
        </w:rPr>
        <w:t>ind.</w:t>
      </w:r>
      <w:r>
        <w:rPr>
          <w:rFonts w:cs="Times New Roman"/>
        </w:rPr>
        <w:t>、</w:t>
      </w:r>
      <w:r>
        <w:rPr>
          <w:rFonts w:cs="Times New Roman"/>
        </w:rPr>
        <w:t>9.73×10</w:t>
      </w:r>
      <w:r>
        <w:rPr>
          <w:rFonts w:cs="Times New Roman"/>
          <w:vertAlign w:val="superscript"/>
        </w:rPr>
        <w:t>6</w:t>
      </w:r>
      <w:r>
        <w:rPr>
          <w:rFonts w:cs="Times New Roman"/>
        </w:rPr>
        <w:t>尾、</w:t>
      </w:r>
      <w:r>
        <w:rPr>
          <w:rFonts w:cs="Times New Roman"/>
        </w:rPr>
        <w:t>1.03t</w:t>
      </w:r>
      <w:r>
        <w:rPr>
          <w:rFonts w:cs="Times New Roman"/>
        </w:rPr>
        <w:t>、</w:t>
      </w:r>
      <w:r>
        <w:rPr>
          <w:rFonts w:cs="Times New Roman"/>
        </w:rPr>
        <w:t>5.68t</w:t>
      </w:r>
      <w:r>
        <w:rPr>
          <w:rFonts w:cs="Times New Roman"/>
        </w:rPr>
        <w:t>。</w:t>
      </w:r>
      <w:r>
        <w:rPr>
          <w:rFonts w:cs="Times New Roman" w:hint="eastAsia"/>
        </w:rPr>
        <w:t>船舶航行及水下噪声会对临近海域的中华白海豚产生一定影响，应做好中华白海豚保护措施。</w:t>
      </w:r>
    </w:p>
    <w:p w14:paraId="6725CC8A" w14:textId="77777777" w:rsidR="00EB6ADA" w:rsidRDefault="00000000">
      <w:pPr>
        <w:pStyle w:val="2"/>
        <w:rPr>
          <w:rFonts w:cs="Times New Roman"/>
        </w:rPr>
      </w:pPr>
      <w:bookmarkStart w:id="47" w:name="_Toc224053311"/>
      <w:r>
        <w:rPr>
          <w:rFonts w:cs="Times New Roman" w:hint="eastAsia"/>
        </w:rPr>
        <w:t>8</w:t>
      </w:r>
      <w:r>
        <w:rPr>
          <w:rFonts w:cs="Times New Roman"/>
        </w:rPr>
        <w:t>.4</w:t>
      </w:r>
      <w:r>
        <w:rPr>
          <w:rFonts w:cs="Times New Roman"/>
        </w:rPr>
        <w:t>海域开发利用协调分析结论</w:t>
      </w:r>
      <w:bookmarkEnd w:id="47"/>
    </w:p>
    <w:p w14:paraId="3024C517" w14:textId="77777777" w:rsidR="00EB6ADA" w:rsidRDefault="00000000">
      <w:pPr>
        <w:pStyle w:val="10"/>
        <w:ind w:firstLine="480"/>
        <w:rPr>
          <w:rFonts w:cs="Times New Roman"/>
        </w:rPr>
      </w:pPr>
      <w:r>
        <w:rPr>
          <w:rFonts w:cs="Times New Roman"/>
        </w:rPr>
        <w:t>本项目利益相关者为</w:t>
      </w:r>
      <w:r w:rsidRPr="00A3460E">
        <w:rPr>
          <w:rFonts w:ascii="宋体" w:hAnsi="宋体" w:cs="Times New Roman"/>
        </w:rPr>
        <w:t>“</w:t>
      </w:r>
      <w:r w:rsidRPr="00A3460E">
        <w:rPr>
          <w:rFonts w:ascii="宋体" w:hAnsi="宋体" w:cs="Times New Roman" w:hint="eastAsia"/>
        </w:rPr>
        <w:t>菊江村海水养殖户</w:t>
      </w:r>
      <w:r w:rsidRPr="00A3460E">
        <w:rPr>
          <w:rFonts w:ascii="宋体" w:hAnsi="宋体" w:cs="Times New Roman"/>
        </w:rPr>
        <w:t>”</w:t>
      </w:r>
      <w:r>
        <w:rPr>
          <w:rFonts w:cs="Times New Roman"/>
        </w:rPr>
        <w:t>，施工前应发布施工公告，施工过程应妥善处理与海水养殖户的关系；需协调部门为</w:t>
      </w:r>
      <w:r>
        <w:rPr>
          <w:rFonts w:cs="Times New Roman"/>
        </w:rPr>
        <w:t>“</w:t>
      </w:r>
      <w:r>
        <w:rPr>
          <w:rFonts w:cs="Times New Roman"/>
        </w:rPr>
        <w:t>泉州海事局</w:t>
      </w:r>
      <w:r>
        <w:rPr>
          <w:rFonts w:cs="Times New Roman"/>
        </w:rPr>
        <w:t>”</w:t>
      </w:r>
      <w:r>
        <w:rPr>
          <w:rFonts w:cs="Times New Roman"/>
        </w:rPr>
        <w:t>，</w:t>
      </w:r>
      <w:r>
        <w:rPr>
          <w:rFonts w:cs="Times New Roman"/>
          <w:kern w:val="0"/>
        </w:rPr>
        <w:t>建设单位应在施工前将施工方案和通航方案报送泉州海事局，并合理安排通航，提前发布航行通告，做好施工船舶和</w:t>
      </w:r>
      <w:r>
        <w:rPr>
          <w:rFonts w:cs="Times New Roman" w:hint="eastAsia"/>
          <w:kern w:val="0"/>
        </w:rPr>
        <w:t>航道往来</w:t>
      </w:r>
      <w:r>
        <w:rPr>
          <w:rFonts w:cs="Times New Roman"/>
          <w:kern w:val="0"/>
        </w:rPr>
        <w:t>船舶的避让工作。</w:t>
      </w:r>
    </w:p>
    <w:p w14:paraId="0DA9DFF8" w14:textId="77777777" w:rsidR="00EB6ADA" w:rsidRDefault="00000000">
      <w:pPr>
        <w:pStyle w:val="2"/>
        <w:rPr>
          <w:rFonts w:cs="Times New Roman"/>
        </w:rPr>
      </w:pPr>
      <w:bookmarkStart w:id="48" w:name="_Toc224053312"/>
      <w:r>
        <w:rPr>
          <w:rFonts w:cs="Times New Roman" w:hint="eastAsia"/>
        </w:rPr>
        <w:t>8</w:t>
      </w:r>
      <w:r>
        <w:rPr>
          <w:rFonts w:cs="Times New Roman"/>
        </w:rPr>
        <w:t>.5</w:t>
      </w:r>
      <w:r>
        <w:rPr>
          <w:rFonts w:cs="Times New Roman"/>
        </w:rPr>
        <w:t>项目用海与国土空间规划及相关规划符合性分析结论</w:t>
      </w:r>
      <w:bookmarkEnd w:id="48"/>
    </w:p>
    <w:p w14:paraId="4901F40D" w14:textId="48F912BB" w:rsidR="00EB6ADA" w:rsidRDefault="00000000">
      <w:pPr>
        <w:pStyle w:val="10"/>
        <w:ind w:firstLine="480"/>
        <w:rPr>
          <w:rFonts w:cs="Times New Roman"/>
        </w:rPr>
      </w:pPr>
      <w:r>
        <w:rPr>
          <w:rFonts w:cs="Times New Roman"/>
        </w:rPr>
        <w:t>本项目选址于围头湾海域，位于国土空间规划中的</w:t>
      </w:r>
      <w:r w:rsidRPr="00A3460E">
        <w:rPr>
          <w:rFonts w:ascii="宋体" w:hAnsi="宋体" w:cs="Times New Roman"/>
        </w:rPr>
        <w:t>“</w:t>
      </w:r>
      <w:r w:rsidRPr="00A3460E">
        <w:rPr>
          <w:rFonts w:ascii="宋体" w:hAnsi="宋体" w:cs="Times New Roman" w:hint="eastAsia"/>
        </w:rPr>
        <w:t>渔业用海区</w:t>
      </w:r>
      <w:r w:rsidRPr="00A3460E">
        <w:rPr>
          <w:rFonts w:ascii="宋体" w:hAnsi="宋体" w:cs="Times New Roman"/>
        </w:rPr>
        <w:t>”</w:t>
      </w:r>
      <w:r>
        <w:rPr>
          <w:rFonts w:cs="Times New Roman"/>
        </w:rPr>
        <w:t>，项目用海</w:t>
      </w:r>
      <w:r>
        <w:rPr>
          <w:rFonts w:hint="eastAsia"/>
        </w:rPr>
        <w:t>不改变海域的自然属性，与现状养殖活动具备协调途径，</w:t>
      </w:r>
      <w:r>
        <w:rPr>
          <w:rFonts w:cs="Times New Roman" w:hint="eastAsia"/>
        </w:rPr>
        <w:t>符合</w:t>
      </w:r>
      <w:r>
        <w:rPr>
          <w:rFonts w:cs="Times New Roman"/>
        </w:rPr>
        <w:t>《福建省国土空间规划（</w:t>
      </w:r>
      <w:r>
        <w:rPr>
          <w:rFonts w:cs="Times New Roman"/>
        </w:rPr>
        <w:t>2021—2035</w:t>
      </w:r>
      <w:r>
        <w:rPr>
          <w:rFonts w:cs="Times New Roman"/>
        </w:rPr>
        <w:t>年）》《福建省海岸带及海洋空间规划（</w:t>
      </w:r>
      <w:r>
        <w:rPr>
          <w:rFonts w:cs="Times New Roman"/>
        </w:rPr>
        <w:t>2021—2035</w:t>
      </w:r>
      <w:r>
        <w:rPr>
          <w:rFonts w:cs="Times New Roman"/>
        </w:rPr>
        <w:t>年）》《泉州市国土空间总体规划（</w:t>
      </w:r>
      <w:r>
        <w:rPr>
          <w:rFonts w:cs="Times New Roman"/>
        </w:rPr>
        <w:t>2021—2035</w:t>
      </w:r>
      <w:r>
        <w:rPr>
          <w:rFonts w:cs="Times New Roman"/>
        </w:rPr>
        <w:t>年）》《南安市国土空间总体规划（</w:t>
      </w:r>
      <w:r>
        <w:rPr>
          <w:rFonts w:cs="Times New Roman"/>
        </w:rPr>
        <w:t>2021—2035</w:t>
      </w:r>
      <w:r>
        <w:rPr>
          <w:rFonts w:cs="Times New Roman"/>
        </w:rPr>
        <w:t>年）》。项目</w:t>
      </w:r>
      <w:r>
        <w:rPr>
          <w:rFonts w:cs="Times New Roman"/>
          <w:szCs w:val="24"/>
        </w:rPr>
        <w:t>与《泉州港总体规划（</w:t>
      </w:r>
      <w:r>
        <w:rPr>
          <w:rFonts w:cs="Times New Roman"/>
          <w:szCs w:val="24"/>
        </w:rPr>
        <w:t>2020-2035</w:t>
      </w:r>
      <w:r>
        <w:rPr>
          <w:rFonts w:cs="Times New Roman"/>
          <w:szCs w:val="24"/>
        </w:rPr>
        <w:t>年）》</w:t>
      </w:r>
      <w:r>
        <w:rPr>
          <w:rFonts w:cs="Times New Roman"/>
          <w:snapToGrid w:val="0"/>
          <w:kern w:val="0"/>
        </w:rPr>
        <w:t>《福建省</w:t>
      </w:r>
      <w:r>
        <w:rPr>
          <w:rFonts w:cs="Times New Roman"/>
          <w:snapToGrid w:val="0"/>
          <w:kern w:val="0"/>
        </w:rPr>
        <w:t>“</w:t>
      </w:r>
      <w:r>
        <w:rPr>
          <w:rFonts w:cs="Times New Roman"/>
          <w:snapToGrid w:val="0"/>
          <w:kern w:val="0"/>
        </w:rPr>
        <w:t>十四五</w:t>
      </w:r>
      <w:r>
        <w:rPr>
          <w:rFonts w:cs="Times New Roman"/>
          <w:snapToGrid w:val="0"/>
          <w:kern w:val="0"/>
        </w:rPr>
        <w:t>”</w:t>
      </w:r>
      <w:r>
        <w:rPr>
          <w:rFonts w:cs="Times New Roman"/>
          <w:snapToGrid w:val="0"/>
          <w:kern w:val="0"/>
        </w:rPr>
        <w:t>海洋生态环境保护规划》《南安市养殖水域滩涂规划（修编）（</w:t>
      </w:r>
      <w:r>
        <w:rPr>
          <w:rFonts w:cs="Times New Roman"/>
          <w:snapToGrid w:val="0"/>
          <w:kern w:val="0"/>
        </w:rPr>
        <w:t>2018-2030</w:t>
      </w:r>
      <w:r>
        <w:rPr>
          <w:rFonts w:cs="Times New Roman"/>
          <w:snapToGrid w:val="0"/>
          <w:kern w:val="0"/>
        </w:rPr>
        <w:t>）》</w:t>
      </w:r>
      <w:r>
        <w:rPr>
          <w:rFonts w:cs="Times New Roman" w:hint="eastAsia"/>
          <w:snapToGrid w:val="0"/>
          <w:kern w:val="0"/>
        </w:rPr>
        <w:t>等相关规划</w:t>
      </w:r>
      <w:r>
        <w:rPr>
          <w:rFonts w:cs="Times New Roman"/>
          <w:szCs w:val="24"/>
        </w:rPr>
        <w:t>不冲突</w:t>
      </w:r>
      <w:r>
        <w:rPr>
          <w:rFonts w:cs="Times New Roman"/>
          <w:snapToGrid w:val="0"/>
          <w:kern w:val="0"/>
        </w:rPr>
        <w:t>。</w:t>
      </w:r>
    </w:p>
    <w:p w14:paraId="6AFC7115" w14:textId="77777777" w:rsidR="00EB6ADA" w:rsidRDefault="00000000">
      <w:pPr>
        <w:pStyle w:val="2"/>
        <w:rPr>
          <w:rFonts w:cs="Times New Roman"/>
        </w:rPr>
      </w:pPr>
      <w:bookmarkStart w:id="49" w:name="_Toc224053313"/>
      <w:r>
        <w:rPr>
          <w:rFonts w:cs="Times New Roman" w:hint="eastAsia"/>
        </w:rPr>
        <w:t>8</w:t>
      </w:r>
      <w:r>
        <w:rPr>
          <w:rFonts w:cs="Times New Roman"/>
        </w:rPr>
        <w:t>.6</w:t>
      </w:r>
      <w:r>
        <w:rPr>
          <w:rFonts w:cs="Times New Roman"/>
        </w:rPr>
        <w:t>项目用海合理性分析结论</w:t>
      </w:r>
      <w:bookmarkEnd w:id="49"/>
    </w:p>
    <w:p w14:paraId="718B3514" w14:textId="70FD6C6A" w:rsidR="00EB6ADA" w:rsidRDefault="00000000">
      <w:pPr>
        <w:pStyle w:val="10"/>
        <w:ind w:firstLine="480"/>
      </w:pPr>
      <w:r>
        <w:rPr>
          <w:rFonts w:ascii="Calibri" w:hint="eastAsia"/>
        </w:rPr>
        <w:t>泉州围头湾石井</w:t>
      </w:r>
      <w:r>
        <w:rPr>
          <w:rFonts w:hint="eastAsia"/>
        </w:rPr>
        <w:t>航道二期工程疏浚物综合处置配套项目于</w:t>
      </w:r>
      <w:r>
        <w:rPr>
          <w:rFonts w:hint="eastAsia"/>
        </w:rPr>
        <w:t>2020</w:t>
      </w:r>
      <w:r>
        <w:rPr>
          <w:rFonts w:hint="eastAsia"/>
        </w:rPr>
        <w:t>年</w:t>
      </w:r>
      <w:r>
        <w:rPr>
          <w:rFonts w:hint="eastAsia"/>
        </w:rPr>
        <w:t>1</w:t>
      </w:r>
      <w:r>
        <w:rPr>
          <w:rFonts w:hint="eastAsia"/>
        </w:rPr>
        <w:t>月取得用海权证，结合航道二期工程施工进程，已完成疏浚物中转服务。本次申请用海旨在利用航道后续施工的疏浚物恢复转运坑地形，用海选址具有唯一性；转运坑平面布置能满足施工船舶进出、抛泥的需求，用海平面布置合理。本次申请用海不涉及填海造地、围海或设置构筑物，用海方式为“开放式”中的“专用航道、锚地及其他开放式”，用海方式界定合理。本次仅申请原转运坑范围，不再申请连接通道和吹泥管道用海，可以满足石井航道二期疏浚物卸泥需求；用海边界结合转运坑设计断面，用海界定至转运坑边缘的坡顶线，符合《海籍调查规范》，用海面积合理。泉州围头湾石井航道二期工程主航道后续疏浚工期约</w:t>
      </w:r>
      <w:r>
        <w:rPr>
          <w:rFonts w:hint="eastAsia"/>
        </w:rPr>
        <w:t>6</w:t>
      </w:r>
      <w:r>
        <w:rPr>
          <w:rFonts w:hint="eastAsia"/>
        </w:rPr>
        <w:t>个月，考虑恶劣天气等不确定因素，申请用海期限为</w:t>
      </w:r>
      <w:r>
        <w:rPr>
          <w:rFonts w:hint="eastAsia"/>
        </w:rPr>
        <w:t>12</w:t>
      </w:r>
      <w:r>
        <w:rPr>
          <w:rFonts w:hint="eastAsia"/>
        </w:rPr>
        <w:t>个月。作为围头湾石井航道二期工程的配套项目，本项目用海期限主要根据航道施工工期确定，申请用海期限</w:t>
      </w:r>
      <w:r>
        <w:rPr>
          <w:rFonts w:hint="eastAsia"/>
        </w:rPr>
        <w:t>12</w:t>
      </w:r>
      <w:r>
        <w:rPr>
          <w:rFonts w:hint="eastAsia"/>
        </w:rPr>
        <w:t>个月，用海期限界定合理。</w:t>
      </w:r>
    </w:p>
    <w:p w14:paraId="04802340" w14:textId="77777777" w:rsidR="00EB6ADA" w:rsidRDefault="00000000" w:rsidP="00A3460E">
      <w:pPr>
        <w:pStyle w:val="2"/>
        <w:keepLines w:val="0"/>
        <w:rPr>
          <w:rFonts w:cs="Times New Roman"/>
        </w:rPr>
      </w:pPr>
      <w:bookmarkStart w:id="50" w:name="_Toc224053314"/>
      <w:r>
        <w:rPr>
          <w:rFonts w:cs="Times New Roman" w:hint="eastAsia"/>
        </w:rPr>
        <w:t>8</w:t>
      </w:r>
      <w:r>
        <w:rPr>
          <w:rFonts w:cs="Times New Roman"/>
        </w:rPr>
        <w:t>.7</w:t>
      </w:r>
      <w:r>
        <w:rPr>
          <w:rFonts w:cs="Times New Roman"/>
        </w:rPr>
        <w:t>项目用海可行性结论</w:t>
      </w:r>
      <w:bookmarkEnd w:id="50"/>
    </w:p>
    <w:p w14:paraId="14E5AD43" w14:textId="46AC7658" w:rsidR="00EB6ADA" w:rsidRDefault="00000000" w:rsidP="00A3460E">
      <w:pPr>
        <w:pStyle w:val="10"/>
        <w:ind w:firstLine="480"/>
        <w:outlineLvl w:val="0"/>
        <w:rPr>
          <w:rFonts w:cs="Times New Roman"/>
        </w:rPr>
      </w:pPr>
      <w:r>
        <w:rPr>
          <w:rFonts w:cs="Times New Roman"/>
        </w:rPr>
        <w:t>本工程用海申请理由充分，用海面积和用海期限合理，与周边自然条件和社会条件相适</w:t>
      </w:r>
      <w:r>
        <w:rPr>
          <w:rFonts w:cs="Times New Roman"/>
        </w:rPr>
        <w:lastRenderedPageBreak/>
        <w:t>宜，不占用岸线，对海洋资源环境影响是短期的暂时性影响，与周边开发活动可协调，符合国土空间规划。从海域使用管理角度，项目用海可行。</w:t>
      </w:r>
    </w:p>
    <w:sectPr w:rsidR="00EB6ADA">
      <w:pgSz w:w="11906" w:h="16838"/>
      <w:pgMar w:top="1134" w:right="1134" w:bottom="1134" w:left="1134" w:header="851"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1328E" w14:textId="77777777" w:rsidR="00526EC0" w:rsidRDefault="00526EC0">
      <w:pPr>
        <w:rPr>
          <w:rFonts w:hint="eastAsia"/>
        </w:rPr>
      </w:pPr>
      <w:r>
        <w:separator/>
      </w:r>
    </w:p>
  </w:endnote>
  <w:endnote w:type="continuationSeparator" w:id="0">
    <w:p w14:paraId="0E43349D" w14:textId="77777777" w:rsidR="00526EC0" w:rsidRDefault="00526EC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4823892"/>
    </w:sdtPr>
    <w:sdtContent>
      <w:p w14:paraId="35540318" w14:textId="77777777" w:rsidR="00EB6ADA" w:rsidRDefault="00000000">
        <w:pPr>
          <w:pStyle w:val="a6"/>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4D19" w14:textId="44EBA881" w:rsidR="00EB6ADA" w:rsidRDefault="00000000" w:rsidP="002A7A8A">
    <w:pPr>
      <w:pStyle w:val="a6"/>
      <w:jc w:val="center"/>
      <w:rPr>
        <w:rFonts w:hint="eastAsia"/>
      </w:rPr>
    </w:pPr>
    <w:sdt>
      <w:sdtPr>
        <w:id w:val="-1735457793"/>
      </w:sdtPr>
      <w:sdtContent>
        <w:r w:rsidR="002A7A8A">
          <w:fldChar w:fldCharType="begin"/>
        </w:r>
        <w:r w:rsidR="002A7A8A">
          <w:instrText>PAGE   \* MERGEFORMAT</w:instrText>
        </w:r>
        <w:r w:rsidR="002A7A8A">
          <w:fldChar w:fldCharType="separate"/>
        </w:r>
        <w:r w:rsidR="002A7A8A">
          <w:rPr>
            <w:rFonts w:hint="eastAsia"/>
          </w:rPr>
          <w:t>II</w:t>
        </w:r>
        <w:r w:rsidR="002A7A8A">
          <w:fldChar w:fldCharType="end"/>
        </w:r>
      </w:sdtContent>
    </w:sdt>
  </w:p>
  <w:p w14:paraId="2B146722" w14:textId="778C92E8" w:rsidR="00EB6ADA" w:rsidRDefault="00EB6ADA" w:rsidP="002A7A8A">
    <w:pPr>
      <w:pStyle w:val="a6"/>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447B" w14:textId="77777777" w:rsidR="00EB6ADA" w:rsidRDefault="00000000">
    <w:pPr>
      <w:pStyle w:val="a6"/>
      <w:jc w:val="center"/>
      <w:rPr>
        <w:rFonts w:hint="eastAsia"/>
      </w:rPr>
    </w:pPr>
    <w:r>
      <w:fldChar w:fldCharType="begin"/>
    </w:r>
    <w:r>
      <w:instrText>PAGE   \* MERGEFORMAT</w:instrText>
    </w:r>
    <w:r>
      <w:fldChar w:fldCharType="separate"/>
    </w:r>
    <w:r>
      <w:rPr>
        <w:lang w:val="zh-CN"/>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D2FF" w14:textId="77777777" w:rsidR="00EB6ADA" w:rsidRPr="00A3460E" w:rsidRDefault="00000000" w:rsidP="00A3460E">
    <w:pPr>
      <w:pStyle w:val="a6"/>
      <w:jc w:val="center"/>
      <w:rPr>
        <w:rFonts w:hint="eastAsia"/>
        <w:lang w:val="zh-CN"/>
      </w:rPr>
    </w:pPr>
    <w:r w:rsidRPr="00A3460E">
      <w:rPr>
        <w:lang w:val="zh-CN"/>
      </w:rPr>
      <w:fldChar w:fldCharType="begin"/>
    </w:r>
    <w:r w:rsidRPr="00A3460E">
      <w:rPr>
        <w:lang w:val="zh-CN"/>
      </w:rPr>
      <w:instrText xml:space="preserve"> PAGE   \* MERGEFORMAT </w:instrText>
    </w:r>
    <w:r w:rsidRPr="00A3460E">
      <w:rPr>
        <w:lang w:val="zh-CN"/>
      </w:rPr>
      <w:fldChar w:fldCharType="separate"/>
    </w:r>
    <w:r w:rsidRPr="00A3460E">
      <w:rPr>
        <w:lang w:val="zh-CN"/>
      </w:rPr>
      <w:t>108</w:t>
    </w:r>
    <w:r w:rsidRPr="00A3460E">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117A7" w14:textId="77777777" w:rsidR="00526EC0" w:rsidRDefault="00526EC0">
      <w:pPr>
        <w:rPr>
          <w:rFonts w:hint="eastAsia"/>
        </w:rPr>
      </w:pPr>
      <w:r>
        <w:separator/>
      </w:r>
    </w:p>
  </w:footnote>
  <w:footnote w:type="continuationSeparator" w:id="0">
    <w:p w14:paraId="59CD8F2F" w14:textId="77777777" w:rsidR="00526EC0" w:rsidRDefault="00526EC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E229" w14:textId="77777777" w:rsidR="00EB6ADA" w:rsidRDefault="00EB6ADA">
    <w:pPr>
      <w:pStyle w:val="a8"/>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7202F7"/>
    <w:multiLevelType w:val="singleLevel"/>
    <w:tmpl w:val="9A7202F7"/>
    <w:lvl w:ilvl="0">
      <w:start w:val="1"/>
      <w:numFmt w:val="decimal"/>
      <w:suff w:val="nothing"/>
      <w:lvlText w:val="（%1）"/>
      <w:lvlJc w:val="left"/>
    </w:lvl>
  </w:abstractNum>
  <w:abstractNum w:abstractNumId="1" w15:restartNumberingAfterBreak="0">
    <w:nsid w:val="50A2CDE4"/>
    <w:multiLevelType w:val="singleLevel"/>
    <w:tmpl w:val="50A2CDE4"/>
    <w:lvl w:ilvl="0">
      <w:start w:val="1"/>
      <w:numFmt w:val="decimal"/>
      <w:suff w:val="nothing"/>
      <w:lvlText w:val="（%1）"/>
      <w:lvlJc w:val="left"/>
    </w:lvl>
  </w:abstractNum>
  <w:num w:numId="1" w16cid:durableId="851334693">
    <w:abstractNumId w:val="1"/>
  </w:num>
  <w:num w:numId="2" w16cid:durableId="50622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00C"/>
    <w:rsid w:val="00002BE9"/>
    <w:rsid w:val="000060C7"/>
    <w:rsid w:val="000107A4"/>
    <w:rsid w:val="00010EF9"/>
    <w:rsid w:val="00013CCF"/>
    <w:rsid w:val="00015C21"/>
    <w:rsid w:val="00024813"/>
    <w:rsid w:val="00025A1A"/>
    <w:rsid w:val="00031F88"/>
    <w:rsid w:val="0004086A"/>
    <w:rsid w:val="000460EC"/>
    <w:rsid w:val="00051607"/>
    <w:rsid w:val="00062551"/>
    <w:rsid w:val="00064BE2"/>
    <w:rsid w:val="00075CAF"/>
    <w:rsid w:val="00076336"/>
    <w:rsid w:val="0007712C"/>
    <w:rsid w:val="0009275A"/>
    <w:rsid w:val="000A06C4"/>
    <w:rsid w:val="000A716F"/>
    <w:rsid w:val="000B430D"/>
    <w:rsid w:val="000C1179"/>
    <w:rsid w:val="000C1EA7"/>
    <w:rsid w:val="000C3683"/>
    <w:rsid w:val="000C44E9"/>
    <w:rsid w:val="000C58DC"/>
    <w:rsid w:val="000C7449"/>
    <w:rsid w:val="000D1F2E"/>
    <w:rsid w:val="000D46AB"/>
    <w:rsid w:val="000D7F88"/>
    <w:rsid w:val="000E0798"/>
    <w:rsid w:val="000E14C6"/>
    <w:rsid w:val="000E7A5F"/>
    <w:rsid w:val="000F16C6"/>
    <w:rsid w:val="000F40A8"/>
    <w:rsid w:val="000F6E3F"/>
    <w:rsid w:val="00103FDA"/>
    <w:rsid w:val="00121579"/>
    <w:rsid w:val="001216DD"/>
    <w:rsid w:val="0012234F"/>
    <w:rsid w:val="00122A16"/>
    <w:rsid w:val="00122D06"/>
    <w:rsid w:val="001248DC"/>
    <w:rsid w:val="0013409E"/>
    <w:rsid w:val="00136484"/>
    <w:rsid w:val="001460B8"/>
    <w:rsid w:val="00147000"/>
    <w:rsid w:val="0015361E"/>
    <w:rsid w:val="00154CF3"/>
    <w:rsid w:val="00157C73"/>
    <w:rsid w:val="00162C40"/>
    <w:rsid w:val="001812A4"/>
    <w:rsid w:val="00182FDD"/>
    <w:rsid w:val="0018545B"/>
    <w:rsid w:val="00197F65"/>
    <w:rsid w:val="001A5B1B"/>
    <w:rsid w:val="001C2019"/>
    <w:rsid w:val="001C33F8"/>
    <w:rsid w:val="001C5D21"/>
    <w:rsid w:val="001C6D0D"/>
    <w:rsid w:val="001C7A3D"/>
    <w:rsid w:val="001C7E74"/>
    <w:rsid w:val="001E49B2"/>
    <w:rsid w:val="001F09A4"/>
    <w:rsid w:val="001F581B"/>
    <w:rsid w:val="001F741A"/>
    <w:rsid w:val="0020025A"/>
    <w:rsid w:val="00201E97"/>
    <w:rsid w:val="00207E52"/>
    <w:rsid w:val="002110D4"/>
    <w:rsid w:val="00216B82"/>
    <w:rsid w:val="00216CA9"/>
    <w:rsid w:val="00216F83"/>
    <w:rsid w:val="00220EBC"/>
    <w:rsid w:val="00225314"/>
    <w:rsid w:val="00231685"/>
    <w:rsid w:val="00232286"/>
    <w:rsid w:val="002356B7"/>
    <w:rsid w:val="0024226E"/>
    <w:rsid w:val="00262CF4"/>
    <w:rsid w:val="0027795C"/>
    <w:rsid w:val="002816A5"/>
    <w:rsid w:val="00287657"/>
    <w:rsid w:val="00290013"/>
    <w:rsid w:val="00293648"/>
    <w:rsid w:val="00297C3B"/>
    <w:rsid w:val="002A2D7A"/>
    <w:rsid w:val="002A4CB7"/>
    <w:rsid w:val="002A7251"/>
    <w:rsid w:val="002A7A8A"/>
    <w:rsid w:val="002B4864"/>
    <w:rsid w:val="002C25F1"/>
    <w:rsid w:val="002C3AFD"/>
    <w:rsid w:val="002C441D"/>
    <w:rsid w:val="002C4D30"/>
    <w:rsid w:val="002C68B4"/>
    <w:rsid w:val="002C71FA"/>
    <w:rsid w:val="002C7543"/>
    <w:rsid w:val="002C7D02"/>
    <w:rsid w:val="002D66C8"/>
    <w:rsid w:val="002E16B1"/>
    <w:rsid w:val="002E4646"/>
    <w:rsid w:val="002E4A28"/>
    <w:rsid w:val="002E7263"/>
    <w:rsid w:val="002F35D2"/>
    <w:rsid w:val="002F7E6E"/>
    <w:rsid w:val="00303EA8"/>
    <w:rsid w:val="003058E8"/>
    <w:rsid w:val="00310B4C"/>
    <w:rsid w:val="0032314E"/>
    <w:rsid w:val="003302CC"/>
    <w:rsid w:val="00333E56"/>
    <w:rsid w:val="00335653"/>
    <w:rsid w:val="003422E7"/>
    <w:rsid w:val="00342AB5"/>
    <w:rsid w:val="0036423C"/>
    <w:rsid w:val="0036716B"/>
    <w:rsid w:val="00370DC9"/>
    <w:rsid w:val="0037543C"/>
    <w:rsid w:val="003759E6"/>
    <w:rsid w:val="003763F8"/>
    <w:rsid w:val="00377DAE"/>
    <w:rsid w:val="00384051"/>
    <w:rsid w:val="003A312F"/>
    <w:rsid w:val="003A5AC5"/>
    <w:rsid w:val="003A6D4D"/>
    <w:rsid w:val="003B72D2"/>
    <w:rsid w:val="003C0165"/>
    <w:rsid w:val="003D3131"/>
    <w:rsid w:val="003D6A57"/>
    <w:rsid w:val="003F001F"/>
    <w:rsid w:val="003F0205"/>
    <w:rsid w:val="003F0707"/>
    <w:rsid w:val="004002F0"/>
    <w:rsid w:val="0040264A"/>
    <w:rsid w:val="00404DEC"/>
    <w:rsid w:val="004102EF"/>
    <w:rsid w:val="00415697"/>
    <w:rsid w:val="004229D6"/>
    <w:rsid w:val="00423302"/>
    <w:rsid w:val="00426338"/>
    <w:rsid w:val="00436A37"/>
    <w:rsid w:val="0043760F"/>
    <w:rsid w:val="00437F52"/>
    <w:rsid w:val="00445A39"/>
    <w:rsid w:val="00446E31"/>
    <w:rsid w:val="004869F5"/>
    <w:rsid w:val="00492AF0"/>
    <w:rsid w:val="004977F1"/>
    <w:rsid w:val="004A18D2"/>
    <w:rsid w:val="004A55CE"/>
    <w:rsid w:val="004B2F91"/>
    <w:rsid w:val="004C32C5"/>
    <w:rsid w:val="004C553F"/>
    <w:rsid w:val="004C6435"/>
    <w:rsid w:val="004D1151"/>
    <w:rsid w:val="004D1B44"/>
    <w:rsid w:val="004D4E37"/>
    <w:rsid w:val="004D5A11"/>
    <w:rsid w:val="004F1063"/>
    <w:rsid w:val="004F1F6B"/>
    <w:rsid w:val="004F22D9"/>
    <w:rsid w:val="004F53F7"/>
    <w:rsid w:val="004F7E23"/>
    <w:rsid w:val="00510E45"/>
    <w:rsid w:val="005120EF"/>
    <w:rsid w:val="005233C3"/>
    <w:rsid w:val="0052400C"/>
    <w:rsid w:val="005249EA"/>
    <w:rsid w:val="00526EC0"/>
    <w:rsid w:val="00530C13"/>
    <w:rsid w:val="005332CF"/>
    <w:rsid w:val="00533681"/>
    <w:rsid w:val="00546802"/>
    <w:rsid w:val="00557881"/>
    <w:rsid w:val="00561633"/>
    <w:rsid w:val="005630E8"/>
    <w:rsid w:val="00572BF1"/>
    <w:rsid w:val="00572E53"/>
    <w:rsid w:val="00580C77"/>
    <w:rsid w:val="0058287A"/>
    <w:rsid w:val="00584513"/>
    <w:rsid w:val="00587861"/>
    <w:rsid w:val="005A738E"/>
    <w:rsid w:val="005B12DB"/>
    <w:rsid w:val="005B297C"/>
    <w:rsid w:val="005B7220"/>
    <w:rsid w:val="005C73FE"/>
    <w:rsid w:val="005D15C9"/>
    <w:rsid w:val="005D7851"/>
    <w:rsid w:val="005E78CE"/>
    <w:rsid w:val="005F4F8A"/>
    <w:rsid w:val="006032C2"/>
    <w:rsid w:val="00603B48"/>
    <w:rsid w:val="00613BF4"/>
    <w:rsid w:val="00614D6D"/>
    <w:rsid w:val="006155CB"/>
    <w:rsid w:val="00621D2E"/>
    <w:rsid w:val="00621D3D"/>
    <w:rsid w:val="00630D33"/>
    <w:rsid w:val="006364A3"/>
    <w:rsid w:val="00646716"/>
    <w:rsid w:val="00647547"/>
    <w:rsid w:val="00656E0D"/>
    <w:rsid w:val="0066443F"/>
    <w:rsid w:val="00674A82"/>
    <w:rsid w:val="00686C2F"/>
    <w:rsid w:val="00687697"/>
    <w:rsid w:val="00690A12"/>
    <w:rsid w:val="006B03D0"/>
    <w:rsid w:val="006B4C27"/>
    <w:rsid w:val="006C2929"/>
    <w:rsid w:val="006C48F6"/>
    <w:rsid w:val="006E12AE"/>
    <w:rsid w:val="006F03A3"/>
    <w:rsid w:val="006F6543"/>
    <w:rsid w:val="007038DF"/>
    <w:rsid w:val="007059C7"/>
    <w:rsid w:val="007142A8"/>
    <w:rsid w:val="00717CD0"/>
    <w:rsid w:val="007234C3"/>
    <w:rsid w:val="0072383B"/>
    <w:rsid w:val="0073103B"/>
    <w:rsid w:val="007312AA"/>
    <w:rsid w:val="00731624"/>
    <w:rsid w:val="0073227A"/>
    <w:rsid w:val="0073439F"/>
    <w:rsid w:val="00750332"/>
    <w:rsid w:val="00760731"/>
    <w:rsid w:val="00760899"/>
    <w:rsid w:val="00761F77"/>
    <w:rsid w:val="0076419B"/>
    <w:rsid w:val="007739DD"/>
    <w:rsid w:val="007756A5"/>
    <w:rsid w:val="007773E3"/>
    <w:rsid w:val="0078108F"/>
    <w:rsid w:val="00782B2F"/>
    <w:rsid w:val="00796475"/>
    <w:rsid w:val="007964BB"/>
    <w:rsid w:val="007B1912"/>
    <w:rsid w:val="007B3C74"/>
    <w:rsid w:val="007B4652"/>
    <w:rsid w:val="007B742B"/>
    <w:rsid w:val="007C4396"/>
    <w:rsid w:val="007C4855"/>
    <w:rsid w:val="007E3951"/>
    <w:rsid w:val="007F2097"/>
    <w:rsid w:val="007F2C12"/>
    <w:rsid w:val="008066E1"/>
    <w:rsid w:val="00810F0D"/>
    <w:rsid w:val="00822963"/>
    <w:rsid w:val="008304E4"/>
    <w:rsid w:val="00830D51"/>
    <w:rsid w:val="008358DE"/>
    <w:rsid w:val="00836830"/>
    <w:rsid w:val="0083795F"/>
    <w:rsid w:val="0086064B"/>
    <w:rsid w:val="00875A7F"/>
    <w:rsid w:val="008760E1"/>
    <w:rsid w:val="0087634C"/>
    <w:rsid w:val="00881CFA"/>
    <w:rsid w:val="00885062"/>
    <w:rsid w:val="008B1EA8"/>
    <w:rsid w:val="008B5C67"/>
    <w:rsid w:val="008C4EB2"/>
    <w:rsid w:val="008D1EB1"/>
    <w:rsid w:val="008E0214"/>
    <w:rsid w:val="008E1D36"/>
    <w:rsid w:val="008E4192"/>
    <w:rsid w:val="008F1F51"/>
    <w:rsid w:val="00905025"/>
    <w:rsid w:val="00921932"/>
    <w:rsid w:val="00926D34"/>
    <w:rsid w:val="0093182F"/>
    <w:rsid w:val="00931CAB"/>
    <w:rsid w:val="00935013"/>
    <w:rsid w:val="00935CDC"/>
    <w:rsid w:val="00940549"/>
    <w:rsid w:val="009452FD"/>
    <w:rsid w:val="00963712"/>
    <w:rsid w:val="00965B73"/>
    <w:rsid w:val="00970EE6"/>
    <w:rsid w:val="00980224"/>
    <w:rsid w:val="00983306"/>
    <w:rsid w:val="00987AE2"/>
    <w:rsid w:val="00991E4B"/>
    <w:rsid w:val="009C1A5E"/>
    <w:rsid w:val="009C25F7"/>
    <w:rsid w:val="009C27F9"/>
    <w:rsid w:val="009C4130"/>
    <w:rsid w:val="009D1F88"/>
    <w:rsid w:val="009D25C6"/>
    <w:rsid w:val="009D39D9"/>
    <w:rsid w:val="009E2EAD"/>
    <w:rsid w:val="009E493B"/>
    <w:rsid w:val="009E6D6F"/>
    <w:rsid w:val="009E738A"/>
    <w:rsid w:val="009F27C4"/>
    <w:rsid w:val="009F3F82"/>
    <w:rsid w:val="009F64D0"/>
    <w:rsid w:val="00A03E5D"/>
    <w:rsid w:val="00A052A1"/>
    <w:rsid w:val="00A105EA"/>
    <w:rsid w:val="00A1082C"/>
    <w:rsid w:val="00A1594D"/>
    <w:rsid w:val="00A15E39"/>
    <w:rsid w:val="00A17269"/>
    <w:rsid w:val="00A21994"/>
    <w:rsid w:val="00A235F9"/>
    <w:rsid w:val="00A3460E"/>
    <w:rsid w:val="00A42107"/>
    <w:rsid w:val="00A50224"/>
    <w:rsid w:val="00A5787F"/>
    <w:rsid w:val="00A6038A"/>
    <w:rsid w:val="00A60CE2"/>
    <w:rsid w:val="00A64461"/>
    <w:rsid w:val="00A73B9E"/>
    <w:rsid w:val="00A77BF3"/>
    <w:rsid w:val="00A8064D"/>
    <w:rsid w:val="00A8149B"/>
    <w:rsid w:val="00A906BB"/>
    <w:rsid w:val="00A913DD"/>
    <w:rsid w:val="00A92916"/>
    <w:rsid w:val="00AA620C"/>
    <w:rsid w:val="00AB1740"/>
    <w:rsid w:val="00AB37BE"/>
    <w:rsid w:val="00AB5D39"/>
    <w:rsid w:val="00AB62CD"/>
    <w:rsid w:val="00AC53F4"/>
    <w:rsid w:val="00AC69B1"/>
    <w:rsid w:val="00AF01B4"/>
    <w:rsid w:val="00AF125A"/>
    <w:rsid w:val="00AF67A6"/>
    <w:rsid w:val="00B0286D"/>
    <w:rsid w:val="00B177A0"/>
    <w:rsid w:val="00B23D98"/>
    <w:rsid w:val="00B26D51"/>
    <w:rsid w:val="00B31F7E"/>
    <w:rsid w:val="00B41531"/>
    <w:rsid w:val="00B468CC"/>
    <w:rsid w:val="00B50B46"/>
    <w:rsid w:val="00B57353"/>
    <w:rsid w:val="00B62056"/>
    <w:rsid w:val="00B62714"/>
    <w:rsid w:val="00B63216"/>
    <w:rsid w:val="00B6677F"/>
    <w:rsid w:val="00B66CEE"/>
    <w:rsid w:val="00B735A2"/>
    <w:rsid w:val="00B764A3"/>
    <w:rsid w:val="00B7673D"/>
    <w:rsid w:val="00B771A9"/>
    <w:rsid w:val="00B80E48"/>
    <w:rsid w:val="00B85C4E"/>
    <w:rsid w:val="00B9135B"/>
    <w:rsid w:val="00B94E55"/>
    <w:rsid w:val="00BC2DF4"/>
    <w:rsid w:val="00BC6EA6"/>
    <w:rsid w:val="00BD11A0"/>
    <w:rsid w:val="00BD5201"/>
    <w:rsid w:val="00BE0886"/>
    <w:rsid w:val="00BE275F"/>
    <w:rsid w:val="00BE7104"/>
    <w:rsid w:val="00C2436C"/>
    <w:rsid w:val="00C321F0"/>
    <w:rsid w:val="00C339B6"/>
    <w:rsid w:val="00C37F3F"/>
    <w:rsid w:val="00C412D4"/>
    <w:rsid w:val="00C444A1"/>
    <w:rsid w:val="00C67A4C"/>
    <w:rsid w:val="00C73C21"/>
    <w:rsid w:val="00C7503F"/>
    <w:rsid w:val="00C7589D"/>
    <w:rsid w:val="00C768AA"/>
    <w:rsid w:val="00C80E6B"/>
    <w:rsid w:val="00C84BFA"/>
    <w:rsid w:val="00C86E83"/>
    <w:rsid w:val="00C936DE"/>
    <w:rsid w:val="00CA2D6E"/>
    <w:rsid w:val="00CA7C47"/>
    <w:rsid w:val="00CB0DF6"/>
    <w:rsid w:val="00CC4C65"/>
    <w:rsid w:val="00CC55E9"/>
    <w:rsid w:val="00CD158D"/>
    <w:rsid w:val="00CD5F8D"/>
    <w:rsid w:val="00CD65CC"/>
    <w:rsid w:val="00CE1261"/>
    <w:rsid w:val="00D00DAE"/>
    <w:rsid w:val="00D0220B"/>
    <w:rsid w:val="00D07370"/>
    <w:rsid w:val="00D12F18"/>
    <w:rsid w:val="00D15D66"/>
    <w:rsid w:val="00D234F7"/>
    <w:rsid w:val="00D2617D"/>
    <w:rsid w:val="00D34E7B"/>
    <w:rsid w:val="00D47295"/>
    <w:rsid w:val="00D54A8D"/>
    <w:rsid w:val="00D57A4B"/>
    <w:rsid w:val="00D60C3A"/>
    <w:rsid w:val="00D649E4"/>
    <w:rsid w:val="00D65C4F"/>
    <w:rsid w:val="00D731BC"/>
    <w:rsid w:val="00D73B46"/>
    <w:rsid w:val="00D74B77"/>
    <w:rsid w:val="00D93B37"/>
    <w:rsid w:val="00D93D70"/>
    <w:rsid w:val="00DA5489"/>
    <w:rsid w:val="00DB05C3"/>
    <w:rsid w:val="00DB39A2"/>
    <w:rsid w:val="00DC0FA8"/>
    <w:rsid w:val="00DC66BD"/>
    <w:rsid w:val="00DD044D"/>
    <w:rsid w:val="00DF0D08"/>
    <w:rsid w:val="00DF443B"/>
    <w:rsid w:val="00DF5423"/>
    <w:rsid w:val="00DF6C2D"/>
    <w:rsid w:val="00E04750"/>
    <w:rsid w:val="00E134C4"/>
    <w:rsid w:val="00E15AB5"/>
    <w:rsid w:val="00E16DB5"/>
    <w:rsid w:val="00E1790B"/>
    <w:rsid w:val="00E259C1"/>
    <w:rsid w:val="00E339BD"/>
    <w:rsid w:val="00E40A14"/>
    <w:rsid w:val="00E43B6F"/>
    <w:rsid w:val="00E745D8"/>
    <w:rsid w:val="00E92491"/>
    <w:rsid w:val="00E93F4E"/>
    <w:rsid w:val="00EA4AFC"/>
    <w:rsid w:val="00EA5AF3"/>
    <w:rsid w:val="00EB4763"/>
    <w:rsid w:val="00EB6ADA"/>
    <w:rsid w:val="00EC4ADE"/>
    <w:rsid w:val="00ED6F22"/>
    <w:rsid w:val="00EE4FA5"/>
    <w:rsid w:val="00EE5D62"/>
    <w:rsid w:val="00EE779C"/>
    <w:rsid w:val="00EF5212"/>
    <w:rsid w:val="00F12845"/>
    <w:rsid w:val="00F1320A"/>
    <w:rsid w:val="00F141D8"/>
    <w:rsid w:val="00F155BF"/>
    <w:rsid w:val="00F15A70"/>
    <w:rsid w:val="00F22D95"/>
    <w:rsid w:val="00F30E9A"/>
    <w:rsid w:val="00F62BBC"/>
    <w:rsid w:val="00F634BB"/>
    <w:rsid w:val="00F639E1"/>
    <w:rsid w:val="00F64999"/>
    <w:rsid w:val="00F650F0"/>
    <w:rsid w:val="00F718B0"/>
    <w:rsid w:val="00F7193C"/>
    <w:rsid w:val="00F77D38"/>
    <w:rsid w:val="00F806D0"/>
    <w:rsid w:val="00F83C36"/>
    <w:rsid w:val="00F86305"/>
    <w:rsid w:val="00F939E0"/>
    <w:rsid w:val="00F9537D"/>
    <w:rsid w:val="00F9601A"/>
    <w:rsid w:val="00FA2A29"/>
    <w:rsid w:val="00FA4438"/>
    <w:rsid w:val="00FA4AB2"/>
    <w:rsid w:val="00FA5B2C"/>
    <w:rsid w:val="00FB5A73"/>
    <w:rsid w:val="00FC0B2C"/>
    <w:rsid w:val="00FD73B1"/>
    <w:rsid w:val="00FE2276"/>
    <w:rsid w:val="00FE518C"/>
    <w:rsid w:val="00FE5883"/>
    <w:rsid w:val="00FE5FA2"/>
    <w:rsid w:val="00FE704F"/>
    <w:rsid w:val="00FF1622"/>
    <w:rsid w:val="00FF54B5"/>
    <w:rsid w:val="058C6ECB"/>
    <w:rsid w:val="062D5E75"/>
    <w:rsid w:val="0AAA507B"/>
    <w:rsid w:val="0DD54475"/>
    <w:rsid w:val="107C1D26"/>
    <w:rsid w:val="154408AF"/>
    <w:rsid w:val="1D480F50"/>
    <w:rsid w:val="1E3F3820"/>
    <w:rsid w:val="217904DC"/>
    <w:rsid w:val="21E2403A"/>
    <w:rsid w:val="247A0C2D"/>
    <w:rsid w:val="24AF508D"/>
    <w:rsid w:val="26B8302D"/>
    <w:rsid w:val="2D163367"/>
    <w:rsid w:val="3383539F"/>
    <w:rsid w:val="3B3425F0"/>
    <w:rsid w:val="3E406209"/>
    <w:rsid w:val="469B432D"/>
    <w:rsid w:val="46D90D5D"/>
    <w:rsid w:val="4A4107A4"/>
    <w:rsid w:val="4DFB50F1"/>
    <w:rsid w:val="562A2F4A"/>
    <w:rsid w:val="573B3968"/>
    <w:rsid w:val="5EC26E80"/>
    <w:rsid w:val="5FCF4323"/>
    <w:rsid w:val="687E18B6"/>
    <w:rsid w:val="69BA7964"/>
    <w:rsid w:val="6B2213A9"/>
    <w:rsid w:val="6E251FEB"/>
    <w:rsid w:val="6FC6260D"/>
    <w:rsid w:val="712B4B58"/>
    <w:rsid w:val="735910C2"/>
    <w:rsid w:val="76247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3C255BF"/>
  <w14:defaultImageDpi w14:val="32767"/>
  <w15:docId w15:val="{32DD1D35-6E8D-4BA4-A376-AF02887E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jc w:val="both"/>
    </w:pPr>
    <w:rPr>
      <w:rFonts w:asciiTheme="minorHAnsi" w:eastAsiaTheme="minorEastAsia" w:hAnsiTheme="minorHAnsi" w:cstheme="minorBidi"/>
      <w:kern w:val="2"/>
      <w:sz w:val="21"/>
      <w:szCs w:val="22"/>
    </w:rPr>
  </w:style>
  <w:style w:type="paragraph" w:styleId="1">
    <w:name w:val="heading 1"/>
    <w:basedOn w:val="a"/>
    <w:next w:val="10"/>
    <w:link w:val="11"/>
    <w:uiPriority w:val="9"/>
    <w:qFormat/>
    <w:pPr>
      <w:keepNext/>
      <w:keepLines/>
      <w:spacing w:line="360" w:lineRule="auto"/>
      <w:outlineLvl w:val="0"/>
    </w:pPr>
    <w:rPr>
      <w:rFonts w:ascii="Times New Roman" w:eastAsia="宋体" w:hAnsi="Times New Roman" w:cstheme="majorBidi"/>
      <w:b/>
      <w:sz w:val="36"/>
      <w:szCs w:val="48"/>
    </w:rPr>
  </w:style>
  <w:style w:type="paragraph" w:styleId="2">
    <w:name w:val="heading 2"/>
    <w:basedOn w:val="a"/>
    <w:next w:val="10"/>
    <w:link w:val="20"/>
    <w:uiPriority w:val="9"/>
    <w:unhideWhenUsed/>
    <w:qFormat/>
    <w:pPr>
      <w:keepNext/>
      <w:keepLines/>
      <w:spacing w:line="360" w:lineRule="auto"/>
      <w:outlineLvl w:val="1"/>
    </w:pPr>
    <w:rPr>
      <w:rFonts w:ascii="Times New Roman" w:eastAsia="宋体" w:hAnsi="Times New Roman" w:cstheme="majorBidi"/>
      <w:b/>
      <w:sz w:val="30"/>
      <w:szCs w:val="40"/>
    </w:rPr>
  </w:style>
  <w:style w:type="paragraph" w:styleId="3">
    <w:name w:val="heading 3"/>
    <w:basedOn w:val="a"/>
    <w:next w:val="a"/>
    <w:link w:val="30"/>
    <w:uiPriority w:val="9"/>
    <w:unhideWhenUsed/>
    <w:qFormat/>
    <w:pPr>
      <w:keepNext/>
      <w:keepLines/>
      <w:spacing w:line="360" w:lineRule="auto"/>
      <w:outlineLvl w:val="2"/>
    </w:pPr>
    <w:rPr>
      <w:rFonts w:ascii="Times New Roman" w:eastAsia="宋体" w:hAnsi="Times New Roman" w:cstheme="majorBidi"/>
      <w:b/>
      <w:sz w:val="28"/>
      <w:szCs w:val="32"/>
    </w:rPr>
  </w:style>
  <w:style w:type="paragraph" w:styleId="4">
    <w:name w:val="heading 4"/>
    <w:basedOn w:val="a"/>
    <w:next w:val="a"/>
    <w:link w:val="40"/>
    <w:uiPriority w:val="9"/>
    <w:unhideWhenUsed/>
    <w:qFormat/>
    <w:pPr>
      <w:keepNext/>
      <w:keepLines/>
      <w:spacing w:line="360" w:lineRule="auto"/>
      <w:outlineLvl w:val="3"/>
    </w:pPr>
    <w:rPr>
      <w:rFonts w:ascii="Times New Roman" w:eastAsia="宋体" w:hAnsi="Times New Roman" w:cstheme="majorBidi"/>
      <w:b/>
      <w:sz w:val="24"/>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正文"/>
    <w:basedOn w:val="a"/>
    <w:link w:val="12"/>
    <w:qFormat/>
    <w:pPr>
      <w:spacing w:line="360" w:lineRule="auto"/>
      <w:ind w:firstLineChars="200" w:firstLine="200"/>
    </w:pPr>
    <w:rPr>
      <w:rFonts w:ascii="Times New Roman" w:eastAsia="宋体" w:hAnsi="Times New Roman"/>
      <w:sz w:val="24"/>
    </w:rPr>
  </w:style>
  <w:style w:type="paragraph" w:styleId="a3">
    <w:name w:val="caption"/>
    <w:basedOn w:val="a"/>
    <w:next w:val="a"/>
    <w:uiPriority w:val="35"/>
    <w:unhideWhenUsed/>
    <w:qFormat/>
    <w:pPr>
      <w:jc w:val="center"/>
    </w:pPr>
    <w:rPr>
      <w:rFonts w:ascii="Times New Roman" w:hAnsi="Times New Roman" w:cstheme="majorBidi"/>
      <w:b/>
      <w:sz w:val="24"/>
      <w:szCs w:val="20"/>
    </w:rPr>
  </w:style>
  <w:style w:type="paragraph" w:styleId="a4">
    <w:name w:val="Date"/>
    <w:basedOn w:val="a"/>
    <w:next w:val="a"/>
    <w:link w:val="a5"/>
    <w:uiPriority w:val="99"/>
    <w:semiHidden/>
    <w:unhideWhenUsed/>
    <w:qFormat/>
    <w:pPr>
      <w:ind w:leftChars="2500" w:left="100"/>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9628"/>
      </w:tabs>
      <w:adjustRightInd w:val="0"/>
      <w:spacing w:line="360" w:lineRule="auto"/>
    </w:pPr>
    <w:rPr>
      <w:rFonts w:ascii="Times New Roman" w:eastAsia="宋体" w:hAnsi="Times New Roman" w:cs="Times New Roman"/>
      <w:b/>
      <w:sz w:val="24"/>
      <w:szCs w:val="24"/>
    </w:rPr>
  </w:style>
  <w:style w:type="paragraph" w:styleId="aa">
    <w:name w:val="Subtitle"/>
    <w:basedOn w:val="a"/>
    <w:next w:val="a"/>
    <w:link w:val="ab"/>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autoRedefine/>
    <w:uiPriority w:val="39"/>
    <w:unhideWhenUsed/>
    <w:qFormat/>
    <w:pPr>
      <w:ind w:leftChars="200" w:left="420"/>
    </w:pPr>
  </w:style>
  <w:style w:type="paragraph" w:styleId="ac">
    <w:name w:val="Title"/>
    <w:basedOn w:val="a"/>
    <w:next w:val="a"/>
    <w:link w:val="ad"/>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467886" w:themeColor="hyperlink"/>
      <w:u w:val="single"/>
    </w:rPr>
  </w:style>
  <w:style w:type="character" w:customStyle="1" w:styleId="11">
    <w:name w:val="标题 1 字符"/>
    <w:basedOn w:val="a0"/>
    <w:link w:val="1"/>
    <w:uiPriority w:val="9"/>
    <w:qFormat/>
    <w:rPr>
      <w:rFonts w:ascii="Times New Roman" w:eastAsia="宋体" w:hAnsi="Times New Roman" w:cstheme="majorBidi"/>
      <w:b/>
      <w:sz w:val="36"/>
      <w:szCs w:val="48"/>
    </w:rPr>
  </w:style>
  <w:style w:type="character" w:customStyle="1" w:styleId="20">
    <w:name w:val="标题 2 字符"/>
    <w:basedOn w:val="a0"/>
    <w:link w:val="2"/>
    <w:uiPriority w:val="9"/>
    <w:qFormat/>
    <w:rPr>
      <w:rFonts w:ascii="Times New Roman" w:eastAsia="宋体" w:hAnsi="Times New Roman" w:cstheme="majorBidi"/>
      <w:b/>
      <w:sz w:val="30"/>
      <w:szCs w:val="40"/>
    </w:rPr>
  </w:style>
  <w:style w:type="character" w:customStyle="1" w:styleId="30">
    <w:name w:val="标题 3 字符"/>
    <w:basedOn w:val="a0"/>
    <w:link w:val="3"/>
    <w:uiPriority w:val="9"/>
    <w:qFormat/>
    <w:rPr>
      <w:rFonts w:ascii="Times New Roman" w:eastAsia="宋体" w:hAnsi="Times New Roman" w:cstheme="majorBidi"/>
      <w:b/>
      <w:sz w:val="28"/>
      <w:szCs w:val="32"/>
    </w:rPr>
  </w:style>
  <w:style w:type="character" w:customStyle="1" w:styleId="40">
    <w:name w:val="标题 4 字符"/>
    <w:basedOn w:val="a0"/>
    <w:link w:val="4"/>
    <w:uiPriority w:val="9"/>
    <w:qFormat/>
    <w:rPr>
      <w:rFonts w:ascii="Times New Roman" w:eastAsia="宋体" w:hAnsi="Times New Roman" w:cstheme="majorBidi"/>
      <w:b/>
      <w:sz w:val="24"/>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d">
    <w:name w:val="标题 字符"/>
    <w:basedOn w:val="a0"/>
    <w:link w:val="ac"/>
    <w:uiPriority w:val="10"/>
    <w:qFormat/>
    <w:rPr>
      <w:rFonts w:asciiTheme="majorHAnsi" w:eastAsiaTheme="majorEastAsia" w:hAnsiTheme="majorHAnsi" w:cstheme="majorBidi"/>
      <w:spacing w:val="-10"/>
      <w:kern w:val="28"/>
      <w:sz w:val="56"/>
      <w:szCs w:val="56"/>
    </w:rPr>
  </w:style>
  <w:style w:type="character" w:customStyle="1" w:styleId="ab">
    <w:name w:val="副标题 字符"/>
    <w:basedOn w:val="a0"/>
    <w:link w:val="aa"/>
    <w:uiPriority w:val="11"/>
    <w:qFormat/>
    <w:rPr>
      <w:rFonts w:asciiTheme="majorHAnsi" w:eastAsiaTheme="majorEastAsia" w:hAnsiTheme="majorHAnsi" w:cstheme="majorBidi"/>
      <w:color w:val="595959" w:themeColor="text1" w:themeTint="A6"/>
      <w:spacing w:val="15"/>
      <w:sz w:val="28"/>
      <w:szCs w:val="28"/>
    </w:rPr>
  </w:style>
  <w:style w:type="paragraph" w:styleId="af0">
    <w:name w:val="Quote"/>
    <w:basedOn w:val="a"/>
    <w:next w:val="a"/>
    <w:link w:val="af1"/>
    <w:uiPriority w:val="29"/>
    <w:qFormat/>
    <w:pPr>
      <w:spacing w:before="160" w:after="160"/>
      <w:jc w:val="center"/>
    </w:pPr>
    <w:rPr>
      <w:i/>
      <w:iCs/>
      <w:color w:val="404040" w:themeColor="text1" w:themeTint="BF"/>
    </w:rPr>
  </w:style>
  <w:style w:type="character" w:customStyle="1" w:styleId="af1">
    <w:name w:val="引用 字符"/>
    <w:basedOn w:val="a0"/>
    <w:link w:val="af0"/>
    <w:uiPriority w:val="29"/>
    <w:qFormat/>
    <w:rPr>
      <w:i/>
      <w:iCs/>
      <w:color w:val="404040" w:themeColor="text1" w:themeTint="BF"/>
    </w:rPr>
  </w:style>
  <w:style w:type="paragraph" w:styleId="af2">
    <w:name w:val="List Paragraph"/>
    <w:basedOn w:val="a"/>
    <w:uiPriority w:val="34"/>
    <w:qFormat/>
    <w:pPr>
      <w:ind w:left="720"/>
      <w:contextualSpacing/>
    </w:pPr>
  </w:style>
  <w:style w:type="character" w:customStyle="1" w:styleId="13">
    <w:name w:val="明显强调1"/>
    <w:basedOn w:val="a0"/>
    <w:uiPriority w:val="21"/>
    <w:qFormat/>
    <w:rPr>
      <w:i/>
      <w:iCs/>
      <w:color w:val="0F4761" w:themeColor="accent1" w:themeShade="BF"/>
    </w:rPr>
  </w:style>
  <w:style w:type="paragraph" w:styleId="af3">
    <w:name w:val="Intense Quote"/>
    <w:basedOn w:val="a"/>
    <w:next w:val="a"/>
    <w:link w:val="af4"/>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4">
    <w:name w:val="明显引用 字符"/>
    <w:basedOn w:val="a0"/>
    <w:link w:val="af3"/>
    <w:uiPriority w:val="30"/>
    <w:qFormat/>
    <w:rPr>
      <w:i/>
      <w:iCs/>
      <w:color w:val="0F4761" w:themeColor="accent1" w:themeShade="BF"/>
    </w:rPr>
  </w:style>
  <w:style w:type="character" w:customStyle="1" w:styleId="14">
    <w:name w:val="明显参考1"/>
    <w:basedOn w:val="a0"/>
    <w:uiPriority w:val="32"/>
    <w:qFormat/>
    <w:rPr>
      <w:b/>
      <w:bCs/>
      <w:smallCaps/>
      <w:color w:val="0F4761" w:themeColor="accent1" w:themeShade="BF"/>
      <w:spacing w:val="5"/>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12">
    <w:name w:val="1正文 字符"/>
    <w:basedOn w:val="11"/>
    <w:link w:val="10"/>
    <w:qFormat/>
    <w:rPr>
      <w:rFonts w:ascii="Times New Roman" w:eastAsia="宋体" w:hAnsi="Times New Roman" w:cstheme="majorBidi"/>
      <w:b w:val="0"/>
      <w:sz w:val="24"/>
      <w:szCs w:val="48"/>
    </w:rPr>
  </w:style>
  <w:style w:type="table" w:customStyle="1" w:styleId="51">
    <w:name w:val="网格型5"/>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5">
    <w:name w:val="网格型1"/>
    <w:basedOn w:val="a1"/>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修订1"/>
    <w:hidden/>
    <w:uiPriority w:val="99"/>
    <w:unhideWhenUsed/>
    <w:qFormat/>
    <w:rPr>
      <w:rFonts w:asciiTheme="minorHAnsi" w:eastAsiaTheme="minorEastAsia" w:hAnsiTheme="minorHAnsi" w:cstheme="minorBidi"/>
      <w:kern w:val="2"/>
      <w:sz w:val="21"/>
      <w:szCs w:val="22"/>
    </w:rPr>
  </w:style>
  <w:style w:type="character" w:customStyle="1" w:styleId="a5">
    <w:name w:val="日期 字符"/>
    <w:basedOn w:val="a0"/>
    <w:link w:val="a4"/>
    <w:uiPriority w:val="99"/>
    <w:semiHidden/>
    <w:qFormat/>
    <w:rPr>
      <w:kern w:val="2"/>
      <w:sz w:val="21"/>
      <w:szCs w:val="22"/>
    </w:rPr>
  </w:style>
  <w:style w:type="paragraph" w:customStyle="1" w:styleId="My">
    <w:name w:val="My正文"/>
    <w:basedOn w:val="a"/>
    <w:autoRedefine/>
    <w:qFormat/>
    <w:pPr>
      <w:spacing w:line="360" w:lineRule="auto"/>
      <w:ind w:firstLineChars="200" w:firstLine="480"/>
    </w:pPr>
    <w:rPr>
      <w:rFonts w:ascii="Times New Roman" w:hAnsi="Times New Roman"/>
      <w:sz w:val="24"/>
    </w:rPr>
  </w:style>
  <w:style w:type="paragraph" w:customStyle="1" w:styleId="z1">
    <w:name w:val="正文z1"/>
    <w:basedOn w:val="a"/>
    <w:qFormat/>
    <w:pPr>
      <w:adjustRightInd w:val="0"/>
      <w:snapToGrid w:val="0"/>
      <w:spacing w:line="360" w:lineRule="auto"/>
      <w:ind w:firstLineChars="200" w:firstLine="480"/>
      <w:textAlignment w:val="baseline"/>
    </w:pPr>
    <w:rPr>
      <w:sz w:val="24"/>
      <w:szCs w:val="24"/>
    </w:rPr>
  </w:style>
  <w:style w:type="paragraph" w:customStyle="1" w:styleId="17">
    <w:name w:val="1图名文字式样："/>
    <w:qFormat/>
    <w:pPr>
      <w:widowControl w:val="0"/>
      <w:adjustRightInd w:val="0"/>
      <w:snapToGrid w:val="0"/>
      <w:spacing w:line="360" w:lineRule="auto"/>
      <w:jc w:val="center"/>
    </w:pPr>
    <w:rPr>
      <w:rFonts w:ascii="Arial" w:hAnsi="Arial"/>
      <w:b/>
      <w:sz w:val="24"/>
    </w:rPr>
  </w:style>
  <w:style w:type="paragraph" w:customStyle="1" w:styleId="My0">
    <w:name w:val="My图"/>
    <w:qFormat/>
    <w:pPr>
      <w:widowControl w:val="0"/>
      <w:spacing w:line="360" w:lineRule="auto"/>
      <w:jc w:val="center"/>
    </w:pPr>
    <w:rPr>
      <w:rFonts w:ascii="Times New Roman" w:hAnsi="Times New Roman"/>
      <w:b/>
      <w:sz w:val="24"/>
      <w:szCs w:val="22"/>
    </w:rPr>
  </w:style>
  <w:style w:type="paragraph" w:customStyle="1" w:styleId="21">
    <w:name w:val="修订2"/>
    <w:hidden/>
    <w:uiPriority w:val="99"/>
    <w:unhideWhenUsed/>
    <w:qFormat/>
    <w:rPr>
      <w:rFonts w:asciiTheme="minorHAnsi" w:eastAsiaTheme="minorEastAsia" w:hAnsiTheme="minorHAnsi" w:cstheme="minorBidi"/>
      <w:kern w:val="2"/>
      <w:sz w:val="21"/>
      <w:szCs w:val="22"/>
    </w:rPr>
  </w:style>
  <w:style w:type="table" w:customStyle="1" w:styleId="22">
    <w:name w:val="网格型2"/>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修订3"/>
    <w:hidden/>
    <w:uiPriority w:val="99"/>
    <w:unhideWhenUsed/>
    <w:qFormat/>
    <w:rPr>
      <w:rFonts w:asciiTheme="minorHAnsi" w:eastAsiaTheme="minorEastAsia" w:hAnsiTheme="minorHAnsi" w:cstheme="minorBidi"/>
      <w:kern w:val="2"/>
      <w:sz w:val="21"/>
      <w:szCs w:val="22"/>
    </w:rPr>
  </w:style>
  <w:style w:type="paragraph" w:customStyle="1" w:styleId="41">
    <w:name w:val="修订4"/>
    <w:hidden/>
    <w:uiPriority w:val="99"/>
    <w:unhideWhenUsed/>
    <w:qFormat/>
    <w:rPr>
      <w:rFonts w:asciiTheme="minorHAnsi" w:eastAsiaTheme="minorEastAsia" w:hAnsiTheme="minorHAnsi" w:cstheme="minorBidi"/>
      <w:kern w:val="2"/>
      <w:sz w:val="21"/>
      <w:szCs w:val="22"/>
    </w:rPr>
  </w:style>
  <w:style w:type="paragraph" w:styleId="af5">
    <w:name w:val="Revision"/>
    <w:hidden/>
    <w:uiPriority w:val="99"/>
    <w:unhideWhenUsed/>
    <w:rsid w:val="004A55CE"/>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3B6B3-42B3-454B-B788-599667EF5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38</Pages>
  <Words>4701</Words>
  <Characters>26801</Characters>
  <Application>Microsoft Office Word</Application>
  <DocSecurity>0</DocSecurity>
  <Lines>223</Lines>
  <Paragraphs>62</Paragraphs>
  <ScaleCrop>false</ScaleCrop>
  <Company/>
  <LinksUpToDate>false</LinksUpToDate>
  <CharactersWithSpaces>31440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peilin huang</dc:creator>
  <cp:lastModifiedBy>peilin huang</cp:lastModifiedBy>
  <cp:revision>27</cp:revision>
  <cp:lastPrinted>2026-04-10T02:05:00Z</cp:lastPrinted>
  <dcterms:created xsi:type="dcterms:W3CDTF">2026-03-10T08:43:00Z</dcterms:created>
  <dcterms:modified xsi:type="dcterms:W3CDTF">2026-04-10T07:03:00Z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eyJoZGlkIjoiMjVkYjEzNGUwNDAzZmNmZTFlYjVkODYyNDc0Yzc5NjYifQ==</vt:lpwstr>
  </property>
  <property fmtid="{D5CDD505-2E9C-101B-9397-08002B2CF9AE}" pid="3" name="KSOProductBuildVer">
    <vt:lpwstr>2052-12.1.0.24034</vt:lpwstr>
  </property>
  <property fmtid="{D5CDD505-2E9C-101B-9397-08002B2CF9AE}" pid="4" name="ICV">
    <vt:lpwstr>9F44523C2AD94DC6A866A3DCB0052B01_13</vt:lpwstr>
  </property>
</Properties>
</file>