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E6C89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snapToGrid w:val="0"/>
        <w:spacing w:before="0" w:beforeAutospacing="0" w:after="0" w:afterAutospacing="0" w:line="590" w:lineRule="exact"/>
        <w:ind w:left="0" w:right="0" w:firstLine="0" w:firstLineChars="0"/>
        <w:jc w:val="both"/>
        <w:outlineLvl w:val="0"/>
        <w:rPr>
          <w:rFonts w:hint="eastAsia" w:ascii="黑体" w:hAnsi="黑体" w:eastAsia="黑体" w:cs="黑体"/>
          <w:b w:val="0"/>
          <w:bCs w:val="0"/>
          <w:spacing w:val="0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spacing w:val="0"/>
          <w:kern w:val="2"/>
          <w:sz w:val="32"/>
          <w:szCs w:val="32"/>
          <w:lang w:val="en-US" w:eastAsia="zh-CN" w:bidi="ar"/>
        </w:rPr>
        <w:t>附件4</w:t>
      </w:r>
    </w:p>
    <w:p w14:paraId="5B559691">
      <w:pPr>
        <w:pStyle w:val="2"/>
        <w:rPr>
          <w:rFonts w:hint="eastAsia"/>
          <w:lang w:val="en-US" w:eastAsia="zh-CN"/>
        </w:rPr>
      </w:pPr>
    </w:p>
    <w:p w14:paraId="25C3E4F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snapToGrid w:val="0"/>
        <w:spacing w:before="0" w:beforeAutospacing="0" w:after="0" w:afterAutospacing="0" w:line="590" w:lineRule="exact"/>
        <w:ind w:left="0" w:right="0" w:firstLine="0" w:firstLineChars="0"/>
        <w:jc w:val="center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kern w:val="2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kern w:val="2"/>
          <w:sz w:val="44"/>
          <w:szCs w:val="44"/>
          <w:lang w:val="en-US" w:eastAsia="zh-CN" w:bidi="ar"/>
        </w:rPr>
        <w:t>2026年第三季度南安市分布式电源承载力</w:t>
      </w:r>
    </w:p>
    <w:p w14:paraId="7A26E21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snapToGrid w:val="0"/>
        <w:spacing w:before="0" w:beforeAutospacing="0" w:after="0" w:afterAutospacing="0" w:line="590" w:lineRule="exact"/>
        <w:ind w:left="0" w:right="0" w:firstLine="0" w:firstLineChars="0"/>
        <w:jc w:val="center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kern w:val="2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kern w:val="2"/>
          <w:sz w:val="44"/>
          <w:szCs w:val="44"/>
          <w:lang w:val="en-US" w:eastAsia="zh-CN" w:bidi="ar"/>
        </w:rPr>
        <w:t>提升措施报告</w:t>
      </w:r>
    </w:p>
    <w:p w14:paraId="59AFF73E">
      <w:pPr>
        <w:pStyle w:val="2"/>
        <w:rPr>
          <w:rFonts w:hint="eastAsia"/>
        </w:rPr>
      </w:pPr>
    </w:p>
    <w:p w14:paraId="0A4AD0C7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snapToGrid w:val="0"/>
        <w:spacing w:before="0" w:beforeAutospacing="0" w:after="0" w:afterAutospacing="0" w:line="590" w:lineRule="exact"/>
        <w:ind w:left="600" w:leftChars="0" w:right="0" w:rightChars="0"/>
        <w:jc w:val="both"/>
        <w:rPr>
          <w:rFonts w:hint="eastAsia" w:ascii="黑体" w:hAnsi="黑体" w:eastAsia="黑体" w:cs="黑体"/>
          <w:b w:val="0"/>
          <w:bCs w:val="0"/>
          <w:spacing w:val="0"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一、分布式电源接入电网承载力情况</w:t>
      </w:r>
    </w:p>
    <w:p w14:paraId="0083D1E1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snapToGrid w:val="0"/>
        <w:spacing w:before="0" w:beforeAutospacing="0" w:after="0" w:afterAutospacing="0" w:line="590" w:lineRule="exact"/>
        <w:ind w:right="0" w:rightChars="0" w:firstLine="643" w:firstLineChars="200"/>
        <w:jc w:val="both"/>
        <w:rPr>
          <w:rFonts w:hint="eastAsia" w:ascii="楷体_GB2312" w:hAnsi="楷体_GB2312" w:eastAsia="楷体_GB2312" w:cs="楷体_GB2312"/>
          <w:b/>
          <w:bCs/>
          <w:spacing w:val="0"/>
          <w:kern w:val="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1.区域整体情况</w:t>
      </w:r>
    </w:p>
    <w:p w14:paraId="287892E0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snapToGrid w:val="0"/>
        <w:spacing w:before="0" w:beforeAutospacing="0" w:after="0" w:afterAutospacing="0" w:line="590" w:lineRule="exact"/>
        <w:ind w:right="0"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截至2026年三季度，南安市已接入分布式电源132.4万千瓦，在途及轮候分布式电源12.21万千瓦，可开放并网容量区间25.12-43.73万千瓦，可开放备案容量区间12.91-31.52万千瓦，全市可开放容量评估等级为绿色。</w:t>
      </w:r>
    </w:p>
    <w:p w14:paraId="5571DF7E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snapToGrid w:val="0"/>
        <w:spacing w:before="0" w:beforeAutospacing="0" w:after="0" w:afterAutospacing="0" w:line="590" w:lineRule="exact"/>
        <w:ind w:left="0" w:right="0" w:firstLine="0"/>
        <w:jc w:val="center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表1 南安市承载力与可开放容量情况表</w:t>
      </w:r>
    </w:p>
    <w:tbl>
      <w:tblPr>
        <w:tblStyle w:val="7"/>
        <w:tblpPr w:leftFromText="180" w:rightFromText="180" w:vertAnchor="text" w:horzAnchor="page" w:tblpXSpec="center" w:tblpY="292"/>
        <w:tblOverlap w:val="never"/>
        <w:tblW w:w="908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897"/>
        <w:gridCol w:w="978"/>
        <w:gridCol w:w="986"/>
        <w:gridCol w:w="944"/>
        <w:gridCol w:w="853"/>
        <w:gridCol w:w="998"/>
        <w:gridCol w:w="826"/>
        <w:gridCol w:w="999"/>
        <w:gridCol w:w="746"/>
      </w:tblGrid>
      <w:tr w14:paraId="1B3D2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8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2E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县（市、区）</w:t>
            </w:r>
          </w:p>
        </w:tc>
        <w:tc>
          <w:tcPr>
            <w:tcW w:w="1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12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区县承载力</w:t>
            </w:r>
          </w:p>
        </w:tc>
        <w:tc>
          <w:tcPr>
            <w:tcW w:w="9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52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已接容量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（MW）</w:t>
            </w:r>
          </w:p>
        </w:tc>
        <w:tc>
          <w:tcPr>
            <w:tcW w:w="9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85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在途及轮候容量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（MW）</w:t>
            </w:r>
          </w:p>
        </w:tc>
        <w:tc>
          <w:tcPr>
            <w:tcW w:w="18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F7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可开放并网容量（MW）</w:t>
            </w:r>
          </w:p>
        </w:tc>
        <w:tc>
          <w:tcPr>
            <w:tcW w:w="1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B1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可开放备案容量（MW）</w:t>
            </w:r>
          </w:p>
        </w:tc>
        <w:tc>
          <w:tcPr>
            <w:tcW w:w="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1B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可开放容量评估等级</w:t>
            </w:r>
          </w:p>
        </w:tc>
      </w:tr>
      <w:tr w14:paraId="4D2FF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8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8189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74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下限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FA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上限</w:t>
            </w:r>
          </w:p>
        </w:tc>
        <w:tc>
          <w:tcPr>
            <w:tcW w:w="9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AD20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977F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49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下限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81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上限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5D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下限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4B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上限</w:t>
            </w:r>
          </w:p>
        </w:tc>
        <w:tc>
          <w:tcPr>
            <w:tcW w:w="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2E77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0F3E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75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南安市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A0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1575.2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39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1761.3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A4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1324.0 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F6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122.1 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EC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251.2 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39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437.3 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35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129.1 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3F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315.2 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C6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绿色</w:t>
            </w:r>
          </w:p>
        </w:tc>
      </w:tr>
    </w:tbl>
    <w:p w14:paraId="2176D32A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snapToGrid w:val="0"/>
        <w:spacing w:before="0" w:beforeAutospacing="0" w:after="0" w:afterAutospacing="0" w:line="590" w:lineRule="exact"/>
        <w:ind w:right="0" w:rightChars="0" w:firstLine="643" w:firstLineChars="200"/>
        <w:jc w:val="both"/>
        <w:rPr>
          <w:rFonts w:hint="eastAsia" w:ascii="楷体_GB2312" w:hAnsi="楷体_GB2312" w:eastAsia="楷体_GB2312" w:cs="楷体_GB2312"/>
          <w:b/>
          <w:bCs/>
          <w:spacing w:val="0"/>
          <w:kern w:val="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2.设备情况</w:t>
      </w:r>
    </w:p>
    <w:p w14:paraId="142274A6"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9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截至2026年第三季度，南安市220千伏主变可开放容量评估等级均为绿色，红色有0台，黄色有0台。</w:t>
      </w:r>
    </w:p>
    <w:p w14:paraId="37C1F00F"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9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110千伏主变可开放容量评估等级均为绿色，红色有0台，黄色有0台。</w:t>
      </w:r>
    </w:p>
    <w:p w14:paraId="061D729E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snapToGrid w:val="0"/>
        <w:spacing w:before="0" w:beforeAutospacing="0" w:after="0" w:afterAutospacing="0" w:line="590" w:lineRule="exact"/>
        <w:ind w:right="0"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35千伏主变可开放容量评估等级为红色有2台，为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highlight w:val="none"/>
          <w:lang w:val="en-US" w:eastAsia="zh-CN" w:bidi="ar"/>
        </w:rPr>
        <w:t>35千伏翔云#1、#2主变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，评估等级为黄色有0台。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highlight w:val="none"/>
          <w:lang w:val="en-US" w:eastAsia="zh-CN" w:bidi="ar"/>
        </w:rPr>
        <w:t>35千伏翔云#1、#2主变为并列运行，目前35千伏翔云变全站2026年工作日午间最大反向负载已达70.3%，已超过导则最大反向负载率50%的要求，因此受限。</w:t>
      </w:r>
    </w:p>
    <w:p w14:paraId="646ABCA8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snapToGrid w:val="0"/>
        <w:spacing w:before="0" w:beforeAutospacing="0" w:after="0" w:afterAutospacing="0" w:line="590" w:lineRule="exact"/>
        <w:ind w:right="0"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10千伏配变可开放容量评估等级为红色有187台，黄色有78台，可开放容量不足的主要原因：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highlight w:val="none"/>
          <w:lang w:val="en-US" w:eastAsia="zh-CN" w:bidi="ar"/>
        </w:rPr>
        <w:t>一是受上级35千伏翔云#1、#2主变约束，其下辖129台配变受限；二是136台配变为设备自身承载能力不足导致受限。</w:t>
      </w:r>
    </w:p>
    <w:p w14:paraId="6127366E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snapToGrid w:val="0"/>
        <w:spacing w:before="0" w:beforeAutospacing="0" w:after="0" w:afterAutospacing="0" w:line="590" w:lineRule="exact"/>
        <w:ind w:left="0" w:right="0" w:firstLine="0"/>
        <w:jc w:val="center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表2 分电压等级设备可开放容量评估等级分布表</w:t>
      </w:r>
    </w:p>
    <w:tbl>
      <w:tblPr>
        <w:tblStyle w:val="7"/>
        <w:tblW w:w="860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"/>
        <w:gridCol w:w="1349"/>
        <w:gridCol w:w="1529"/>
        <w:gridCol w:w="1375"/>
        <w:gridCol w:w="1669"/>
        <w:gridCol w:w="1762"/>
      </w:tblGrid>
      <w:tr w14:paraId="3B96C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DE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县（市、区）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B0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220千伏主变可开放容量评估情况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5D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110千伏主变可开放容量评估情况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A5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35千伏主变可开放容量评估情况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5E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10千伏台区可开放容量评估情况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D1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10千伏台区可开放容量评估情况（只考虑本级）</w:t>
            </w:r>
          </w:p>
        </w:tc>
      </w:tr>
      <w:tr w14:paraId="5DFF0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9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E4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南安市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01D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绿色：17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8C0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绿色：79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01B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绿色：18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1A2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绿色：8045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757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绿色：8174</w:t>
            </w:r>
          </w:p>
        </w:tc>
      </w:tr>
      <w:tr w14:paraId="14E31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0805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37D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黄色：0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8FC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黄色：0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52C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黄色：0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346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黄色：78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DDE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黄色：78</w:t>
            </w:r>
          </w:p>
        </w:tc>
      </w:tr>
      <w:tr w14:paraId="53B82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997C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CA7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红色：0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E65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红色：0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75E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红色：2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04D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红色：187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55E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红色：58</w:t>
            </w:r>
          </w:p>
        </w:tc>
      </w:tr>
    </w:tbl>
    <w:p w14:paraId="6822B99B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snapToGrid w:val="0"/>
        <w:spacing w:before="0" w:beforeAutospacing="0" w:after="0" w:afterAutospacing="0" w:line="590" w:lineRule="exact"/>
        <w:ind w:right="0" w:firstLine="640" w:firstLineChars="200"/>
        <w:jc w:val="both"/>
        <w:rPr>
          <w:rFonts w:hint="eastAsia" w:ascii="黑体" w:hAnsi="黑体" w:eastAsia="黑体" w:cs="黑体"/>
          <w:b w:val="0"/>
          <w:bCs w:val="0"/>
          <w:spacing w:val="0"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二、分布式电源接入电网承载力提升措施</w:t>
      </w:r>
    </w:p>
    <w:p w14:paraId="18196484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N/>
        <w:bidi w:val="0"/>
        <w:snapToGrid w:val="0"/>
        <w:spacing w:before="0" w:beforeAutospacing="0" w:after="0" w:afterAutospacing="0" w:line="590" w:lineRule="exact"/>
        <w:ind w:right="0" w:rightChars="0" w:firstLine="643" w:firstLineChars="200"/>
        <w:jc w:val="both"/>
        <w:rPr>
          <w:rFonts w:hint="eastAsia" w:ascii="楷体_GB2312" w:hAnsi="楷体_GB2312" w:eastAsia="楷体_GB2312" w:cs="楷体_GB2312"/>
          <w:b/>
          <w:bCs/>
          <w:spacing w:val="0"/>
          <w:kern w:val="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电网侧提升措施</w:t>
      </w:r>
    </w:p>
    <w:p w14:paraId="4923202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N/>
        <w:bidi w:val="0"/>
        <w:snapToGrid w:val="0"/>
        <w:spacing w:before="0" w:beforeAutospacing="0" w:after="0" w:afterAutospacing="0" w:line="590" w:lineRule="exact"/>
        <w:ind w:right="0" w:rightChars="0" w:firstLine="640" w:firstLineChars="200"/>
        <w:jc w:val="both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220、110千伏层面来看南安市无自身承载力不足受限设备。</w:t>
      </w:r>
    </w:p>
    <w:p w14:paraId="7431713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N/>
        <w:bidi w:val="0"/>
        <w:snapToGrid w:val="0"/>
        <w:spacing w:before="0" w:beforeAutospacing="0" w:after="0" w:afterAutospacing="0" w:line="590" w:lineRule="exact"/>
        <w:ind w:right="0" w:rightChars="0" w:firstLine="640" w:firstLineChars="200"/>
        <w:jc w:val="both"/>
        <w:rPr>
          <w:rFonts w:hint="default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highlight w:val="none"/>
          <w:lang w:val="en-US" w:eastAsia="zh-CN" w:bidi="ar"/>
        </w:rPr>
        <w:t>35千伏层面南安市本季度仅翔云#1、#2主变受限，已下达泉州南安翔云二35千伏输变电工程，预计在2027年工程投产后解决。</w:t>
      </w:r>
    </w:p>
    <w:p w14:paraId="1BB0A3DD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uto"/>
        <w:ind w:right="0" w:rightChars="0" w:firstLine="640" w:firstLineChars="200"/>
        <w:jc w:val="both"/>
        <w:textAlignment w:val="auto"/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10千伏公用配变层面，南安共有187台配变受限。其中，129台配变是受上级35千伏翔云#1、#2主变约束导致受限，预计将在2027年泉州南安翔云二35千伏输变电工程投运后解决受限问题。136台配变为本级受限，目前均已完成治理措施梳理，受限配变拟通过电源包或业扩包解决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highlight w:val="none"/>
          <w:lang w:val="en-US" w:eastAsia="zh-CN" w:bidi="ar"/>
        </w:rPr>
        <w:t>，优先解决排队（含在途）受限配变。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A35AFF"/>
    <w:rsid w:val="082422EC"/>
    <w:rsid w:val="09487FE0"/>
    <w:rsid w:val="0E813437"/>
    <w:rsid w:val="11713843"/>
    <w:rsid w:val="121E2CB4"/>
    <w:rsid w:val="19525629"/>
    <w:rsid w:val="1D304B3D"/>
    <w:rsid w:val="1E4D0CC2"/>
    <w:rsid w:val="1FB72D5D"/>
    <w:rsid w:val="2203329A"/>
    <w:rsid w:val="220C6DE5"/>
    <w:rsid w:val="22E732E3"/>
    <w:rsid w:val="235064F2"/>
    <w:rsid w:val="25966355"/>
    <w:rsid w:val="27003355"/>
    <w:rsid w:val="27FC1DF6"/>
    <w:rsid w:val="289610A9"/>
    <w:rsid w:val="28A000C2"/>
    <w:rsid w:val="28FA14AC"/>
    <w:rsid w:val="290A6189"/>
    <w:rsid w:val="29D177A6"/>
    <w:rsid w:val="2A12207D"/>
    <w:rsid w:val="2D355E6B"/>
    <w:rsid w:val="2E80573A"/>
    <w:rsid w:val="2FF21349"/>
    <w:rsid w:val="32B023FA"/>
    <w:rsid w:val="32E919C8"/>
    <w:rsid w:val="33303667"/>
    <w:rsid w:val="334C768B"/>
    <w:rsid w:val="356D12B5"/>
    <w:rsid w:val="36A57337"/>
    <w:rsid w:val="36FC3654"/>
    <w:rsid w:val="378F5AB8"/>
    <w:rsid w:val="386D639F"/>
    <w:rsid w:val="3B6E6FED"/>
    <w:rsid w:val="3B7E3B0D"/>
    <w:rsid w:val="3DD1647B"/>
    <w:rsid w:val="424B3DD2"/>
    <w:rsid w:val="458920E1"/>
    <w:rsid w:val="46161889"/>
    <w:rsid w:val="48CC1518"/>
    <w:rsid w:val="4A0343FD"/>
    <w:rsid w:val="4B580F33"/>
    <w:rsid w:val="4CC12C85"/>
    <w:rsid w:val="4DE72072"/>
    <w:rsid w:val="4E4E2392"/>
    <w:rsid w:val="50F54C60"/>
    <w:rsid w:val="567B1032"/>
    <w:rsid w:val="57C557EA"/>
    <w:rsid w:val="5B003C67"/>
    <w:rsid w:val="5B8B65BE"/>
    <w:rsid w:val="5D9B0B71"/>
    <w:rsid w:val="5DF979BC"/>
    <w:rsid w:val="60636B31"/>
    <w:rsid w:val="6228716A"/>
    <w:rsid w:val="644F3DA6"/>
    <w:rsid w:val="6526613A"/>
    <w:rsid w:val="6536177E"/>
    <w:rsid w:val="6A301889"/>
    <w:rsid w:val="6C224CA8"/>
    <w:rsid w:val="6CA33997"/>
    <w:rsid w:val="6F1124E6"/>
    <w:rsid w:val="6FD224D4"/>
    <w:rsid w:val="700112AF"/>
    <w:rsid w:val="702B4594"/>
    <w:rsid w:val="708A35D5"/>
    <w:rsid w:val="70DB3F33"/>
    <w:rsid w:val="70FE5BF1"/>
    <w:rsid w:val="737E1108"/>
    <w:rsid w:val="74592F24"/>
    <w:rsid w:val="74F76776"/>
    <w:rsid w:val="75034FBD"/>
    <w:rsid w:val="75C622C6"/>
    <w:rsid w:val="764B0324"/>
    <w:rsid w:val="79F8577F"/>
    <w:rsid w:val="7ADF6918"/>
    <w:rsid w:val="7B870A98"/>
    <w:rsid w:val="7CCB1767"/>
    <w:rsid w:val="7FDDD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 w:firstLineChars="200"/>
    </w:pPr>
    <w:rPr>
      <w:rFonts w:ascii="仿宋_GB2312" w:hAnsi="仿宋_GB2312"/>
      <w:sz w:val="36"/>
    </w:rPr>
  </w:style>
  <w:style w:type="paragraph" w:styleId="3">
    <w:name w:val="Body Text"/>
    <w:basedOn w:val="1"/>
    <w:next w:val="1"/>
    <w:unhideWhenUsed/>
    <w:qFormat/>
    <w:uiPriority w:val="99"/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widowControl/>
      <w:spacing w:before="0" w:beforeAutospacing="1" w:after="0" w:afterAutospacing="1" w:line="240" w:lineRule="auto"/>
      <w:ind w:left="0" w:right="0"/>
      <w:jc w:val="left"/>
    </w:pPr>
    <w:rPr>
      <w:rFonts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912</Words>
  <Characters>1068</Characters>
  <Lines>0</Lines>
  <Paragraphs>0</Paragraphs>
  <TotalTime>4</TotalTime>
  <ScaleCrop>false</ScaleCrop>
  <LinksUpToDate>false</LinksUpToDate>
  <CharactersWithSpaces>1076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2025-05-12T08:06:00Z</dcterms:created>
  <dc:creator>Administrator</dc:creator>
  <cp:lastModifiedBy>灰色是不想说</cp:lastModifiedBy>
  <cp:lastPrinted>2026-06-12T11:10:00Z</cp:lastPrinted>
  <dcterms:modified xsi:type="dcterms:W3CDTF">2026-10-13T03:17:03Z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6D51DC0485B24109938FDF892DF5008E</vt:lpwstr>
  </property>
  <property fmtid="{D5CDD505-2E9C-101B-9397-08002B2CF9AE}" pid="4" name="KSOTemplateDocerSaveRecord">
    <vt:lpwstr>eyJoZGlkIjoiY2FiMzg2YmYzMTY3MmQwZThjODA5YzM4MWFkMWVjZWUiLCJ1c2VySWQiOiIzMzQxOTE5NDUifQ==</vt:lpwstr>
  </property>
</Properties>
</file>