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D6E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90" w:lineRule="exact"/>
        <w:ind w:left="0" w:right="0" w:firstLine="0" w:firstLineChars="0"/>
        <w:jc w:val="left"/>
        <w:outlineLvl w:val="0"/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附件4</w:t>
      </w:r>
    </w:p>
    <w:p w14:paraId="490BE7B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90" w:lineRule="exact"/>
        <w:ind w:left="0" w:right="0" w:firstLine="0" w:firstLineChars="0"/>
        <w:jc w:val="left"/>
        <w:outlineLvl w:val="0"/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</w:pPr>
    </w:p>
    <w:p w14:paraId="3953CC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90" w:lineRule="exact"/>
        <w:ind w:left="0" w:right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spacing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kern w:val="2"/>
          <w:sz w:val="44"/>
          <w:szCs w:val="44"/>
          <w:lang w:val="en-US" w:eastAsia="zh-CN" w:bidi="ar"/>
        </w:rPr>
        <w:t>南安市分布式电源承载力提升措施报告</w:t>
      </w:r>
    </w:p>
    <w:p w14:paraId="76DCC79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90" w:lineRule="exact"/>
        <w:ind w:left="600" w:leftChars="0" w:right="0" w:rightChars="0"/>
        <w:jc w:val="both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</w:pPr>
    </w:p>
    <w:p w14:paraId="706BE0B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90" w:lineRule="exact"/>
        <w:ind w:left="600" w:leftChars="0" w:right="0" w:rightChars="0"/>
        <w:jc w:val="both"/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一、分布式电源接入电网承载力情况</w:t>
      </w:r>
    </w:p>
    <w:p w14:paraId="1B423D0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90" w:lineRule="exact"/>
        <w:ind w:right="0" w:rightChars="0"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1.区域整体情况</w:t>
      </w:r>
    </w:p>
    <w:p w14:paraId="01EF492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9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截至2026年6月12日，南安市已接入分布式电源126.28万千瓦，其中分布式光伏122.19万千瓦、小水电4.09万千瓦，在途及轮候分布式电源9.50万千瓦，可开放并网容量区间26.06-47.13万千瓦，可开放容量评估等级为绿色。</w:t>
      </w:r>
    </w:p>
    <w:p w14:paraId="47172E5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90" w:lineRule="exact"/>
        <w:ind w:right="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</w:pPr>
    </w:p>
    <w:p w14:paraId="74929F3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jc w:val="center"/>
        <w:textAlignment w:val="auto"/>
        <w:rPr>
          <w:rFonts w:hint="default" w:ascii="Times New Roman" w:hAnsi="Times New Roman" w:eastAsia="楷体" w:cs="Times New Roman"/>
          <w:b/>
          <w:bCs/>
          <w:i w:val="0"/>
          <w:i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/>
          <w:bCs/>
          <w:i w:val="0"/>
          <w:iCs w:val="0"/>
          <w:color w:val="auto"/>
          <w:spacing w:val="0"/>
          <w:kern w:val="2"/>
          <w:sz w:val="32"/>
          <w:szCs w:val="32"/>
          <w:lang w:val="en-US" w:eastAsia="zh-CN" w:bidi="ar"/>
        </w:rPr>
        <w:t>表1 南安市承载力与可开放容量情况表   单位：MW</w:t>
      </w:r>
    </w:p>
    <w:tbl>
      <w:tblPr>
        <w:tblStyle w:val="6"/>
        <w:tblW w:w="50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951"/>
        <w:gridCol w:w="993"/>
        <w:gridCol w:w="877"/>
        <w:gridCol w:w="1112"/>
        <w:gridCol w:w="1336"/>
        <w:gridCol w:w="1131"/>
        <w:gridCol w:w="1163"/>
      </w:tblGrid>
      <w:tr w14:paraId="5E19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Header/>
          <w:jc w:val="center"/>
        </w:trPr>
        <w:tc>
          <w:tcPr>
            <w:tcW w:w="49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CB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县、区</w:t>
            </w:r>
          </w:p>
        </w:tc>
        <w:tc>
          <w:tcPr>
            <w:tcW w:w="56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66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承载力下限</w:t>
            </w:r>
          </w:p>
        </w:tc>
        <w:tc>
          <w:tcPr>
            <w:tcW w:w="5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89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承载力上限</w:t>
            </w:r>
          </w:p>
        </w:tc>
        <w:tc>
          <w:tcPr>
            <w:tcW w:w="52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B9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已接容量</w:t>
            </w:r>
          </w:p>
        </w:tc>
        <w:tc>
          <w:tcPr>
            <w:tcW w:w="66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6B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可开放并网容量下限</w:t>
            </w:r>
          </w:p>
        </w:tc>
        <w:tc>
          <w:tcPr>
            <w:tcW w:w="79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37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可开放并网容量上限</w:t>
            </w:r>
          </w:p>
        </w:tc>
        <w:tc>
          <w:tcPr>
            <w:tcW w:w="673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0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在途及轮候容量</w:t>
            </w:r>
          </w:p>
        </w:tc>
        <w:tc>
          <w:tcPr>
            <w:tcW w:w="69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60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可开放容量评估等级</w:t>
            </w:r>
          </w:p>
        </w:tc>
      </w:tr>
      <w:tr w14:paraId="34BC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49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1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南安市</w:t>
            </w:r>
          </w:p>
        </w:tc>
        <w:tc>
          <w:tcPr>
            <w:tcW w:w="56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C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1523.41</w:t>
            </w:r>
          </w:p>
        </w:tc>
        <w:tc>
          <w:tcPr>
            <w:tcW w:w="59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03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1734.05</w:t>
            </w:r>
          </w:p>
        </w:tc>
        <w:tc>
          <w:tcPr>
            <w:tcW w:w="52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22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1262.80</w:t>
            </w:r>
          </w:p>
        </w:tc>
        <w:tc>
          <w:tcPr>
            <w:tcW w:w="66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4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260.61</w:t>
            </w:r>
          </w:p>
        </w:tc>
        <w:tc>
          <w:tcPr>
            <w:tcW w:w="79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C9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471.25</w:t>
            </w:r>
          </w:p>
        </w:tc>
        <w:tc>
          <w:tcPr>
            <w:tcW w:w="673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FA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94.98</w:t>
            </w:r>
          </w:p>
        </w:tc>
        <w:tc>
          <w:tcPr>
            <w:tcW w:w="69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88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绿色</w:t>
            </w:r>
          </w:p>
        </w:tc>
      </w:tr>
    </w:tbl>
    <w:p w14:paraId="59155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备注：本次测算以南安市截至2026年6月12日分布式光伏、电源、电网、负荷等数据为边界。按照《分布式电源接入电力系统承载力评估导则》（DL/T 2041-2025）规定，承载力上限为计划增配灵活调节资源场景下的承载力，下限为未增配灵活调节资源场景下的承载力，可开放并网容量=承载力-已接容量。</w:t>
      </w:r>
    </w:p>
    <w:p w14:paraId="39F19CF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90" w:lineRule="exact"/>
        <w:ind w:right="0" w:rightChars="0"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</w:pPr>
    </w:p>
    <w:p w14:paraId="3D6D005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90" w:lineRule="exact"/>
        <w:ind w:right="0" w:rightChars="0"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2.设备情况</w:t>
      </w:r>
    </w:p>
    <w:p w14:paraId="5B569381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  <w:t>截至2026年6月12日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，南安市220千伏主变可开放容量评估等级均为绿色，红色有0台，黄色有0台。</w:t>
      </w:r>
    </w:p>
    <w:p w14:paraId="308E7EC9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110千伏主变可开放容量评估等级均为绿色，红色有0台，黄色有0台。</w:t>
      </w:r>
    </w:p>
    <w:p w14:paraId="28F2F4E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35千伏主变可开放容量评估等级为红色有2台（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35千伏翔云#1、#2主变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），黄色有0台，可开放容量不足的主要原因：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35千伏翔云#1、#2主变并列运行，目前35千伏翔云变全站2026年工作日午间最大反向负载已达53.8%，已超过导则最大反向负载率50%的要求，因此受限。</w:t>
      </w:r>
    </w:p>
    <w:p w14:paraId="42B5F8A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10千伏配变可开放容量评估等级为红色有223台，黄色有37台，总计260台。其中，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127台配变是受上级35千伏翔云#1、#2主变约束导致受限；133台配变因本级设备自身承载能力不足导致受限。</w:t>
      </w:r>
    </w:p>
    <w:p w14:paraId="4A72F84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</w:pPr>
    </w:p>
    <w:p w14:paraId="5B9AD83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i w:val="0"/>
          <w:iCs w:val="0"/>
          <w:color w:val="00000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表2 分电压等级设备可开放容量评估等级分布表</w:t>
      </w:r>
    </w:p>
    <w:tbl>
      <w:tblPr>
        <w:tblStyle w:val="6"/>
        <w:tblW w:w="75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831"/>
        <w:gridCol w:w="837"/>
        <w:gridCol w:w="831"/>
        <w:gridCol w:w="905"/>
        <w:gridCol w:w="763"/>
        <w:gridCol w:w="837"/>
        <w:gridCol w:w="831"/>
        <w:gridCol w:w="837"/>
      </w:tblGrid>
      <w:tr w14:paraId="6F279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37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县（市、区）名称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95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220千伏主变可开放容量评估等级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D6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110千伏主变可开放容量评估等级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C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35千伏主变可开放容量评估等级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A6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10千伏配变可开放容量评估等级</w:t>
            </w:r>
          </w:p>
        </w:tc>
      </w:tr>
      <w:tr w14:paraId="34DC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D02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E1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红色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E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黄色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01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红色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91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黄色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32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红色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55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黄色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BD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红色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0B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黄色</w:t>
            </w:r>
          </w:p>
        </w:tc>
      </w:tr>
      <w:tr w14:paraId="0239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6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C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E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D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B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3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A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1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C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</w:tbl>
    <w:p w14:paraId="38710CF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90" w:lineRule="exact"/>
        <w:ind w:right="0" w:firstLine="640" w:firstLineChars="200"/>
        <w:jc w:val="both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p w14:paraId="252911E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90" w:lineRule="exact"/>
        <w:ind w:right="0"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二、分布式电源接入电网承载力提升措施</w:t>
      </w:r>
    </w:p>
    <w:p w14:paraId="00484C8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220、110千伏层面来看南安市无自身承载力不足受限设备。</w:t>
      </w:r>
    </w:p>
    <w:p w14:paraId="3C6E01C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35千伏层面南安市本季度仅南安翔云#1、#2主变受限，已下达泉州南安翔云二35千伏输变电工程，预计在2027年工程投产后解决。</w:t>
      </w:r>
    </w:p>
    <w:p w14:paraId="6C31402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highlight w:val="yellow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10千伏公用配变层面，南安共有260台配变受限。其中，127台配变是受上级35千伏翔云#1、#2主变约束导致受限，预计将在2027年底泉州南安翔云二35千伏输变电工程投运后解决受限问题。133台配变为本级受限，目前均已完成治理措施梳理，受限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配变拟通过公司电源包或业扩包解决，优先解决排队（含在途）受限配变。</w:t>
      </w:r>
    </w:p>
    <w:p w14:paraId="2E152E45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46A0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4E007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4E007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71E64"/>
    <w:rsid w:val="1D650A98"/>
    <w:rsid w:val="1FDE52DC"/>
    <w:rsid w:val="22975239"/>
    <w:rsid w:val="28374FEA"/>
    <w:rsid w:val="28BC6D57"/>
    <w:rsid w:val="355222A5"/>
    <w:rsid w:val="3BF05D4F"/>
    <w:rsid w:val="3F5506FF"/>
    <w:rsid w:val="421303F5"/>
    <w:rsid w:val="4C224EF4"/>
    <w:rsid w:val="4D786C5A"/>
    <w:rsid w:val="52487A15"/>
    <w:rsid w:val="549C0B44"/>
    <w:rsid w:val="618A425A"/>
    <w:rsid w:val="64625908"/>
    <w:rsid w:val="65B35C0C"/>
    <w:rsid w:val="65C72A7B"/>
    <w:rsid w:val="684974B8"/>
    <w:rsid w:val="6AFB7215"/>
    <w:rsid w:val="6D120BD4"/>
    <w:rsid w:val="6DD83F25"/>
    <w:rsid w:val="716E26B3"/>
    <w:rsid w:val="7CE7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tLeast"/>
      <w:ind w:left="0" w:right="0" w:firstLine="420" w:firstLineChars="200"/>
      <w:jc w:val="both"/>
    </w:pPr>
    <w:rPr>
      <w:rFonts w:hint="eastAsia" w:ascii="仿宋_GB2312" w:hAnsi="宋体" w:eastAsia="宋体" w:cs="Times New Roman"/>
      <w:spacing w:val="0"/>
      <w:kern w:val="2"/>
      <w:sz w:val="36"/>
      <w:szCs w:val="36"/>
      <w:lang w:val="en-US" w:eastAsia="zh-CN" w:bidi="ar"/>
    </w:r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tLeast"/>
      <w:ind w:left="0" w:right="0"/>
      <w:jc w:val="both"/>
    </w:pPr>
    <w:rPr>
      <w:rFonts w:hint="default" w:ascii="Calibri" w:hAnsi="Calibri" w:eastAsia="宋体" w:cs="Times New Roman"/>
      <w:spacing w:val="0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 w:line="240" w:lineRule="auto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967</Words>
  <Characters>1119</Characters>
  <Lines>0</Lines>
  <Paragraphs>0</Paragraphs>
  <TotalTime>8</TotalTime>
  <ScaleCrop>false</ScaleCrop>
  <LinksUpToDate>false</LinksUpToDate>
  <CharactersWithSpaces>1125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2026-06-11T07:42:00Z</dcterms:created>
  <dc:creator>林佳</dc:creator>
  <cp:lastModifiedBy>灰色是不想说</cp:lastModifiedBy>
  <cp:lastPrinted>2026-06-16T01:12:00Z</cp:lastPrinted>
  <dcterms:modified xsi:type="dcterms:W3CDTF">2026-06-25T01:37:20Z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FFD5954B1A4F49B0A88038616281ECA4</vt:lpwstr>
  </property>
  <property fmtid="{D5CDD505-2E9C-101B-9397-08002B2CF9AE}" pid="4" name="KSOTemplateDocerSaveRecord">
    <vt:lpwstr>eyJoZGlkIjoiY2FiMzg2YmYzMTY3MmQwZThjODA5YzM4MWFkMWVjZWUiLCJ1c2VySWQiOiIzMzQxOTE5NDUifQ==</vt:lpwstr>
  </property>
</Properties>
</file>