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0" w:beforeAutospacing="0" w:after="0" w:afterAutospacing="0" w:line="578" w:lineRule="exact"/>
        <w:ind w:left="0" w:right="0" w:firstLine="420"/>
        <w:jc w:val="center"/>
        <w:rPr>
          <w:rFonts w:hint="eastAsia" w:ascii="方正黑体_GBK" w:hAnsi="方正黑体_GBK" w:eastAsia="方正黑体_GBK" w:cs="方正黑体_GBK"/>
          <w:b w:val="0"/>
          <w:bCs w:val="0"/>
          <w:i w:val="0"/>
          <w:iCs w:val="0"/>
          <w:color w:val="000000"/>
          <w:spacing w:val="0"/>
          <w:w w:val="100"/>
          <w:sz w:val="32"/>
          <w:szCs w:val="32"/>
          <w:shd w:val="clear" w:fill="FFFFFF"/>
          <w:vertAlign w:val="baseline"/>
        </w:rPr>
      </w:pPr>
      <w:r>
        <w:rPr>
          <w:rFonts w:hint="eastAsia" w:ascii="方正黑体_GBK" w:hAnsi="方正黑体_GBK" w:eastAsia="方正黑体_GBK" w:cs="方正黑体_GBK"/>
          <w:b w:val="0"/>
          <w:bCs w:val="0"/>
          <w:i w:val="0"/>
          <w:iCs w:val="0"/>
          <w:color w:val="000000"/>
          <w:spacing w:val="0"/>
          <w:w w:val="100"/>
          <w:sz w:val="32"/>
          <w:szCs w:val="32"/>
          <w:vertAlign w:val="baseline"/>
          <w:lang w:val="en-US" w:eastAsia="zh-CN"/>
        </w:rPr>
        <w:t>2026</w:t>
      </w:r>
      <w:r>
        <w:rPr>
          <w:rFonts w:hint="eastAsia" w:ascii="方正黑体_GBK" w:hAnsi="方正黑体_GBK" w:eastAsia="方正黑体_GBK" w:cs="方正黑体_GBK"/>
          <w:b w:val="0"/>
          <w:bCs w:val="0"/>
          <w:i w:val="0"/>
          <w:iCs w:val="0"/>
          <w:color w:val="000000"/>
          <w:spacing w:val="0"/>
          <w:w w:val="100"/>
          <w:sz w:val="32"/>
          <w:szCs w:val="32"/>
          <w:vertAlign w:val="baseline"/>
        </w:rPr>
        <w:t>年</w:t>
      </w:r>
      <w:r>
        <w:rPr>
          <w:rFonts w:hint="eastAsia" w:ascii="方正黑体_GBK" w:hAnsi="方正黑体_GBK" w:eastAsia="方正黑体_GBK" w:cs="方正黑体_GBK"/>
          <w:b w:val="0"/>
          <w:bCs w:val="0"/>
          <w:i w:val="0"/>
          <w:iCs w:val="0"/>
          <w:color w:val="000000"/>
          <w:spacing w:val="0"/>
          <w:w w:val="100"/>
          <w:sz w:val="32"/>
          <w:szCs w:val="32"/>
          <w:vertAlign w:val="baseline"/>
          <w:lang w:val="en-US" w:eastAsia="zh-CN"/>
        </w:rPr>
        <w:t>一季度</w:t>
      </w:r>
      <w:r>
        <w:rPr>
          <w:rFonts w:hint="eastAsia" w:ascii="方正黑体_GBK" w:hAnsi="方正黑体_GBK" w:eastAsia="方正黑体_GBK" w:cs="方正黑体_GBK"/>
          <w:b w:val="0"/>
          <w:bCs w:val="0"/>
          <w:i w:val="0"/>
          <w:iCs w:val="0"/>
          <w:color w:val="000000"/>
          <w:spacing w:val="0"/>
          <w:w w:val="100"/>
          <w:sz w:val="32"/>
          <w:szCs w:val="32"/>
          <w:shd w:val="clear" w:fill="FFFFFF"/>
          <w:vertAlign w:val="baseline"/>
          <w:lang w:val="en-US" w:eastAsia="zh-CN"/>
        </w:rPr>
        <w:t>泉州市南安市</w:t>
      </w:r>
      <w:r>
        <w:rPr>
          <w:rFonts w:hint="eastAsia" w:ascii="方正黑体_GBK" w:hAnsi="方正黑体_GBK" w:eastAsia="方正黑体_GBK" w:cs="方正黑体_GBK"/>
          <w:b w:val="0"/>
          <w:bCs w:val="0"/>
          <w:i w:val="0"/>
          <w:iCs w:val="0"/>
          <w:color w:val="000000"/>
          <w:spacing w:val="0"/>
          <w:w w:val="100"/>
          <w:sz w:val="32"/>
          <w:szCs w:val="32"/>
          <w:shd w:val="clear" w:fill="FFFFFF"/>
          <w:vertAlign w:val="baseline"/>
        </w:rPr>
        <w:t>分布式光伏接入电网承载力</w:t>
      </w:r>
    </w:p>
    <w:p>
      <w:pPr>
        <w:pStyle w:val="4"/>
        <w:keepNext w:val="0"/>
        <w:keepLines w:val="0"/>
        <w:widowControl/>
        <w:suppressLineNumbers w:val="0"/>
        <w:spacing w:before="0" w:beforeAutospacing="0" w:after="0" w:afterAutospacing="0" w:line="578" w:lineRule="exact"/>
        <w:ind w:left="0" w:right="0" w:firstLine="420"/>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b w:val="0"/>
          <w:bCs w:val="0"/>
          <w:i w:val="0"/>
          <w:iCs w:val="0"/>
          <w:color w:val="000000"/>
          <w:spacing w:val="0"/>
          <w:w w:val="100"/>
          <w:sz w:val="32"/>
          <w:szCs w:val="32"/>
          <w:shd w:val="clear" w:fill="FFFFFF"/>
          <w:vertAlign w:val="baseline"/>
        </w:rPr>
        <w:t>及提升措施评估报告</w:t>
      </w:r>
    </w:p>
    <w:p>
      <w:pPr>
        <w:pStyle w:val="4"/>
        <w:keepNext w:val="0"/>
        <w:keepLines w:val="0"/>
        <w:widowControl/>
        <w:suppressLineNumbers w:val="0"/>
        <w:spacing w:before="0" w:beforeAutospacing="0" w:after="0" w:afterAutospacing="0" w:line="578" w:lineRule="exact"/>
        <w:ind w:left="0" w:right="0" w:firstLine="420"/>
        <w:jc w:val="both"/>
        <w:rPr>
          <w:rFonts w:hint="eastAsia" w:ascii="方正黑体_GBK" w:hAnsi="方正黑体_GBK" w:eastAsia="方正黑体_GBK" w:cs="方正黑体_GBK"/>
          <w:lang w:eastAsia="zh-CN"/>
        </w:rPr>
      </w:pPr>
      <w:r>
        <w:rPr>
          <w:rFonts w:hint="eastAsia" w:ascii="仿宋_GB2312" w:hAnsi="仿宋_GB2312" w:eastAsia="仿宋_GB2312" w:cs="仿宋_GB2312"/>
          <w:b w:val="0"/>
          <w:bCs w:val="0"/>
          <w:i w:val="0"/>
          <w:iCs w:val="0"/>
          <w:color w:val="000000"/>
          <w:spacing w:val="0"/>
          <w:w w:val="100"/>
          <w:sz w:val="30"/>
          <w:szCs w:val="30"/>
          <w:vertAlign w:val="baseline"/>
          <w:lang w:val="en-US"/>
        </w:rPr>
        <w:t> </w:t>
      </w:r>
      <w:r>
        <w:rPr>
          <w:rFonts w:hint="eastAsia" w:ascii="方正黑体_GBK" w:hAnsi="方正黑体_GBK" w:eastAsia="方正黑体_GBK" w:cs="方正黑体_GBK"/>
          <w:b w:val="0"/>
          <w:bCs w:val="0"/>
          <w:i w:val="0"/>
          <w:iCs w:val="0"/>
          <w:color w:val="000000"/>
          <w:spacing w:val="0"/>
          <w:w w:val="100"/>
          <w:sz w:val="30"/>
          <w:szCs w:val="30"/>
          <w:vertAlign w:val="baseline"/>
          <w:lang w:val="en-US" w:eastAsia="zh-CN"/>
        </w:rPr>
        <w:t>一、</w:t>
      </w:r>
      <w:r>
        <w:rPr>
          <w:rFonts w:hint="eastAsia" w:ascii="方正黑体_GBK" w:hAnsi="方正黑体_GBK" w:eastAsia="方正黑体_GBK" w:cs="方正黑体_GBK"/>
          <w:b w:val="0"/>
          <w:bCs w:val="0"/>
          <w:i w:val="0"/>
          <w:iCs w:val="0"/>
          <w:color w:val="000000"/>
          <w:spacing w:val="0"/>
          <w:w w:val="100"/>
          <w:sz w:val="30"/>
          <w:szCs w:val="30"/>
          <w:vertAlign w:val="baseline"/>
        </w:rPr>
        <w:t>分布式光伏接入电网承载力情况</w:t>
      </w:r>
    </w:p>
    <w:p>
      <w:pPr>
        <w:pStyle w:val="4"/>
        <w:keepNext w:val="0"/>
        <w:keepLines w:val="0"/>
        <w:widowControl/>
        <w:numPr>
          <w:ilvl w:val="0"/>
          <w:numId w:val="0"/>
        </w:numPr>
        <w:suppressLineNumbers w:val="0"/>
        <w:spacing w:before="0" w:beforeAutospacing="0" w:after="0" w:afterAutospacing="0" w:line="578" w:lineRule="exact"/>
        <w:ind w:left="838" w:leftChars="0" w:right="0" w:rightChars="0"/>
        <w:jc w:val="both"/>
        <w:rPr>
          <w:rFonts w:hint="eastAsia" w:ascii="仿宋_GB2312" w:hAnsi="仿宋_GB2312" w:eastAsia="仿宋_GB2312" w:cs="仿宋_GB2312"/>
          <w:b/>
          <w:bCs/>
        </w:rPr>
      </w:pPr>
      <w:r>
        <w:rPr>
          <w:rFonts w:hint="eastAsia" w:ascii="仿宋_GB2312" w:hAnsi="仿宋_GB2312" w:eastAsia="仿宋_GB2312" w:cs="仿宋_GB2312"/>
          <w:b/>
          <w:bCs/>
          <w:i w:val="0"/>
          <w:iCs w:val="0"/>
          <w:color w:val="000000"/>
          <w:spacing w:val="0"/>
          <w:w w:val="100"/>
          <w:sz w:val="30"/>
          <w:szCs w:val="30"/>
          <w:vertAlign w:val="baseline"/>
          <w:lang w:val="en-US" w:eastAsia="zh-CN"/>
        </w:rPr>
        <w:t>1.</w:t>
      </w:r>
      <w:r>
        <w:rPr>
          <w:rFonts w:hint="eastAsia" w:ascii="仿宋_GB2312" w:hAnsi="仿宋_GB2312" w:eastAsia="仿宋_GB2312" w:cs="仿宋_GB2312"/>
          <w:b/>
          <w:bCs/>
          <w:i w:val="0"/>
          <w:iCs w:val="0"/>
          <w:color w:val="000000"/>
          <w:spacing w:val="0"/>
          <w:w w:val="100"/>
          <w:sz w:val="30"/>
          <w:szCs w:val="30"/>
          <w:vertAlign w:val="baseline"/>
        </w:rPr>
        <w:t>区域整体情况</w:t>
      </w:r>
    </w:p>
    <w:p>
      <w:pPr>
        <w:pStyle w:val="4"/>
        <w:keepNext w:val="0"/>
        <w:keepLines w:val="0"/>
        <w:widowControl/>
        <w:suppressLineNumbers w:val="0"/>
        <w:spacing w:before="0" w:beforeAutospacing="0" w:after="0" w:afterAutospacing="0" w:line="578" w:lineRule="exact"/>
        <w:ind w:left="0" w:right="0" w:firstLine="419"/>
        <w:jc w:val="both"/>
        <w:rPr>
          <w:rFonts w:hint="eastAsia" w:ascii="仿宋_GB2312" w:hAnsi="仿宋_GB2312" w:eastAsia="仿宋_GB2312" w:cs="仿宋_GB2312"/>
          <w:b w:val="0"/>
          <w:bCs w:val="0"/>
          <w:i w:val="0"/>
          <w:iCs w:val="0"/>
          <w:color w:val="000000"/>
          <w:spacing w:val="0"/>
          <w:w w:val="100"/>
          <w:sz w:val="30"/>
          <w:szCs w:val="30"/>
          <w:vertAlign w:val="baseline"/>
          <w:lang w:val="en-US" w:eastAsia="zh-CN"/>
        </w:rPr>
      </w:pPr>
      <w:r>
        <w:rPr>
          <w:rFonts w:hint="eastAsia" w:ascii="仿宋_GB2312" w:hAnsi="仿宋_GB2312" w:eastAsia="仿宋_GB2312" w:cs="仿宋_GB2312"/>
          <w:b w:val="0"/>
          <w:bCs w:val="0"/>
          <w:i w:val="0"/>
          <w:iCs w:val="0"/>
          <w:color w:val="000000"/>
          <w:spacing w:val="0"/>
          <w:w w:val="100"/>
          <w:sz w:val="30"/>
          <w:szCs w:val="30"/>
          <w:vertAlign w:val="baseline"/>
        </w:rPr>
        <w:t>截至</w:t>
      </w:r>
      <w:r>
        <w:rPr>
          <w:rFonts w:hint="eastAsia" w:ascii="仿宋_GB2312" w:hAnsi="仿宋_GB2312" w:eastAsia="仿宋_GB2312" w:cs="仿宋_GB2312"/>
          <w:b w:val="0"/>
          <w:bCs w:val="0"/>
          <w:i w:val="0"/>
          <w:iCs w:val="0"/>
          <w:color w:val="000000"/>
          <w:spacing w:val="0"/>
          <w:w w:val="100"/>
          <w:sz w:val="30"/>
          <w:szCs w:val="30"/>
          <w:vertAlign w:val="baseline"/>
          <w:lang w:val="en-US" w:eastAsia="zh-CN"/>
        </w:rPr>
        <w:t>2026</w:t>
      </w:r>
      <w:r>
        <w:rPr>
          <w:rFonts w:hint="eastAsia" w:ascii="仿宋_GB2312" w:hAnsi="仿宋_GB2312" w:eastAsia="仿宋_GB2312" w:cs="仿宋_GB2312"/>
          <w:b w:val="0"/>
          <w:bCs w:val="0"/>
          <w:i w:val="0"/>
          <w:iCs w:val="0"/>
          <w:color w:val="000000"/>
          <w:spacing w:val="0"/>
          <w:w w:val="100"/>
          <w:sz w:val="30"/>
          <w:szCs w:val="30"/>
          <w:vertAlign w:val="baseline"/>
        </w:rPr>
        <w:t>年</w:t>
      </w:r>
      <w:r>
        <w:rPr>
          <w:rFonts w:hint="eastAsia" w:ascii="仿宋_GB2312" w:hAnsi="仿宋_GB2312" w:eastAsia="仿宋_GB2312" w:cs="仿宋_GB2312"/>
          <w:b w:val="0"/>
          <w:bCs w:val="0"/>
          <w:i w:val="0"/>
          <w:iCs w:val="0"/>
          <w:color w:val="000000"/>
          <w:spacing w:val="0"/>
          <w:w w:val="100"/>
          <w:sz w:val="30"/>
          <w:szCs w:val="30"/>
          <w:vertAlign w:val="baseline"/>
          <w:lang w:eastAsia="zh-CN"/>
        </w:rPr>
        <w:t>第</w:t>
      </w:r>
      <w:r>
        <w:rPr>
          <w:rFonts w:hint="eastAsia" w:ascii="仿宋_GB2312" w:hAnsi="仿宋_GB2312" w:eastAsia="仿宋_GB2312" w:cs="仿宋_GB2312"/>
          <w:b w:val="0"/>
          <w:bCs w:val="0"/>
          <w:i w:val="0"/>
          <w:iCs w:val="0"/>
          <w:color w:val="000000"/>
          <w:spacing w:val="0"/>
          <w:w w:val="100"/>
          <w:sz w:val="30"/>
          <w:szCs w:val="30"/>
          <w:vertAlign w:val="baseline"/>
          <w:lang w:val="en-US" w:eastAsia="zh-CN"/>
        </w:rPr>
        <w:t>一</w:t>
      </w:r>
      <w:r>
        <w:rPr>
          <w:rFonts w:hint="eastAsia" w:ascii="仿宋_GB2312" w:hAnsi="仿宋_GB2312" w:eastAsia="仿宋_GB2312" w:cs="仿宋_GB2312"/>
          <w:b w:val="0"/>
          <w:bCs w:val="0"/>
          <w:i w:val="0"/>
          <w:iCs w:val="0"/>
          <w:color w:val="000000"/>
          <w:spacing w:val="0"/>
          <w:w w:val="100"/>
          <w:sz w:val="30"/>
          <w:szCs w:val="30"/>
          <w:vertAlign w:val="baseline"/>
        </w:rPr>
        <w:t>季度，</w:t>
      </w:r>
      <w:r>
        <w:rPr>
          <w:rFonts w:hint="eastAsia" w:ascii="仿宋_GB2312" w:hAnsi="仿宋_GB2312" w:eastAsia="仿宋_GB2312" w:cs="仿宋_GB2312"/>
          <w:b w:val="0"/>
          <w:bCs w:val="0"/>
          <w:i w:val="0"/>
          <w:iCs w:val="0"/>
          <w:color w:val="000000"/>
          <w:spacing w:val="0"/>
          <w:w w:val="100"/>
          <w:sz w:val="30"/>
          <w:szCs w:val="30"/>
          <w:vertAlign w:val="baseline"/>
          <w:lang w:val="en-US" w:eastAsia="zh-CN"/>
        </w:rPr>
        <w:t>南安市全域可开放容量31.565万千瓦，南部区域相对充足，北部山区相对紧张，已有2座220千伏变电站承载力受限</w:t>
      </w:r>
      <w:r>
        <w:rPr>
          <w:rFonts w:hint="eastAsia" w:ascii="仿宋_GB2312" w:hAnsi="仿宋_GB2312" w:eastAsia="仿宋_GB2312" w:cs="仿宋_GB2312"/>
          <w:b w:val="0"/>
          <w:bCs w:val="0"/>
          <w:i w:val="0"/>
          <w:iCs w:val="0"/>
          <w:color w:val="000000"/>
          <w:spacing w:val="0"/>
          <w:w w:val="100"/>
          <w:sz w:val="30"/>
          <w:szCs w:val="30"/>
          <w:vertAlign w:val="baseline"/>
        </w:rPr>
        <w:t>。</w:t>
      </w:r>
    </w:p>
    <w:p>
      <w:pPr>
        <w:pStyle w:val="4"/>
        <w:keepNext w:val="0"/>
        <w:keepLines w:val="0"/>
        <w:widowControl/>
        <w:suppressLineNumbers w:val="0"/>
        <w:spacing w:before="0" w:beforeAutospacing="0" w:after="0" w:afterAutospacing="0" w:line="578" w:lineRule="exact"/>
        <w:ind w:left="0" w:right="0" w:firstLine="419"/>
        <w:jc w:val="center"/>
        <w:rPr>
          <w:rFonts w:hint="eastAsia" w:ascii="仿宋_GB2312" w:hAnsi="仿宋_GB2312" w:eastAsia="仿宋_GB2312" w:cs="仿宋_GB2312"/>
          <w:b w:val="0"/>
          <w:bCs w:val="0"/>
          <w:i w:val="0"/>
          <w:iCs w:val="0"/>
          <w:color w:val="000000"/>
          <w:spacing w:val="0"/>
          <w:w w:val="100"/>
          <w:sz w:val="30"/>
          <w:szCs w:val="30"/>
          <w:vertAlign w:val="baseline"/>
          <w:lang w:val="en-US" w:eastAsia="zh-CN"/>
        </w:rPr>
      </w:pPr>
      <w:r>
        <w:rPr>
          <w:rFonts w:hint="eastAsia" w:ascii="仿宋_GB2312" w:hAnsi="仿宋_GB2312" w:eastAsia="仿宋_GB2312" w:cs="仿宋_GB2312"/>
          <w:b w:val="0"/>
          <w:bCs w:val="0"/>
          <w:i w:val="0"/>
          <w:iCs w:val="0"/>
          <w:color w:val="000000"/>
          <w:spacing w:val="0"/>
          <w:w w:val="100"/>
          <w:sz w:val="24"/>
          <w:szCs w:val="24"/>
          <w:vertAlign w:val="baseline"/>
          <w:lang w:val="en-US" w:eastAsia="zh-CN"/>
        </w:rPr>
        <w:t>表1--泉州市分区县承载力测算情况</w:t>
      </w:r>
    </w:p>
    <w:tbl>
      <w:tblPr>
        <w:tblStyle w:val="5"/>
        <w:tblW w:w="7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039"/>
        <w:gridCol w:w="1176"/>
        <w:gridCol w:w="1408"/>
        <w:gridCol w:w="1292"/>
        <w:gridCol w:w="1500"/>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081" w:hRule="atLeast"/>
          <w:jc w:val="center"/>
        </w:trPr>
        <w:tc>
          <w:tcPr>
            <w:tcW w:w="1039" w:type="dxa"/>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val="0"/>
                <w:bCs w:val="0"/>
                <w:i w:val="0"/>
                <w:iCs w:val="0"/>
                <w:color w:val="000000"/>
                <w:spacing w:val="0"/>
                <w:w w:val="100"/>
                <w:sz w:val="24"/>
                <w:szCs w:val="24"/>
                <w:vertAlign w:val="baseline"/>
              </w:rPr>
              <w:t>地市</w:t>
            </w:r>
          </w:p>
        </w:tc>
        <w:tc>
          <w:tcPr>
            <w:tcW w:w="1176" w:type="dxa"/>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val="0"/>
                <w:bCs w:val="0"/>
                <w:i w:val="0"/>
                <w:iCs w:val="0"/>
                <w:color w:val="000000"/>
                <w:spacing w:val="0"/>
                <w:w w:val="100"/>
                <w:sz w:val="24"/>
                <w:szCs w:val="24"/>
                <w:vertAlign w:val="baseline"/>
              </w:rPr>
              <w:t>县（市、区）</w:t>
            </w:r>
          </w:p>
        </w:tc>
        <w:tc>
          <w:tcPr>
            <w:tcW w:w="1408" w:type="dxa"/>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val="0"/>
                <w:bCs w:val="0"/>
                <w:i w:val="0"/>
                <w:iCs w:val="0"/>
                <w:color w:val="000000"/>
                <w:spacing w:val="0"/>
                <w:w w:val="100"/>
                <w:sz w:val="24"/>
                <w:szCs w:val="24"/>
                <w:vertAlign w:val="baseline"/>
              </w:rPr>
              <w:t>是否整体受限</w:t>
            </w:r>
          </w:p>
        </w:tc>
        <w:tc>
          <w:tcPr>
            <w:tcW w:w="1292" w:type="dxa"/>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val="0"/>
                <w:bCs w:val="0"/>
                <w:i w:val="0"/>
                <w:iCs w:val="0"/>
                <w:color w:val="000000"/>
                <w:spacing w:val="0"/>
                <w:w w:val="100"/>
                <w:sz w:val="24"/>
                <w:szCs w:val="24"/>
                <w:vertAlign w:val="baseline"/>
              </w:rPr>
              <w:t>已接容量（MW）</w:t>
            </w:r>
          </w:p>
        </w:tc>
        <w:tc>
          <w:tcPr>
            <w:tcW w:w="1500" w:type="dxa"/>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val="0"/>
                <w:bCs w:val="0"/>
                <w:i w:val="0"/>
                <w:iCs w:val="0"/>
                <w:color w:val="000000"/>
                <w:spacing w:val="0"/>
                <w:w w:val="100"/>
                <w:sz w:val="24"/>
                <w:szCs w:val="24"/>
                <w:vertAlign w:val="baseline"/>
              </w:rPr>
              <w:t>在途容量（MW）</w:t>
            </w:r>
          </w:p>
        </w:tc>
        <w:tc>
          <w:tcPr>
            <w:tcW w:w="1445" w:type="dxa"/>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val="0"/>
                <w:bCs w:val="0"/>
                <w:i w:val="0"/>
                <w:iCs w:val="0"/>
                <w:color w:val="000000"/>
                <w:spacing w:val="0"/>
                <w:w w:val="100"/>
                <w:sz w:val="24"/>
                <w:szCs w:val="24"/>
                <w:vertAlign w:val="baseline"/>
              </w:rPr>
              <w:t>可开放容量（MW）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84" w:hRule="atLeast"/>
          <w:jc w:val="center"/>
        </w:trPr>
        <w:tc>
          <w:tcPr>
            <w:tcW w:w="1039" w:type="dxa"/>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泉州市</w:t>
            </w:r>
          </w:p>
        </w:tc>
        <w:tc>
          <w:tcPr>
            <w:tcW w:w="1176" w:type="dxa"/>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南安市</w:t>
            </w:r>
          </w:p>
        </w:tc>
        <w:tc>
          <w:tcPr>
            <w:tcW w:w="1408" w:type="dxa"/>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否</w:t>
            </w:r>
          </w:p>
        </w:tc>
        <w:tc>
          <w:tcPr>
            <w:tcW w:w="1292" w:type="dxa"/>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 xml:space="preserve">1200.99 </w:t>
            </w:r>
          </w:p>
        </w:tc>
        <w:tc>
          <w:tcPr>
            <w:tcW w:w="1500" w:type="dxa"/>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 xml:space="preserve">72.69 </w:t>
            </w:r>
          </w:p>
        </w:tc>
        <w:tc>
          <w:tcPr>
            <w:tcW w:w="1445" w:type="dxa"/>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315.65</w:t>
            </w:r>
          </w:p>
        </w:tc>
      </w:tr>
    </w:tbl>
    <w:p>
      <w:pPr>
        <w:pStyle w:val="4"/>
        <w:keepNext w:val="0"/>
        <w:keepLines w:val="0"/>
        <w:widowControl/>
        <w:numPr>
          <w:ilvl w:val="0"/>
          <w:numId w:val="0"/>
        </w:numPr>
        <w:suppressLineNumbers w:val="0"/>
        <w:spacing w:before="0" w:beforeAutospacing="0" w:after="0" w:afterAutospacing="0" w:line="578" w:lineRule="exact"/>
        <w:ind w:left="838" w:leftChars="0" w:right="0" w:rightChars="0"/>
        <w:jc w:val="both"/>
        <w:rPr>
          <w:rFonts w:hint="eastAsia" w:ascii="仿宋_GB2312" w:hAnsi="仿宋_GB2312" w:eastAsia="仿宋_GB2312" w:cs="仿宋_GB2312"/>
          <w:b/>
          <w:bCs/>
        </w:rPr>
      </w:pPr>
      <w:r>
        <w:rPr>
          <w:rFonts w:hint="eastAsia" w:ascii="仿宋_GB2312" w:hAnsi="仿宋_GB2312" w:eastAsia="仿宋_GB2312" w:cs="仿宋_GB2312"/>
          <w:b/>
          <w:bCs/>
          <w:i w:val="0"/>
          <w:iCs w:val="0"/>
          <w:color w:val="000000"/>
          <w:spacing w:val="0"/>
          <w:w w:val="100"/>
          <w:sz w:val="30"/>
          <w:szCs w:val="30"/>
          <w:vertAlign w:val="baseline"/>
          <w:lang w:val="en-US" w:eastAsia="zh-CN"/>
        </w:rPr>
        <w:t>2.</w:t>
      </w:r>
      <w:r>
        <w:rPr>
          <w:rFonts w:hint="eastAsia" w:ascii="仿宋_GB2312" w:hAnsi="仿宋_GB2312" w:eastAsia="仿宋_GB2312" w:cs="仿宋_GB2312"/>
          <w:b/>
          <w:bCs/>
          <w:i w:val="0"/>
          <w:iCs w:val="0"/>
          <w:color w:val="000000"/>
          <w:spacing w:val="0"/>
          <w:w w:val="100"/>
          <w:sz w:val="30"/>
          <w:szCs w:val="30"/>
          <w:vertAlign w:val="baseline"/>
        </w:rPr>
        <w:t>受限设备情况</w:t>
      </w:r>
    </w:p>
    <w:p>
      <w:pPr>
        <w:pStyle w:val="4"/>
        <w:keepNext w:val="0"/>
        <w:keepLines w:val="0"/>
        <w:widowControl/>
        <w:suppressLineNumbers w:val="0"/>
        <w:spacing w:before="0" w:beforeAutospacing="0" w:after="0" w:afterAutospacing="0" w:line="578" w:lineRule="exact"/>
        <w:ind w:left="0" w:right="0" w:firstLine="419"/>
        <w:jc w:val="both"/>
        <w:rPr>
          <w:rFonts w:hint="default" w:ascii="仿宋_GB2312" w:hAnsi="仿宋_GB2312" w:eastAsia="仿宋_GB2312" w:cs="仿宋_GB2312"/>
          <w:b w:val="0"/>
          <w:bCs w:val="0"/>
          <w:i w:val="0"/>
          <w:iCs w:val="0"/>
          <w:color w:val="0000FF"/>
          <w:spacing w:val="0"/>
          <w:w w:val="100"/>
          <w:sz w:val="30"/>
          <w:szCs w:val="30"/>
          <w:highlight w:val="yellow"/>
          <w:vertAlign w:val="baseline"/>
          <w:lang w:val="en-US" w:eastAsia="zh-CN"/>
        </w:rPr>
      </w:pPr>
      <w:r>
        <w:rPr>
          <w:rFonts w:hint="eastAsia" w:ascii="仿宋_GB2312" w:hAnsi="仿宋_GB2312" w:eastAsia="仿宋_GB2312" w:cs="仿宋_GB2312"/>
          <w:b w:val="0"/>
          <w:bCs w:val="0"/>
          <w:i w:val="0"/>
          <w:iCs w:val="0"/>
          <w:color w:val="000000"/>
          <w:spacing w:val="0"/>
          <w:w w:val="100"/>
          <w:sz w:val="30"/>
          <w:szCs w:val="30"/>
          <w:highlight w:val="none"/>
          <w:vertAlign w:val="baseline"/>
          <w:lang w:val="en-US" w:eastAsia="zh-CN"/>
        </w:rPr>
        <w:t>根据2026</w:t>
      </w:r>
      <w:r>
        <w:rPr>
          <w:rFonts w:hint="eastAsia" w:ascii="仿宋_GB2312" w:hAnsi="仿宋_GB2312" w:eastAsia="仿宋_GB2312" w:cs="仿宋_GB2312"/>
          <w:b w:val="0"/>
          <w:bCs w:val="0"/>
          <w:i w:val="0"/>
          <w:iCs w:val="0"/>
          <w:color w:val="000000"/>
          <w:spacing w:val="0"/>
          <w:w w:val="100"/>
          <w:sz w:val="30"/>
          <w:szCs w:val="30"/>
          <w:highlight w:val="none"/>
          <w:vertAlign w:val="baseline"/>
        </w:rPr>
        <w:t>年</w:t>
      </w:r>
      <w:r>
        <w:rPr>
          <w:rFonts w:hint="eastAsia" w:ascii="仿宋_GB2312" w:hAnsi="仿宋_GB2312" w:eastAsia="仿宋_GB2312" w:cs="仿宋_GB2312"/>
          <w:b w:val="0"/>
          <w:bCs w:val="0"/>
          <w:i w:val="0"/>
          <w:iCs w:val="0"/>
          <w:color w:val="000000"/>
          <w:spacing w:val="0"/>
          <w:w w:val="100"/>
          <w:sz w:val="30"/>
          <w:szCs w:val="30"/>
          <w:highlight w:val="none"/>
          <w:vertAlign w:val="baseline"/>
          <w:lang w:eastAsia="zh-CN"/>
        </w:rPr>
        <w:t>第</w:t>
      </w:r>
      <w:r>
        <w:rPr>
          <w:rFonts w:hint="eastAsia" w:ascii="仿宋_GB2312" w:hAnsi="仿宋_GB2312" w:eastAsia="仿宋_GB2312" w:cs="仿宋_GB2312"/>
          <w:b w:val="0"/>
          <w:bCs w:val="0"/>
          <w:i w:val="0"/>
          <w:iCs w:val="0"/>
          <w:color w:val="000000"/>
          <w:spacing w:val="0"/>
          <w:w w:val="100"/>
          <w:sz w:val="30"/>
          <w:szCs w:val="30"/>
          <w:highlight w:val="none"/>
          <w:vertAlign w:val="baseline"/>
          <w:lang w:val="en-US" w:eastAsia="zh-CN"/>
        </w:rPr>
        <w:t>一</w:t>
      </w:r>
      <w:r>
        <w:rPr>
          <w:rFonts w:hint="eastAsia" w:ascii="仿宋_GB2312" w:hAnsi="仿宋_GB2312" w:eastAsia="仿宋_GB2312" w:cs="仿宋_GB2312"/>
          <w:b w:val="0"/>
          <w:bCs w:val="0"/>
          <w:i w:val="0"/>
          <w:iCs w:val="0"/>
          <w:color w:val="000000"/>
          <w:spacing w:val="0"/>
          <w:w w:val="100"/>
          <w:sz w:val="30"/>
          <w:szCs w:val="30"/>
          <w:highlight w:val="none"/>
          <w:vertAlign w:val="baseline"/>
        </w:rPr>
        <w:t>季度</w:t>
      </w:r>
      <w:r>
        <w:rPr>
          <w:rFonts w:hint="eastAsia" w:ascii="仿宋_GB2312" w:hAnsi="仿宋_GB2312" w:eastAsia="仿宋_GB2312" w:cs="仿宋_GB2312"/>
          <w:b w:val="0"/>
          <w:bCs w:val="0"/>
          <w:i w:val="0"/>
          <w:iCs w:val="0"/>
          <w:color w:val="000000"/>
          <w:spacing w:val="0"/>
          <w:w w:val="100"/>
          <w:sz w:val="30"/>
          <w:szCs w:val="30"/>
          <w:highlight w:val="none"/>
          <w:vertAlign w:val="baseline"/>
          <w:lang w:val="en-US" w:eastAsia="zh-CN"/>
        </w:rPr>
        <w:t>承载力测算情况</w:t>
      </w:r>
      <w:r>
        <w:rPr>
          <w:rFonts w:hint="eastAsia" w:ascii="仿宋_GB2312" w:hAnsi="仿宋_GB2312" w:eastAsia="仿宋_GB2312" w:cs="仿宋_GB2312"/>
          <w:b w:val="0"/>
          <w:bCs w:val="0"/>
          <w:i w:val="0"/>
          <w:iCs w:val="0"/>
          <w:color w:val="000000"/>
          <w:spacing w:val="0"/>
          <w:w w:val="100"/>
          <w:sz w:val="30"/>
          <w:szCs w:val="30"/>
          <w:highlight w:val="none"/>
          <w:vertAlign w:val="baseline"/>
        </w:rPr>
        <w:t>，</w:t>
      </w:r>
      <w:r>
        <w:rPr>
          <w:rFonts w:hint="eastAsia" w:ascii="仿宋_GB2312" w:hAnsi="仿宋_GB2312" w:eastAsia="仿宋_GB2312" w:cs="仿宋_GB2312"/>
          <w:b w:val="0"/>
          <w:bCs w:val="0"/>
          <w:i w:val="0"/>
          <w:iCs w:val="0"/>
          <w:color w:val="000000"/>
          <w:spacing w:val="0"/>
          <w:w w:val="100"/>
          <w:sz w:val="30"/>
          <w:szCs w:val="30"/>
          <w:highlight w:val="none"/>
          <w:vertAlign w:val="baseline"/>
          <w:lang w:val="en-US" w:eastAsia="zh-CN"/>
        </w:rPr>
        <w:t>南安市</w:t>
      </w:r>
      <w:r>
        <w:rPr>
          <w:rFonts w:hint="eastAsia" w:ascii="仿宋_GB2312" w:hAnsi="仿宋_GB2312" w:eastAsia="仿宋_GB2312" w:cs="仿宋_GB2312"/>
          <w:b w:val="0"/>
          <w:bCs w:val="0"/>
          <w:i w:val="0"/>
          <w:iCs w:val="0"/>
          <w:color w:val="000000"/>
          <w:spacing w:val="0"/>
          <w:w w:val="100"/>
          <w:sz w:val="30"/>
          <w:szCs w:val="30"/>
          <w:highlight w:val="none"/>
          <w:vertAlign w:val="baseline"/>
        </w:rPr>
        <w:t>220千伏主变受限</w:t>
      </w:r>
      <w:r>
        <w:rPr>
          <w:rFonts w:hint="eastAsia" w:ascii="仿宋_GB2312" w:hAnsi="仿宋_GB2312" w:eastAsia="仿宋_GB2312" w:cs="仿宋_GB2312"/>
          <w:b w:val="0"/>
          <w:bCs w:val="0"/>
          <w:i w:val="0"/>
          <w:iCs w:val="0"/>
          <w:color w:val="000000"/>
          <w:spacing w:val="0"/>
          <w:w w:val="100"/>
          <w:sz w:val="30"/>
          <w:szCs w:val="30"/>
          <w:highlight w:val="none"/>
          <w:vertAlign w:val="baseline"/>
          <w:lang w:val="en-US" w:eastAsia="zh-CN"/>
        </w:rPr>
        <w:t>3</w:t>
      </w:r>
      <w:r>
        <w:rPr>
          <w:rFonts w:hint="eastAsia" w:ascii="仿宋_GB2312" w:hAnsi="仿宋_GB2312" w:eastAsia="仿宋_GB2312" w:cs="仿宋_GB2312"/>
          <w:b w:val="0"/>
          <w:bCs w:val="0"/>
          <w:i w:val="0"/>
          <w:iCs w:val="0"/>
          <w:color w:val="000000"/>
          <w:spacing w:val="0"/>
          <w:w w:val="100"/>
          <w:sz w:val="30"/>
          <w:szCs w:val="30"/>
          <w:highlight w:val="none"/>
          <w:vertAlign w:val="baseline"/>
        </w:rPr>
        <w:t>台；110千伏主变受限</w:t>
      </w:r>
      <w:r>
        <w:rPr>
          <w:rFonts w:hint="eastAsia" w:ascii="仿宋_GB2312" w:hAnsi="仿宋_GB2312" w:eastAsia="仿宋_GB2312" w:cs="仿宋_GB2312"/>
          <w:b w:val="0"/>
          <w:bCs w:val="0"/>
          <w:i w:val="0"/>
          <w:iCs w:val="0"/>
          <w:color w:val="000000"/>
          <w:spacing w:val="0"/>
          <w:w w:val="100"/>
          <w:sz w:val="30"/>
          <w:szCs w:val="30"/>
          <w:highlight w:val="none"/>
          <w:vertAlign w:val="baseline"/>
          <w:lang w:val="en-US" w:eastAsia="zh-CN"/>
        </w:rPr>
        <w:t>14</w:t>
      </w:r>
      <w:r>
        <w:rPr>
          <w:rFonts w:hint="eastAsia" w:ascii="仿宋_GB2312" w:hAnsi="仿宋_GB2312" w:eastAsia="仿宋_GB2312" w:cs="仿宋_GB2312"/>
          <w:b w:val="0"/>
          <w:bCs w:val="0"/>
          <w:i w:val="0"/>
          <w:iCs w:val="0"/>
          <w:color w:val="000000"/>
          <w:spacing w:val="0"/>
          <w:w w:val="100"/>
          <w:sz w:val="30"/>
          <w:szCs w:val="30"/>
          <w:highlight w:val="none"/>
          <w:vertAlign w:val="baseline"/>
        </w:rPr>
        <w:t>台，其</w:t>
      </w:r>
      <w:bookmarkStart w:id="0" w:name="_GoBack"/>
      <w:bookmarkEnd w:id="0"/>
      <w:r>
        <w:rPr>
          <w:rFonts w:hint="eastAsia" w:ascii="仿宋_GB2312" w:hAnsi="仿宋_GB2312" w:eastAsia="仿宋_GB2312" w:cs="仿宋_GB2312"/>
          <w:b w:val="0"/>
          <w:bCs w:val="0"/>
          <w:i w:val="0"/>
          <w:iCs w:val="0"/>
          <w:color w:val="000000"/>
          <w:spacing w:val="0"/>
          <w:w w:val="100"/>
          <w:sz w:val="30"/>
          <w:szCs w:val="30"/>
          <w:highlight w:val="none"/>
          <w:vertAlign w:val="baseline"/>
        </w:rPr>
        <w:t>中因本级电网受限的有</w:t>
      </w:r>
      <w:r>
        <w:rPr>
          <w:rFonts w:hint="eastAsia" w:ascii="仿宋_GB2312" w:hAnsi="仿宋_GB2312" w:eastAsia="仿宋_GB2312" w:cs="仿宋_GB2312"/>
          <w:b w:val="0"/>
          <w:bCs w:val="0"/>
          <w:i w:val="0"/>
          <w:iCs w:val="0"/>
          <w:color w:val="000000"/>
          <w:spacing w:val="0"/>
          <w:w w:val="100"/>
          <w:sz w:val="30"/>
          <w:szCs w:val="30"/>
          <w:highlight w:val="none"/>
          <w:vertAlign w:val="baseline"/>
          <w:lang w:val="en-US" w:eastAsia="zh-CN"/>
        </w:rPr>
        <w:t>0</w:t>
      </w:r>
      <w:r>
        <w:rPr>
          <w:rFonts w:hint="eastAsia" w:ascii="仿宋_GB2312" w:hAnsi="仿宋_GB2312" w:eastAsia="仿宋_GB2312" w:cs="仿宋_GB2312"/>
          <w:b w:val="0"/>
          <w:bCs w:val="0"/>
          <w:i w:val="0"/>
          <w:iCs w:val="0"/>
          <w:color w:val="000000"/>
          <w:spacing w:val="0"/>
          <w:w w:val="100"/>
          <w:sz w:val="30"/>
          <w:szCs w:val="30"/>
          <w:highlight w:val="none"/>
          <w:vertAlign w:val="baseline"/>
        </w:rPr>
        <w:t>台；35千伏主变受限</w:t>
      </w:r>
      <w:r>
        <w:rPr>
          <w:rFonts w:hint="eastAsia" w:ascii="仿宋_GB2312" w:hAnsi="仿宋_GB2312" w:eastAsia="仿宋_GB2312" w:cs="仿宋_GB2312"/>
          <w:b w:val="0"/>
          <w:bCs w:val="0"/>
          <w:i w:val="0"/>
          <w:iCs w:val="0"/>
          <w:color w:val="000000"/>
          <w:spacing w:val="0"/>
          <w:w w:val="100"/>
          <w:sz w:val="30"/>
          <w:szCs w:val="30"/>
          <w:highlight w:val="none"/>
          <w:vertAlign w:val="baseline"/>
          <w:lang w:val="en-US" w:eastAsia="zh-CN"/>
        </w:rPr>
        <w:t>18</w:t>
      </w:r>
      <w:r>
        <w:rPr>
          <w:rFonts w:hint="eastAsia" w:ascii="仿宋_GB2312" w:hAnsi="仿宋_GB2312" w:eastAsia="仿宋_GB2312" w:cs="仿宋_GB2312"/>
          <w:b w:val="0"/>
          <w:bCs w:val="0"/>
          <w:i w:val="0"/>
          <w:iCs w:val="0"/>
          <w:color w:val="000000"/>
          <w:spacing w:val="0"/>
          <w:w w:val="100"/>
          <w:sz w:val="30"/>
          <w:szCs w:val="30"/>
          <w:highlight w:val="none"/>
          <w:vertAlign w:val="baseline"/>
        </w:rPr>
        <w:t>台，其中因本级电</w:t>
      </w:r>
      <w:r>
        <w:rPr>
          <w:rFonts w:hint="eastAsia" w:ascii="仿宋_GB2312" w:hAnsi="仿宋_GB2312" w:eastAsia="仿宋_GB2312" w:cs="仿宋_GB2312"/>
          <w:b w:val="0"/>
          <w:bCs w:val="0"/>
          <w:i w:val="0"/>
          <w:iCs w:val="0"/>
          <w:color w:val="auto"/>
          <w:spacing w:val="0"/>
          <w:w w:val="100"/>
          <w:sz w:val="30"/>
          <w:szCs w:val="30"/>
          <w:highlight w:val="none"/>
          <w:vertAlign w:val="baseline"/>
        </w:rPr>
        <w:t>网受限的有</w:t>
      </w:r>
      <w:r>
        <w:rPr>
          <w:rFonts w:hint="eastAsia" w:ascii="仿宋_GB2312" w:hAnsi="仿宋_GB2312" w:eastAsia="仿宋_GB2312" w:cs="仿宋_GB2312"/>
          <w:b w:val="0"/>
          <w:bCs w:val="0"/>
          <w:i w:val="0"/>
          <w:iCs w:val="0"/>
          <w:color w:val="auto"/>
          <w:spacing w:val="0"/>
          <w:w w:val="100"/>
          <w:sz w:val="30"/>
          <w:szCs w:val="30"/>
          <w:highlight w:val="none"/>
          <w:vertAlign w:val="baseline"/>
          <w:lang w:val="en-US" w:eastAsia="zh-CN"/>
        </w:rPr>
        <w:t>2</w:t>
      </w:r>
      <w:r>
        <w:rPr>
          <w:rFonts w:hint="eastAsia" w:ascii="仿宋_GB2312" w:hAnsi="仿宋_GB2312" w:eastAsia="仿宋_GB2312" w:cs="仿宋_GB2312"/>
          <w:b w:val="0"/>
          <w:bCs w:val="0"/>
          <w:i w:val="0"/>
          <w:iCs w:val="0"/>
          <w:color w:val="auto"/>
          <w:spacing w:val="0"/>
          <w:w w:val="100"/>
          <w:sz w:val="30"/>
          <w:szCs w:val="30"/>
          <w:highlight w:val="none"/>
          <w:vertAlign w:val="baseline"/>
        </w:rPr>
        <w:t>台；10千伏</w:t>
      </w:r>
      <w:r>
        <w:rPr>
          <w:rFonts w:hint="eastAsia" w:ascii="仿宋_GB2312" w:hAnsi="仿宋_GB2312" w:eastAsia="仿宋_GB2312" w:cs="仿宋_GB2312"/>
          <w:b w:val="0"/>
          <w:bCs w:val="0"/>
          <w:i w:val="0"/>
          <w:iCs w:val="0"/>
          <w:color w:val="auto"/>
          <w:spacing w:val="0"/>
          <w:w w:val="100"/>
          <w:sz w:val="30"/>
          <w:szCs w:val="30"/>
          <w:highlight w:val="none"/>
          <w:vertAlign w:val="baseline"/>
          <w:lang w:eastAsia="zh-CN"/>
        </w:rPr>
        <w:t>公用馈线</w:t>
      </w:r>
      <w:r>
        <w:rPr>
          <w:rFonts w:hint="eastAsia" w:ascii="仿宋_GB2312" w:hAnsi="仿宋_GB2312" w:eastAsia="仿宋_GB2312" w:cs="仿宋_GB2312"/>
          <w:b w:val="0"/>
          <w:bCs w:val="0"/>
          <w:i w:val="0"/>
          <w:iCs w:val="0"/>
          <w:color w:val="auto"/>
          <w:spacing w:val="0"/>
          <w:w w:val="100"/>
          <w:sz w:val="30"/>
          <w:szCs w:val="30"/>
          <w:highlight w:val="none"/>
          <w:vertAlign w:val="baseline"/>
        </w:rPr>
        <w:t>受限</w:t>
      </w:r>
      <w:r>
        <w:rPr>
          <w:rFonts w:hint="eastAsia" w:ascii="仿宋_GB2312" w:hAnsi="仿宋_GB2312" w:eastAsia="仿宋_GB2312" w:cs="仿宋_GB2312"/>
          <w:b w:val="0"/>
          <w:bCs w:val="0"/>
          <w:i w:val="0"/>
          <w:iCs w:val="0"/>
          <w:color w:val="auto"/>
          <w:spacing w:val="0"/>
          <w:w w:val="100"/>
          <w:sz w:val="30"/>
          <w:szCs w:val="30"/>
          <w:highlight w:val="none"/>
          <w:vertAlign w:val="baseline"/>
          <w:lang w:val="en-US" w:eastAsia="zh-CN"/>
        </w:rPr>
        <w:t>142</w:t>
      </w:r>
      <w:r>
        <w:rPr>
          <w:rFonts w:hint="eastAsia" w:ascii="仿宋_GB2312" w:hAnsi="仿宋_GB2312" w:eastAsia="仿宋_GB2312" w:cs="仿宋_GB2312"/>
          <w:b w:val="0"/>
          <w:bCs w:val="0"/>
          <w:i w:val="0"/>
          <w:iCs w:val="0"/>
          <w:color w:val="auto"/>
          <w:spacing w:val="0"/>
          <w:w w:val="100"/>
          <w:sz w:val="30"/>
          <w:szCs w:val="30"/>
          <w:highlight w:val="none"/>
          <w:vertAlign w:val="baseline"/>
        </w:rPr>
        <w:t>条，其中因本级电网受限的有</w:t>
      </w:r>
      <w:r>
        <w:rPr>
          <w:rFonts w:hint="eastAsia" w:ascii="仿宋_GB2312" w:hAnsi="仿宋_GB2312" w:eastAsia="仿宋_GB2312" w:cs="仿宋_GB2312"/>
          <w:b w:val="0"/>
          <w:bCs w:val="0"/>
          <w:i w:val="0"/>
          <w:iCs w:val="0"/>
          <w:color w:val="auto"/>
          <w:spacing w:val="0"/>
          <w:w w:val="100"/>
          <w:sz w:val="30"/>
          <w:szCs w:val="30"/>
          <w:highlight w:val="none"/>
          <w:vertAlign w:val="baseline"/>
          <w:lang w:val="en-US" w:eastAsia="zh-CN"/>
        </w:rPr>
        <w:t>0条</w:t>
      </w:r>
      <w:r>
        <w:rPr>
          <w:rFonts w:hint="eastAsia" w:ascii="仿宋_GB2312" w:hAnsi="仿宋_GB2312" w:eastAsia="仿宋_GB2312" w:cs="仿宋_GB2312"/>
          <w:b w:val="0"/>
          <w:bCs w:val="0"/>
          <w:i w:val="0"/>
          <w:iCs w:val="0"/>
          <w:color w:val="auto"/>
          <w:spacing w:val="0"/>
          <w:w w:val="100"/>
          <w:sz w:val="30"/>
          <w:szCs w:val="30"/>
          <w:highlight w:val="none"/>
          <w:vertAlign w:val="baseline"/>
        </w:rPr>
        <w:t>；10千伏配变受限</w:t>
      </w:r>
      <w:r>
        <w:rPr>
          <w:rFonts w:hint="eastAsia" w:ascii="仿宋_GB2312" w:hAnsi="仿宋_GB2312" w:eastAsia="仿宋_GB2312" w:cs="仿宋_GB2312"/>
          <w:b w:val="0"/>
          <w:bCs w:val="0"/>
          <w:i w:val="0"/>
          <w:iCs w:val="0"/>
          <w:color w:val="auto"/>
          <w:spacing w:val="0"/>
          <w:w w:val="100"/>
          <w:sz w:val="30"/>
          <w:szCs w:val="30"/>
          <w:highlight w:val="none"/>
          <w:vertAlign w:val="baseline"/>
          <w:lang w:val="en-US" w:eastAsia="zh-CN"/>
        </w:rPr>
        <w:t>2645</w:t>
      </w:r>
      <w:r>
        <w:rPr>
          <w:rFonts w:hint="eastAsia" w:ascii="仿宋_GB2312" w:hAnsi="仿宋_GB2312" w:eastAsia="仿宋_GB2312" w:cs="仿宋_GB2312"/>
          <w:b w:val="0"/>
          <w:bCs w:val="0"/>
          <w:i w:val="0"/>
          <w:iCs w:val="0"/>
          <w:color w:val="auto"/>
          <w:spacing w:val="0"/>
          <w:w w:val="100"/>
          <w:sz w:val="30"/>
          <w:szCs w:val="30"/>
          <w:highlight w:val="none"/>
          <w:vertAlign w:val="baseline"/>
        </w:rPr>
        <w:t>台，其中因本级电网受限的有</w:t>
      </w:r>
      <w:r>
        <w:rPr>
          <w:rFonts w:hint="eastAsia" w:ascii="仿宋_GB2312" w:hAnsi="仿宋_GB2312" w:eastAsia="仿宋_GB2312" w:cs="仿宋_GB2312"/>
          <w:b w:val="0"/>
          <w:bCs w:val="0"/>
          <w:i w:val="0"/>
          <w:iCs w:val="0"/>
          <w:color w:val="auto"/>
          <w:spacing w:val="0"/>
          <w:w w:val="100"/>
          <w:sz w:val="30"/>
          <w:szCs w:val="30"/>
          <w:highlight w:val="none"/>
          <w:vertAlign w:val="baseline"/>
          <w:lang w:val="en-US" w:eastAsia="zh-CN"/>
        </w:rPr>
        <w:t>92</w:t>
      </w:r>
      <w:r>
        <w:rPr>
          <w:rFonts w:hint="eastAsia" w:ascii="仿宋_GB2312" w:hAnsi="仿宋_GB2312" w:eastAsia="仿宋_GB2312" w:cs="仿宋_GB2312"/>
          <w:b w:val="0"/>
          <w:bCs w:val="0"/>
          <w:i w:val="0"/>
          <w:iCs w:val="0"/>
          <w:color w:val="auto"/>
          <w:spacing w:val="0"/>
          <w:w w:val="100"/>
          <w:sz w:val="30"/>
          <w:szCs w:val="30"/>
          <w:highlight w:val="none"/>
          <w:vertAlign w:val="baseline"/>
        </w:rPr>
        <w:t>台。</w:t>
      </w:r>
    </w:p>
    <w:p>
      <w:pPr>
        <w:pStyle w:val="4"/>
        <w:keepNext w:val="0"/>
        <w:keepLines w:val="0"/>
        <w:widowControl/>
        <w:suppressLineNumbers w:val="0"/>
        <w:spacing w:before="0" w:beforeAutospacing="0" w:after="0" w:afterAutospacing="0" w:line="578" w:lineRule="exact"/>
        <w:ind w:left="0" w:right="0" w:firstLine="419"/>
        <w:jc w:val="center"/>
        <w:rPr>
          <w:rFonts w:hint="default" w:ascii="仿宋_GB2312" w:hAnsi="仿宋_GB2312" w:eastAsia="仿宋_GB2312" w:cs="仿宋_GB2312"/>
          <w:b w:val="0"/>
          <w:bCs w:val="0"/>
          <w:i w:val="0"/>
          <w:iCs w:val="0"/>
          <w:color w:val="000000"/>
          <w:spacing w:val="0"/>
          <w:w w:val="100"/>
          <w:sz w:val="24"/>
          <w:szCs w:val="24"/>
          <w:vertAlign w:val="baseline"/>
          <w:lang w:val="en-US" w:eastAsia="zh-CN"/>
        </w:rPr>
      </w:pPr>
      <w:r>
        <w:rPr>
          <w:rFonts w:hint="eastAsia" w:ascii="仿宋_GB2312" w:hAnsi="仿宋_GB2312" w:eastAsia="仿宋_GB2312" w:cs="仿宋_GB2312"/>
          <w:b w:val="0"/>
          <w:bCs w:val="0"/>
          <w:i w:val="0"/>
          <w:iCs w:val="0"/>
          <w:color w:val="000000"/>
          <w:spacing w:val="0"/>
          <w:w w:val="100"/>
          <w:sz w:val="24"/>
          <w:szCs w:val="24"/>
          <w:vertAlign w:val="baseline"/>
          <w:lang w:val="en-US" w:eastAsia="zh-CN"/>
        </w:rPr>
        <w:t>表2--泉州市分电压等级承载力测算情况</w:t>
      </w:r>
    </w:p>
    <w:tbl>
      <w:tblPr>
        <w:tblStyle w:val="5"/>
        <w:tblW w:w="8882"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964"/>
        <w:gridCol w:w="1046"/>
        <w:gridCol w:w="1158"/>
        <w:gridCol w:w="708"/>
        <w:gridCol w:w="710"/>
        <w:gridCol w:w="646"/>
        <w:gridCol w:w="762"/>
        <w:gridCol w:w="694"/>
        <w:gridCol w:w="713"/>
        <w:gridCol w:w="815"/>
        <w:gridCol w:w="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 w:hRule="atLeast"/>
        </w:trPr>
        <w:tc>
          <w:tcPr>
            <w:tcW w:w="964" w:type="dxa"/>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val="0"/>
                <w:bCs w:val="0"/>
                <w:i w:val="0"/>
                <w:iCs w:val="0"/>
                <w:color w:val="000000"/>
                <w:spacing w:val="0"/>
                <w:w w:val="100"/>
                <w:sz w:val="24"/>
                <w:szCs w:val="24"/>
                <w:vertAlign w:val="baseline"/>
              </w:rPr>
              <w:t>地市</w:t>
            </w:r>
          </w:p>
        </w:tc>
        <w:tc>
          <w:tcPr>
            <w:tcW w:w="1046" w:type="dxa"/>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val="0"/>
                <w:bCs w:val="0"/>
                <w:i w:val="0"/>
                <w:iCs w:val="0"/>
                <w:color w:val="000000"/>
                <w:spacing w:val="0"/>
                <w:w w:val="100"/>
                <w:sz w:val="24"/>
                <w:szCs w:val="24"/>
                <w:vertAlign w:val="baseline"/>
              </w:rPr>
              <w:t>县（市、区）名称</w:t>
            </w:r>
          </w:p>
        </w:tc>
        <w:tc>
          <w:tcPr>
            <w:tcW w:w="1158" w:type="dxa"/>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val="0"/>
                <w:bCs w:val="0"/>
                <w:i w:val="0"/>
                <w:iCs w:val="0"/>
                <w:color w:val="000000"/>
                <w:spacing w:val="0"/>
                <w:w w:val="100"/>
                <w:sz w:val="24"/>
                <w:szCs w:val="24"/>
                <w:vertAlign w:val="baseline"/>
              </w:rPr>
              <w:t>220千伏主变受限数量（台）</w:t>
            </w:r>
          </w:p>
        </w:tc>
        <w:tc>
          <w:tcPr>
            <w:tcW w:w="1418" w:type="dxa"/>
            <w:gridSpan w:val="2"/>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val="0"/>
                <w:bCs w:val="0"/>
                <w:i w:val="0"/>
                <w:iCs w:val="0"/>
                <w:color w:val="000000"/>
                <w:spacing w:val="0"/>
                <w:w w:val="100"/>
                <w:sz w:val="24"/>
                <w:szCs w:val="24"/>
                <w:vertAlign w:val="baseline"/>
              </w:rPr>
              <w:t>110千伏主变受限数量（台）</w:t>
            </w:r>
          </w:p>
        </w:tc>
        <w:tc>
          <w:tcPr>
            <w:tcW w:w="1408" w:type="dxa"/>
            <w:gridSpan w:val="2"/>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val="0"/>
                <w:bCs w:val="0"/>
                <w:i w:val="0"/>
                <w:iCs w:val="0"/>
                <w:color w:val="000000"/>
                <w:spacing w:val="0"/>
                <w:w w:val="100"/>
                <w:sz w:val="24"/>
                <w:szCs w:val="24"/>
                <w:vertAlign w:val="baseline"/>
              </w:rPr>
              <w:t>35千伏主变受限数量（台）</w:t>
            </w:r>
          </w:p>
        </w:tc>
        <w:tc>
          <w:tcPr>
            <w:tcW w:w="1407" w:type="dxa"/>
            <w:gridSpan w:val="2"/>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b w:val="0"/>
                <w:bCs w:val="0"/>
                <w:i w:val="0"/>
                <w:iCs w:val="0"/>
                <w:color w:val="000000"/>
                <w:spacing w:val="0"/>
                <w:w w:val="100"/>
                <w:sz w:val="24"/>
                <w:szCs w:val="24"/>
                <w:highlight w:val="none"/>
                <w:vertAlign w:val="baseline"/>
              </w:rPr>
              <w:t>10千伏线路受限数量（条）</w:t>
            </w:r>
          </w:p>
        </w:tc>
        <w:tc>
          <w:tcPr>
            <w:tcW w:w="1481" w:type="dxa"/>
            <w:gridSpan w:val="2"/>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b w:val="0"/>
                <w:bCs w:val="0"/>
                <w:i w:val="0"/>
                <w:iCs w:val="0"/>
                <w:color w:val="000000"/>
                <w:spacing w:val="0"/>
                <w:w w:val="100"/>
                <w:sz w:val="24"/>
                <w:szCs w:val="24"/>
                <w:highlight w:val="none"/>
                <w:vertAlign w:val="baseline"/>
              </w:rPr>
              <w:t>10千伏配变受限数量（台）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 w:hRule="atLeast"/>
        </w:trPr>
        <w:tc>
          <w:tcPr>
            <w:tcW w:w="964" w:type="dxa"/>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19"/>
              <w:jc w:val="center"/>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b w:val="0"/>
                <w:bCs w:val="0"/>
                <w:i w:val="0"/>
                <w:iCs w:val="0"/>
                <w:color w:val="auto"/>
                <w:spacing w:val="0"/>
                <w:w w:val="100"/>
                <w:sz w:val="24"/>
                <w:szCs w:val="24"/>
                <w:vertAlign w:val="baseline"/>
                <w:lang w:val="en-US"/>
              </w:rPr>
              <w:t> </w:t>
            </w:r>
          </w:p>
        </w:tc>
        <w:tc>
          <w:tcPr>
            <w:tcW w:w="1046" w:type="dxa"/>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19"/>
              <w:jc w:val="center"/>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b w:val="0"/>
                <w:bCs w:val="0"/>
                <w:i w:val="0"/>
                <w:iCs w:val="0"/>
                <w:color w:val="auto"/>
                <w:spacing w:val="0"/>
                <w:w w:val="100"/>
                <w:sz w:val="24"/>
                <w:szCs w:val="24"/>
                <w:vertAlign w:val="baseline"/>
                <w:lang w:val="en-US"/>
              </w:rPr>
              <w:t> </w:t>
            </w:r>
          </w:p>
        </w:tc>
        <w:tc>
          <w:tcPr>
            <w:tcW w:w="1158" w:type="dxa"/>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19"/>
              <w:jc w:val="center"/>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b w:val="0"/>
                <w:bCs w:val="0"/>
                <w:i w:val="0"/>
                <w:iCs w:val="0"/>
                <w:color w:val="auto"/>
                <w:spacing w:val="0"/>
                <w:w w:val="100"/>
                <w:sz w:val="24"/>
                <w:szCs w:val="24"/>
                <w:vertAlign w:val="baseline"/>
                <w:lang w:val="en-US"/>
              </w:rPr>
              <w:t> </w:t>
            </w:r>
          </w:p>
        </w:tc>
        <w:tc>
          <w:tcPr>
            <w:tcW w:w="708" w:type="dxa"/>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val="0"/>
                <w:bCs w:val="0"/>
                <w:i w:val="0"/>
                <w:iCs w:val="0"/>
                <w:color w:val="000000"/>
                <w:spacing w:val="0"/>
                <w:w w:val="100"/>
                <w:sz w:val="24"/>
                <w:szCs w:val="24"/>
                <w:vertAlign w:val="baseline"/>
              </w:rPr>
              <w:t>受限总数</w:t>
            </w:r>
          </w:p>
        </w:tc>
        <w:tc>
          <w:tcPr>
            <w:tcW w:w="710" w:type="dxa"/>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b w:val="0"/>
                <w:bCs w:val="0"/>
                <w:i w:val="0"/>
                <w:iCs w:val="0"/>
                <w:color w:val="000000"/>
                <w:spacing w:val="0"/>
                <w:w w:val="100"/>
                <w:sz w:val="24"/>
                <w:szCs w:val="24"/>
                <w:vertAlign w:val="baseline"/>
              </w:rPr>
            </w:pPr>
            <w:r>
              <w:rPr>
                <w:rFonts w:hint="eastAsia" w:ascii="方正仿宋_GBK" w:hAnsi="方正仿宋_GBK" w:eastAsia="方正仿宋_GBK" w:cs="方正仿宋_GBK"/>
                <w:b w:val="0"/>
                <w:bCs w:val="0"/>
                <w:i w:val="0"/>
                <w:iCs w:val="0"/>
                <w:color w:val="000000"/>
                <w:spacing w:val="0"/>
                <w:w w:val="100"/>
                <w:sz w:val="24"/>
                <w:szCs w:val="24"/>
                <w:vertAlign w:val="baseline"/>
              </w:rPr>
              <w:t>本级受限数</w:t>
            </w:r>
          </w:p>
        </w:tc>
        <w:tc>
          <w:tcPr>
            <w:tcW w:w="646" w:type="dxa"/>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val="0"/>
                <w:bCs w:val="0"/>
                <w:i w:val="0"/>
                <w:iCs w:val="0"/>
                <w:color w:val="000000"/>
                <w:spacing w:val="0"/>
                <w:w w:val="100"/>
                <w:sz w:val="24"/>
                <w:szCs w:val="24"/>
                <w:vertAlign w:val="baseline"/>
              </w:rPr>
              <w:t>受限总数</w:t>
            </w:r>
          </w:p>
        </w:tc>
        <w:tc>
          <w:tcPr>
            <w:tcW w:w="762" w:type="dxa"/>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val="0"/>
                <w:bCs w:val="0"/>
                <w:i w:val="0"/>
                <w:iCs w:val="0"/>
                <w:color w:val="000000"/>
                <w:spacing w:val="0"/>
                <w:w w:val="100"/>
                <w:sz w:val="24"/>
                <w:szCs w:val="24"/>
                <w:vertAlign w:val="baseline"/>
              </w:rPr>
              <w:t>本级受限数</w:t>
            </w:r>
          </w:p>
        </w:tc>
        <w:tc>
          <w:tcPr>
            <w:tcW w:w="694" w:type="dxa"/>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b w:val="0"/>
                <w:bCs w:val="0"/>
                <w:i w:val="0"/>
                <w:iCs w:val="0"/>
                <w:color w:val="000000"/>
                <w:spacing w:val="0"/>
                <w:w w:val="100"/>
                <w:sz w:val="24"/>
                <w:szCs w:val="24"/>
                <w:highlight w:val="none"/>
                <w:vertAlign w:val="baseline"/>
              </w:rPr>
              <w:t>受限总数</w:t>
            </w:r>
          </w:p>
        </w:tc>
        <w:tc>
          <w:tcPr>
            <w:tcW w:w="713" w:type="dxa"/>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b w:val="0"/>
                <w:bCs w:val="0"/>
                <w:i w:val="0"/>
                <w:iCs w:val="0"/>
                <w:color w:val="000000"/>
                <w:spacing w:val="0"/>
                <w:w w:val="100"/>
                <w:sz w:val="24"/>
                <w:szCs w:val="24"/>
                <w:highlight w:val="none"/>
                <w:vertAlign w:val="baseline"/>
              </w:rPr>
              <w:t>本级受限数</w:t>
            </w:r>
          </w:p>
        </w:tc>
        <w:tc>
          <w:tcPr>
            <w:tcW w:w="815" w:type="dxa"/>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b w:val="0"/>
                <w:bCs w:val="0"/>
                <w:i w:val="0"/>
                <w:iCs w:val="0"/>
                <w:color w:val="000000"/>
                <w:spacing w:val="0"/>
                <w:w w:val="100"/>
                <w:sz w:val="24"/>
                <w:szCs w:val="24"/>
                <w:highlight w:val="none"/>
                <w:vertAlign w:val="baseline"/>
              </w:rPr>
              <w:t>受限总数</w:t>
            </w:r>
          </w:p>
        </w:tc>
        <w:tc>
          <w:tcPr>
            <w:tcW w:w="666" w:type="dxa"/>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b w:val="0"/>
                <w:bCs w:val="0"/>
                <w:i w:val="0"/>
                <w:iCs w:val="0"/>
                <w:color w:val="000000"/>
                <w:spacing w:val="0"/>
                <w:w w:val="100"/>
                <w:sz w:val="24"/>
                <w:szCs w:val="24"/>
                <w:highlight w:val="none"/>
                <w:vertAlign w:val="baseline"/>
              </w:rPr>
              <w:t>本级受限数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 w:hRule="atLeast"/>
        </w:trPr>
        <w:tc>
          <w:tcPr>
            <w:tcW w:w="964" w:type="dxa"/>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方正仿宋_GBK" w:hAnsi="方正仿宋_GBK" w:eastAsia="方正仿宋_GBK" w:cs="方正仿宋_GBK"/>
                <w:b w:val="0"/>
                <w:bCs w:val="0"/>
                <w:i w:val="0"/>
                <w:iCs w:val="0"/>
                <w:color w:val="000000"/>
                <w:spacing w:val="0"/>
                <w:w w:val="100"/>
                <w:sz w:val="24"/>
                <w:szCs w:val="24"/>
                <w:vertAlign w:val="baseline"/>
                <w:lang w:val="en-US"/>
              </w:rPr>
            </w:pPr>
            <w:r>
              <w:rPr>
                <w:rFonts w:hint="eastAsia" w:ascii="方正仿宋_GBK" w:hAnsi="方正仿宋_GBK" w:eastAsia="方正仿宋_GBK" w:cs="方正仿宋_GBK"/>
                <w:sz w:val="24"/>
                <w:szCs w:val="24"/>
                <w:lang w:eastAsia="zh-CN"/>
              </w:rPr>
              <w:t>泉州市</w:t>
            </w:r>
          </w:p>
        </w:tc>
        <w:tc>
          <w:tcPr>
            <w:tcW w:w="1046" w:type="dxa"/>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方正仿宋_GBK" w:hAnsi="方正仿宋_GBK" w:eastAsia="方正仿宋_GBK" w:cs="方正仿宋_GBK"/>
                <w:b w:val="0"/>
                <w:bCs w:val="0"/>
                <w:i w:val="0"/>
                <w:iCs w:val="0"/>
                <w:color w:val="000000"/>
                <w:spacing w:val="0"/>
                <w:w w:val="100"/>
                <w:sz w:val="24"/>
                <w:szCs w:val="24"/>
                <w:vertAlign w:val="baseline"/>
                <w:lang w:val="en-US"/>
              </w:rPr>
            </w:pPr>
            <w:r>
              <w:rPr>
                <w:rFonts w:hint="eastAsia" w:ascii="方正仿宋_GBK" w:hAnsi="方正仿宋_GBK" w:eastAsia="方正仿宋_GBK" w:cs="方正仿宋_GBK"/>
                <w:i w:val="0"/>
                <w:iCs w:val="0"/>
                <w:color w:val="000000"/>
                <w:kern w:val="0"/>
                <w:sz w:val="24"/>
                <w:szCs w:val="24"/>
                <w:u w:val="none"/>
                <w:lang w:val="en-US" w:eastAsia="zh-CN" w:bidi="ar"/>
              </w:rPr>
              <w:t>南安市</w:t>
            </w:r>
          </w:p>
        </w:tc>
        <w:tc>
          <w:tcPr>
            <w:tcW w:w="1158"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3</w:t>
            </w:r>
          </w:p>
        </w:tc>
        <w:tc>
          <w:tcPr>
            <w:tcW w:w="708"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14</w:t>
            </w:r>
          </w:p>
        </w:tc>
        <w:tc>
          <w:tcPr>
            <w:tcW w:w="710"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0</w:t>
            </w:r>
          </w:p>
        </w:tc>
        <w:tc>
          <w:tcPr>
            <w:tcW w:w="646"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18</w:t>
            </w:r>
          </w:p>
        </w:tc>
        <w:tc>
          <w:tcPr>
            <w:tcW w:w="762"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2</w:t>
            </w:r>
          </w:p>
        </w:tc>
        <w:tc>
          <w:tcPr>
            <w:tcW w:w="694"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142</w:t>
            </w:r>
          </w:p>
        </w:tc>
        <w:tc>
          <w:tcPr>
            <w:tcW w:w="713"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0</w:t>
            </w:r>
          </w:p>
        </w:tc>
        <w:tc>
          <w:tcPr>
            <w:tcW w:w="815"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2645</w:t>
            </w:r>
          </w:p>
        </w:tc>
        <w:tc>
          <w:tcPr>
            <w:tcW w:w="666"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92</w:t>
            </w:r>
          </w:p>
        </w:tc>
      </w:tr>
    </w:tbl>
    <w:p>
      <w:pPr>
        <w:pStyle w:val="4"/>
        <w:keepNext w:val="0"/>
        <w:keepLines w:val="0"/>
        <w:widowControl/>
        <w:numPr>
          <w:ilvl w:val="0"/>
          <w:numId w:val="2"/>
        </w:numPr>
        <w:suppressLineNumbers w:val="0"/>
        <w:spacing w:before="0" w:beforeAutospacing="0" w:after="0" w:afterAutospacing="0" w:line="578" w:lineRule="exact"/>
        <w:ind w:left="0" w:right="0" w:firstLine="419"/>
        <w:jc w:val="both"/>
        <w:rPr>
          <w:rFonts w:hint="eastAsia" w:ascii="方正黑体_GBK" w:hAnsi="方正黑体_GBK" w:eastAsia="方正黑体_GBK" w:cs="方正黑体_GBK"/>
          <w:b w:val="0"/>
          <w:bCs w:val="0"/>
          <w:i w:val="0"/>
          <w:iCs w:val="0"/>
          <w:color w:val="000000"/>
          <w:spacing w:val="0"/>
          <w:w w:val="100"/>
          <w:sz w:val="30"/>
          <w:szCs w:val="30"/>
          <w:vertAlign w:val="baseline"/>
        </w:rPr>
      </w:pPr>
      <w:r>
        <w:rPr>
          <w:rFonts w:hint="eastAsia" w:ascii="方正黑体_GBK" w:hAnsi="方正黑体_GBK" w:eastAsia="方正黑体_GBK" w:cs="方正黑体_GBK"/>
          <w:b w:val="0"/>
          <w:bCs w:val="0"/>
          <w:i w:val="0"/>
          <w:iCs w:val="0"/>
          <w:color w:val="000000"/>
          <w:spacing w:val="0"/>
          <w:w w:val="100"/>
          <w:sz w:val="30"/>
          <w:szCs w:val="30"/>
          <w:vertAlign w:val="baseline"/>
        </w:rPr>
        <w:t>分布式光伏承载力受限提升措施</w:t>
      </w:r>
    </w:p>
    <w:p>
      <w:pPr>
        <w:pStyle w:val="4"/>
        <w:keepNext w:val="0"/>
        <w:keepLines w:val="0"/>
        <w:widowControl/>
        <w:numPr>
          <w:ilvl w:val="0"/>
          <w:numId w:val="0"/>
        </w:numPr>
        <w:suppressLineNumbers w:val="0"/>
        <w:spacing w:before="0" w:beforeAutospacing="0" w:after="0" w:afterAutospacing="0" w:line="578" w:lineRule="exact"/>
        <w:ind w:right="0" w:rightChars="0" w:firstLine="602" w:firstLineChars="200"/>
        <w:jc w:val="both"/>
        <w:rPr>
          <w:rFonts w:hint="eastAsia" w:ascii="方正黑体_GBK" w:hAnsi="方正黑体_GBK" w:eastAsia="方正黑体_GBK" w:cs="方正黑体_GBK"/>
          <w:b w:val="0"/>
          <w:bCs w:val="0"/>
          <w:i w:val="0"/>
          <w:iCs w:val="0"/>
          <w:color w:val="000000"/>
          <w:spacing w:val="0"/>
          <w:w w:val="100"/>
          <w:sz w:val="30"/>
          <w:szCs w:val="30"/>
          <w:vertAlign w:val="baseline"/>
        </w:rPr>
      </w:pPr>
      <w:r>
        <w:rPr>
          <w:rFonts w:hint="eastAsia" w:ascii="仿宋_GB2312" w:hAnsi="仿宋_GB2312" w:eastAsia="仿宋_GB2312" w:cs="仿宋_GB2312"/>
          <w:b/>
          <w:bCs/>
          <w:i w:val="0"/>
          <w:iCs w:val="0"/>
          <w:color w:val="000000"/>
          <w:spacing w:val="0"/>
          <w:w w:val="100"/>
          <w:sz w:val="30"/>
          <w:szCs w:val="30"/>
          <w:vertAlign w:val="baseline"/>
          <w:lang w:eastAsia="zh-CN"/>
        </w:rPr>
        <w:t>（</w:t>
      </w:r>
      <w:r>
        <w:rPr>
          <w:rFonts w:hint="eastAsia" w:ascii="仿宋_GB2312" w:hAnsi="仿宋_GB2312" w:eastAsia="仿宋_GB2312" w:cs="仿宋_GB2312"/>
          <w:b/>
          <w:bCs/>
          <w:i w:val="0"/>
          <w:iCs w:val="0"/>
          <w:color w:val="000000"/>
          <w:spacing w:val="0"/>
          <w:w w:val="100"/>
          <w:sz w:val="30"/>
          <w:szCs w:val="30"/>
          <w:vertAlign w:val="baseline"/>
          <w:lang w:val="en-US" w:eastAsia="zh-CN"/>
        </w:rPr>
        <w:t>一</w:t>
      </w:r>
      <w:r>
        <w:rPr>
          <w:rFonts w:hint="eastAsia" w:ascii="仿宋_GB2312" w:hAnsi="仿宋_GB2312" w:eastAsia="仿宋_GB2312" w:cs="仿宋_GB2312"/>
          <w:b/>
          <w:bCs/>
          <w:i w:val="0"/>
          <w:iCs w:val="0"/>
          <w:color w:val="000000"/>
          <w:spacing w:val="0"/>
          <w:w w:val="100"/>
          <w:sz w:val="30"/>
          <w:szCs w:val="30"/>
          <w:vertAlign w:val="baseline"/>
          <w:lang w:eastAsia="zh-CN"/>
        </w:rPr>
        <w:t>）</w:t>
      </w:r>
      <w:r>
        <w:rPr>
          <w:rFonts w:hint="eastAsia" w:ascii="仿宋_GB2312" w:hAnsi="仿宋_GB2312" w:eastAsia="仿宋_GB2312" w:cs="仿宋_GB2312"/>
          <w:b/>
          <w:bCs/>
          <w:i w:val="0"/>
          <w:iCs w:val="0"/>
          <w:color w:val="000000"/>
          <w:spacing w:val="0"/>
          <w:w w:val="100"/>
          <w:sz w:val="30"/>
          <w:szCs w:val="30"/>
          <w:vertAlign w:val="baseline"/>
        </w:rPr>
        <w:t>电网侧提升措施</w:t>
      </w:r>
    </w:p>
    <w:p>
      <w:pPr>
        <w:pStyle w:val="4"/>
        <w:keepNext w:val="0"/>
        <w:keepLines w:val="0"/>
        <w:widowControl/>
        <w:suppressLineNumbers w:val="0"/>
        <w:spacing w:before="0" w:beforeAutospacing="0" w:after="0" w:afterAutospacing="0" w:line="578" w:lineRule="exact"/>
        <w:ind w:right="0" w:firstLine="600"/>
        <w:jc w:val="both"/>
        <w:rPr>
          <w:rFonts w:hint="eastAsia" w:ascii="仿宋_GB2312" w:hAnsi="仿宋_GB2312" w:eastAsia="仿宋_GB2312" w:cs="仿宋_GB2312"/>
          <w:b w:val="0"/>
          <w:bCs w:val="0"/>
          <w:i w:val="0"/>
          <w:iCs w:val="0"/>
          <w:color w:val="auto"/>
          <w:spacing w:val="0"/>
          <w:w w:val="100"/>
          <w:sz w:val="30"/>
          <w:szCs w:val="30"/>
          <w:vertAlign w:val="baseline"/>
          <w:lang w:val="en-US" w:eastAsia="zh-CN"/>
        </w:rPr>
      </w:pPr>
      <w:r>
        <w:rPr>
          <w:rFonts w:hint="eastAsia" w:ascii="仿宋_GB2312" w:hAnsi="仿宋_GB2312" w:eastAsia="仿宋_GB2312" w:cs="仿宋_GB2312"/>
          <w:b w:val="0"/>
          <w:bCs w:val="0"/>
          <w:i w:val="0"/>
          <w:iCs w:val="0"/>
          <w:color w:val="auto"/>
          <w:spacing w:val="0"/>
          <w:w w:val="100"/>
          <w:sz w:val="30"/>
          <w:szCs w:val="30"/>
          <w:vertAlign w:val="baseline"/>
          <w:lang w:val="en-US" w:eastAsia="zh-CN"/>
        </w:rPr>
        <w:t>截至本季度，受限于“分布式电源不反送220千伏及以上电网”的要求，南安北部2座220千伏变电站新增分布式光伏受限，供区涵盖南安北部各乡镇。主要原因是这类供区均呈用电负荷不高、分布式电源接入量大的特点，在分布式电源出力大于用电负荷时段，存在分布式电源出力反送220千伏电网情况。</w:t>
      </w:r>
    </w:p>
    <w:p>
      <w:pPr>
        <w:pStyle w:val="4"/>
        <w:keepNext w:val="0"/>
        <w:keepLines w:val="0"/>
        <w:widowControl/>
        <w:suppressLineNumbers w:val="0"/>
        <w:spacing w:before="0" w:beforeAutospacing="0" w:after="0" w:afterAutospacing="0" w:line="578" w:lineRule="exact"/>
        <w:ind w:right="0" w:firstLine="600"/>
        <w:jc w:val="both"/>
        <w:rPr>
          <w:rFonts w:hint="eastAsia" w:ascii="仿宋_GB2312" w:hAnsi="仿宋_GB2312" w:eastAsia="仿宋_GB2312" w:cs="仿宋_GB2312"/>
          <w:b w:val="0"/>
          <w:bCs w:val="0"/>
          <w:i w:val="0"/>
          <w:iCs w:val="0"/>
          <w:color w:val="auto"/>
          <w:spacing w:val="0"/>
          <w:w w:val="100"/>
          <w:sz w:val="30"/>
          <w:szCs w:val="30"/>
          <w:vertAlign w:val="baseline"/>
          <w:lang w:val="en-US" w:eastAsia="zh-CN"/>
        </w:rPr>
      </w:pPr>
      <w:r>
        <w:rPr>
          <w:rFonts w:hint="eastAsia" w:ascii="仿宋_GB2312" w:hAnsi="仿宋_GB2312" w:eastAsia="仿宋_GB2312" w:cs="仿宋_GB2312"/>
          <w:b w:val="0"/>
          <w:bCs w:val="0"/>
          <w:i w:val="0"/>
          <w:iCs w:val="0"/>
          <w:color w:val="auto"/>
          <w:spacing w:val="0"/>
          <w:w w:val="100"/>
          <w:sz w:val="30"/>
          <w:szCs w:val="30"/>
          <w:vertAlign w:val="baseline"/>
          <w:lang w:val="en-US" w:eastAsia="zh-CN"/>
        </w:rPr>
        <w:t>鉴于用电负荷发展以及负荷与出力时空优化是一项长期的社会工程，电网侧提升措施主要考虑从源荷比相对较低或电力需求量相对较大的区域，结合电网发展规划深度挖掘可开放容量：拟结合2028年新建南安220千伏省新输变电工程、</w:t>
      </w:r>
      <w:r>
        <w:rPr>
          <w:rFonts w:hint="default" w:ascii="仿宋_GB2312" w:hAnsi="仿宋_GB2312" w:eastAsia="仿宋_GB2312" w:cs="仿宋_GB2312"/>
          <w:b w:val="0"/>
          <w:bCs w:val="0"/>
          <w:i w:val="0"/>
          <w:iCs w:val="0"/>
          <w:color w:val="auto"/>
          <w:spacing w:val="0"/>
          <w:w w:val="100"/>
          <w:sz w:val="30"/>
          <w:szCs w:val="30"/>
          <w:vertAlign w:val="baseline"/>
          <w:lang w:val="en-US" w:eastAsia="zh-CN"/>
        </w:rPr>
        <w:t>2030年</w:t>
      </w:r>
      <w:r>
        <w:rPr>
          <w:rFonts w:hint="eastAsia" w:ascii="仿宋_GB2312" w:hAnsi="仿宋_GB2312" w:eastAsia="仿宋_GB2312" w:cs="仿宋_GB2312"/>
          <w:b w:val="0"/>
          <w:bCs w:val="0"/>
          <w:i w:val="0"/>
          <w:iCs w:val="0"/>
          <w:color w:val="auto"/>
          <w:spacing w:val="0"/>
          <w:w w:val="100"/>
          <w:sz w:val="30"/>
          <w:szCs w:val="30"/>
          <w:vertAlign w:val="baseline"/>
          <w:lang w:val="en-US" w:eastAsia="zh-CN"/>
        </w:rPr>
        <w:t>新建</w:t>
      </w:r>
      <w:r>
        <w:rPr>
          <w:rFonts w:hint="default" w:ascii="仿宋_GB2312" w:hAnsi="仿宋_GB2312" w:eastAsia="仿宋_GB2312" w:cs="仿宋_GB2312"/>
          <w:b w:val="0"/>
          <w:bCs w:val="0"/>
          <w:i w:val="0"/>
          <w:iCs w:val="0"/>
          <w:color w:val="auto"/>
          <w:spacing w:val="0"/>
          <w:w w:val="100"/>
          <w:sz w:val="30"/>
          <w:szCs w:val="30"/>
          <w:vertAlign w:val="baseline"/>
          <w:lang w:val="en-US" w:eastAsia="zh-CN"/>
        </w:rPr>
        <w:t>南安石林110</w:t>
      </w:r>
      <w:r>
        <w:rPr>
          <w:rFonts w:hint="eastAsia" w:ascii="仿宋_GB2312" w:hAnsi="仿宋_GB2312" w:eastAsia="仿宋_GB2312" w:cs="仿宋_GB2312"/>
          <w:b w:val="0"/>
          <w:bCs w:val="0"/>
          <w:i w:val="0"/>
          <w:iCs w:val="0"/>
          <w:color w:val="auto"/>
          <w:spacing w:val="0"/>
          <w:w w:val="100"/>
          <w:sz w:val="30"/>
          <w:szCs w:val="30"/>
          <w:vertAlign w:val="baseline"/>
          <w:lang w:val="en-US" w:eastAsia="zh-CN"/>
        </w:rPr>
        <w:t>千伏</w:t>
      </w:r>
      <w:r>
        <w:rPr>
          <w:rFonts w:hint="default" w:ascii="仿宋_GB2312" w:hAnsi="仿宋_GB2312" w:eastAsia="仿宋_GB2312" w:cs="仿宋_GB2312"/>
          <w:b w:val="0"/>
          <w:bCs w:val="0"/>
          <w:i w:val="0"/>
          <w:iCs w:val="0"/>
          <w:color w:val="auto"/>
          <w:spacing w:val="0"/>
          <w:w w:val="100"/>
          <w:sz w:val="30"/>
          <w:szCs w:val="30"/>
          <w:vertAlign w:val="baseline"/>
          <w:lang w:val="en-US" w:eastAsia="zh-CN"/>
        </w:rPr>
        <w:t>输变电工程</w:t>
      </w:r>
      <w:r>
        <w:rPr>
          <w:rFonts w:hint="eastAsia" w:ascii="仿宋_GB2312" w:hAnsi="仿宋_GB2312" w:eastAsia="仿宋_GB2312" w:cs="仿宋_GB2312"/>
          <w:b w:val="0"/>
          <w:bCs w:val="0"/>
          <w:i w:val="0"/>
          <w:iCs w:val="0"/>
          <w:color w:val="auto"/>
          <w:spacing w:val="0"/>
          <w:w w:val="100"/>
          <w:sz w:val="30"/>
          <w:szCs w:val="30"/>
          <w:vertAlign w:val="baseline"/>
          <w:lang w:val="en-US" w:eastAsia="zh-CN"/>
        </w:rPr>
        <w:t>等，将原南安220千伏时潮变受限供区内的金淘镇、蓬华镇以及康美镇部分区域改接入220千伏省新变等中部地区消纳，预计可新增开放容量1万千瓦。</w:t>
      </w:r>
    </w:p>
    <w:p>
      <w:pPr>
        <w:pStyle w:val="4"/>
        <w:keepNext w:val="0"/>
        <w:keepLines w:val="0"/>
        <w:widowControl/>
        <w:suppressLineNumbers w:val="0"/>
        <w:spacing w:before="0" w:beforeAutospacing="0" w:after="0" w:afterAutospacing="0" w:line="578" w:lineRule="exact"/>
        <w:ind w:right="0" w:firstLine="600"/>
        <w:jc w:val="both"/>
        <w:rPr>
          <w:rFonts w:hint="eastAsia" w:ascii="仿宋_GB2312" w:hAnsi="仿宋_GB2312" w:eastAsia="仿宋_GB2312" w:cs="仿宋_GB2312"/>
          <w:b w:val="0"/>
          <w:bCs w:val="0"/>
          <w:i w:val="0"/>
          <w:iCs w:val="0"/>
          <w:color w:val="auto"/>
          <w:spacing w:val="0"/>
          <w:w w:val="100"/>
          <w:sz w:val="30"/>
          <w:szCs w:val="30"/>
          <w:vertAlign w:val="baseline"/>
          <w:lang w:val="en-US" w:eastAsia="zh-CN"/>
        </w:rPr>
      </w:pPr>
      <w:r>
        <w:rPr>
          <w:rFonts w:hint="eastAsia" w:ascii="仿宋_GB2312" w:hAnsi="仿宋_GB2312" w:eastAsia="仿宋_GB2312" w:cs="仿宋_GB2312"/>
          <w:b w:val="0"/>
          <w:bCs w:val="0"/>
          <w:i w:val="0"/>
          <w:iCs w:val="0"/>
          <w:color w:val="auto"/>
          <w:spacing w:val="0"/>
          <w:w w:val="100"/>
          <w:sz w:val="30"/>
          <w:szCs w:val="30"/>
          <w:highlight w:val="none"/>
          <w:vertAlign w:val="baseline"/>
          <w:lang w:val="en-US" w:eastAsia="zh-CN"/>
        </w:rPr>
        <w:t>110千伏层面来看</w:t>
      </w:r>
      <w:r>
        <w:rPr>
          <w:rFonts w:hint="eastAsia" w:ascii="仿宋_GB2312" w:hAnsi="仿宋_GB2312" w:eastAsia="仿宋_GB2312" w:cs="仿宋_GB2312"/>
          <w:b w:val="0"/>
          <w:bCs w:val="0"/>
          <w:i w:val="0"/>
          <w:iCs w:val="0"/>
          <w:color w:val="auto"/>
          <w:spacing w:val="0"/>
          <w:w w:val="100"/>
          <w:sz w:val="30"/>
          <w:szCs w:val="30"/>
          <w:vertAlign w:val="baseline"/>
          <w:lang w:val="en-US" w:eastAsia="zh-CN"/>
        </w:rPr>
        <w:t>南安市无自身承载力不足受限设备。</w:t>
      </w:r>
    </w:p>
    <w:p>
      <w:pPr>
        <w:pStyle w:val="4"/>
        <w:keepNext w:val="0"/>
        <w:keepLines w:val="0"/>
        <w:widowControl/>
        <w:suppressLineNumbers w:val="0"/>
        <w:spacing w:before="0" w:beforeAutospacing="0" w:after="0" w:afterAutospacing="0" w:line="578" w:lineRule="exact"/>
        <w:ind w:right="0" w:firstLine="600"/>
        <w:jc w:val="both"/>
        <w:rPr>
          <w:rFonts w:hint="default" w:ascii="仿宋_GB2312" w:hAnsi="仿宋_GB2312" w:eastAsia="仿宋_GB2312" w:cs="仿宋_GB2312"/>
          <w:b w:val="0"/>
          <w:bCs w:val="0"/>
          <w:i w:val="0"/>
          <w:iCs w:val="0"/>
          <w:color w:val="auto"/>
          <w:spacing w:val="0"/>
          <w:w w:val="100"/>
          <w:sz w:val="30"/>
          <w:szCs w:val="30"/>
          <w:vertAlign w:val="baseline"/>
          <w:lang w:val="en-US" w:eastAsia="zh-CN"/>
        </w:rPr>
      </w:pPr>
      <w:r>
        <w:rPr>
          <w:rFonts w:hint="eastAsia" w:ascii="仿宋_GB2312" w:hAnsi="仿宋_GB2312" w:eastAsia="仿宋_GB2312" w:cs="仿宋_GB2312"/>
          <w:b w:val="0"/>
          <w:bCs w:val="0"/>
          <w:i w:val="0"/>
          <w:iCs w:val="0"/>
          <w:color w:val="auto"/>
          <w:spacing w:val="0"/>
          <w:w w:val="100"/>
          <w:sz w:val="30"/>
          <w:szCs w:val="30"/>
          <w:vertAlign w:val="baseline"/>
          <w:lang w:val="en-US" w:eastAsia="zh-CN"/>
        </w:rPr>
        <w:t>35千伏层面</w:t>
      </w:r>
      <w:r>
        <w:rPr>
          <w:rFonts w:hint="eastAsia" w:ascii="仿宋_GB2312" w:hAnsi="仿宋_GB2312" w:eastAsia="仿宋_GB2312" w:cs="仿宋_GB2312"/>
          <w:b w:val="0"/>
          <w:bCs w:val="0"/>
          <w:i w:val="0"/>
          <w:iCs w:val="0"/>
          <w:color w:val="auto"/>
          <w:spacing w:val="0"/>
          <w:w w:val="100"/>
          <w:sz w:val="30"/>
          <w:szCs w:val="30"/>
          <w:highlight w:val="none"/>
          <w:vertAlign w:val="baseline"/>
          <w:lang w:val="en-US" w:eastAsia="zh-CN"/>
        </w:rPr>
        <w:t>来看</w:t>
      </w:r>
      <w:r>
        <w:rPr>
          <w:rFonts w:hint="eastAsia" w:ascii="仿宋_GB2312" w:hAnsi="仿宋_GB2312" w:eastAsia="仿宋_GB2312" w:cs="仿宋_GB2312"/>
          <w:b w:val="0"/>
          <w:bCs w:val="0"/>
          <w:i w:val="0"/>
          <w:iCs w:val="0"/>
          <w:color w:val="auto"/>
          <w:spacing w:val="0"/>
          <w:w w:val="100"/>
          <w:sz w:val="30"/>
          <w:szCs w:val="30"/>
          <w:vertAlign w:val="baseline"/>
          <w:lang w:val="en-US" w:eastAsia="zh-CN"/>
        </w:rPr>
        <w:t>南安翔云变因存量分布式电源装机达1.5万千瓦较高，主变反向负载率较大导致新增接入受限，下一步将结合2027年泉州南安翔云二35千伏输变电工程提升翔云镇受限区域承载能力。</w:t>
      </w:r>
    </w:p>
    <w:p>
      <w:pPr>
        <w:pStyle w:val="4"/>
        <w:keepNext w:val="0"/>
        <w:keepLines w:val="0"/>
        <w:widowControl/>
        <w:suppressLineNumbers w:val="0"/>
        <w:spacing w:before="0" w:beforeAutospacing="0" w:after="0" w:afterAutospacing="0" w:line="578" w:lineRule="exact"/>
        <w:ind w:right="0" w:firstLine="600"/>
        <w:jc w:val="both"/>
        <w:rPr>
          <w:rFonts w:hint="eastAsia" w:ascii="仿宋_GB2312" w:hAnsi="仿宋_GB2312" w:eastAsia="仿宋_GB2312" w:cs="仿宋_GB2312"/>
          <w:b w:val="0"/>
          <w:bCs w:val="0"/>
          <w:i w:val="0"/>
          <w:iCs w:val="0"/>
          <w:color w:val="auto"/>
          <w:spacing w:val="0"/>
          <w:w w:val="100"/>
          <w:sz w:val="30"/>
          <w:szCs w:val="30"/>
          <w:vertAlign w:val="baseline"/>
          <w:lang w:val="en-US" w:eastAsia="zh-CN"/>
        </w:rPr>
      </w:pPr>
      <w:r>
        <w:rPr>
          <w:rFonts w:hint="eastAsia" w:ascii="仿宋_GB2312" w:hAnsi="仿宋_GB2312" w:eastAsia="仿宋_GB2312" w:cs="仿宋_GB2312"/>
          <w:b w:val="0"/>
          <w:bCs w:val="0"/>
          <w:i w:val="0"/>
          <w:iCs w:val="0"/>
          <w:color w:val="auto"/>
          <w:spacing w:val="0"/>
          <w:w w:val="100"/>
          <w:sz w:val="30"/>
          <w:szCs w:val="30"/>
          <w:vertAlign w:val="baseline"/>
          <w:lang w:val="en-US" w:eastAsia="zh-CN"/>
        </w:rPr>
        <w:t>10千伏公用馈线层面来看南安市无自身承载力不足受限设备。</w:t>
      </w:r>
    </w:p>
    <w:p>
      <w:pPr>
        <w:ind w:firstLine="600" w:firstLineChars="200"/>
        <w:rPr>
          <w:rFonts w:hint="eastAsia" w:ascii="仿宋_GB2312" w:hAnsi="仿宋_GB2312" w:eastAsia="仿宋_GB2312" w:cs="仿宋_GB2312"/>
          <w:b w:val="0"/>
          <w:bCs w:val="0"/>
          <w:i w:val="0"/>
          <w:iCs w:val="0"/>
          <w:color w:val="auto"/>
          <w:spacing w:val="0"/>
          <w:w w:val="100"/>
          <w:kern w:val="2"/>
          <w:sz w:val="30"/>
          <w:szCs w:val="30"/>
          <w:vertAlign w:val="baseline"/>
          <w:lang w:val="en-US" w:eastAsia="zh-CN" w:bidi="ar-SA"/>
        </w:rPr>
      </w:pPr>
      <w:r>
        <w:rPr>
          <w:rFonts w:hint="default" w:ascii="仿宋_GB2312" w:hAnsi="仿宋_GB2312" w:eastAsia="仿宋_GB2312" w:cs="仿宋_GB2312"/>
          <w:b w:val="0"/>
          <w:bCs w:val="0"/>
          <w:i w:val="0"/>
          <w:iCs w:val="0"/>
          <w:color w:val="auto"/>
          <w:spacing w:val="0"/>
          <w:w w:val="100"/>
          <w:kern w:val="2"/>
          <w:sz w:val="30"/>
          <w:szCs w:val="30"/>
          <w:vertAlign w:val="baseline"/>
          <w:lang w:val="en-US" w:eastAsia="zh-CN" w:bidi="ar-SA"/>
        </w:rPr>
        <w:t>10kV公用配变层面有</w:t>
      </w:r>
      <w:r>
        <w:rPr>
          <w:rFonts w:hint="eastAsia" w:ascii="仿宋_GB2312" w:hAnsi="仿宋_GB2312" w:eastAsia="仿宋_GB2312" w:cs="仿宋_GB2312"/>
          <w:b w:val="0"/>
          <w:bCs w:val="0"/>
          <w:i w:val="0"/>
          <w:iCs w:val="0"/>
          <w:color w:val="auto"/>
          <w:spacing w:val="0"/>
          <w:w w:val="100"/>
          <w:kern w:val="2"/>
          <w:sz w:val="30"/>
          <w:szCs w:val="30"/>
          <w:vertAlign w:val="baseline"/>
          <w:lang w:val="en-US" w:eastAsia="zh-CN" w:bidi="ar-SA"/>
        </w:rPr>
        <w:t>92</w:t>
      </w:r>
      <w:r>
        <w:rPr>
          <w:rFonts w:hint="default" w:ascii="仿宋_GB2312" w:hAnsi="仿宋_GB2312" w:eastAsia="仿宋_GB2312" w:cs="仿宋_GB2312"/>
          <w:b w:val="0"/>
          <w:bCs w:val="0"/>
          <w:i w:val="0"/>
          <w:iCs w:val="0"/>
          <w:color w:val="auto"/>
          <w:spacing w:val="0"/>
          <w:w w:val="100"/>
          <w:kern w:val="2"/>
          <w:sz w:val="30"/>
          <w:szCs w:val="30"/>
          <w:vertAlign w:val="baseline"/>
          <w:lang w:val="en-US" w:eastAsia="zh-CN" w:bidi="ar-SA"/>
        </w:rPr>
        <w:t>台配变为本级原因受限，其中</w:t>
      </w:r>
      <w:r>
        <w:rPr>
          <w:rFonts w:hint="eastAsia" w:ascii="仿宋_GB2312" w:hAnsi="仿宋_GB2312" w:eastAsia="仿宋_GB2312" w:cs="仿宋_GB2312"/>
          <w:b w:val="0"/>
          <w:bCs w:val="0"/>
          <w:i w:val="0"/>
          <w:iCs w:val="0"/>
          <w:color w:val="auto"/>
          <w:spacing w:val="0"/>
          <w:w w:val="100"/>
          <w:kern w:val="2"/>
          <w:sz w:val="30"/>
          <w:szCs w:val="30"/>
          <w:vertAlign w:val="baseline"/>
          <w:lang w:val="en-US" w:eastAsia="zh-CN" w:bidi="ar-SA"/>
        </w:rPr>
        <w:t>19</w:t>
      </w:r>
      <w:r>
        <w:rPr>
          <w:rFonts w:hint="default" w:ascii="仿宋_GB2312" w:hAnsi="仿宋_GB2312" w:eastAsia="仿宋_GB2312" w:cs="仿宋_GB2312"/>
          <w:b w:val="0"/>
          <w:bCs w:val="0"/>
          <w:i w:val="0"/>
          <w:iCs w:val="0"/>
          <w:color w:val="auto"/>
          <w:spacing w:val="0"/>
          <w:w w:val="100"/>
          <w:kern w:val="2"/>
          <w:sz w:val="30"/>
          <w:szCs w:val="30"/>
          <w:vertAlign w:val="baseline"/>
          <w:lang w:val="en-US" w:eastAsia="zh-CN" w:bidi="ar-SA"/>
        </w:rPr>
        <w:t>台为电能质量不达标原因受限，目前均已完成治理措施梳理，受配改项目进度较慢影响，受限配变拟通过电源包或业扩包解决</w:t>
      </w:r>
      <w:r>
        <w:rPr>
          <w:rFonts w:hint="eastAsia" w:ascii="仿宋_GB2312" w:hAnsi="仿宋_GB2312" w:eastAsia="仿宋_GB2312" w:cs="仿宋_GB2312"/>
          <w:b w:val="0"/>
          <w:bCs w:val="0"/>
          <w:i w:val="0"/>
          <w:iCs w:val="0"/>
          <w:color w:val="auto"/>
          <w:spacing w:val="0"/>
          <w:w w:val="100"/>
          <w:kern w:val="2"/>
          <w:sz w:val="30"/>
          <w:szCs w:val="30"/>
          <w:vertAlign w:val="baseline"/>
          <w:lang w:val="en-US" w:eastAsia="zh-CN" w:bidi="ar-SA"/>
        </w:rPr>
        <w:t>，力争</w:t>
      </w:r>
      <w:r>
        <w:rPr>
          <w:rFonts w:hint="default" w:ascii="仿宋_GB2312" w:hAnsi="仿宋_GB2312" w:eastAsia="仿宋_GB2312" w:cs="仿宋_GB2312"/>
          <w:b w:val="0"/>
          <w:bCs w:val="0"/>
          <w:i w:val="0"/>
          <w:iCs w:val="0"/>
          <w:color w:val="auto"/>
          <w:spacing w:val="0"/>
          <w:w w:val="100"/>
          <w:kern w:val="2"/>
          <w:sz w:val="30"/>
          <w:szCs w:val="30"/>
          <w:vertAlign w:val="baseline"/>
          <w:lang w:val="en-US" w:eastAsia="zh-CN" w:bidi="ar-SA"/>
        </w:rPr>
        <w:t>202</w:t>
      </w:r>
      <w:r>
        <w:rPr>
          <w:rFonts w:hint="eastAsia" w:ascii="仿宋_GB2312" w:hAnsi="仿宋_GB2312" w:eastAsia="仿宋_GB2312" w:cs="仿宋_GB2312"/>
          <w:b w:val="0"/>
          <w:bCs w:val="0"/>
          <w:i w:val="0"/>
          <w:iCs w:val="0"/>
          <w:color w:val="auto"/>
          <w:spacing w:val="0"/>
          <w:w w:val="100"/>
          <w:kern w:val="2"/>
          <w:sz w:val="30"/>
          <w:szCs w:val="30"/>
          <w:vertAlign w:val="baseline"/>
          <w:lang w:val="en-US" w:eastAsia="zh-CN" w:bidi="ar-SA"/>
        </w:rPr>
        <w:t>7</w:t>
      </w:r>
      <w:r>
        <w:rPr>
          <w:rFonts w:hint="default" w:ascii="仿宋_GB2312" w:hAnsi="仿宋_GB2312" w:eastAsia="仿宋_GB2312" w:cs="仿宋_GB2312"/>
          <w:b w:val="0"/>
          <w:bCs w:val="0"/>
          <w:i w:val="0"/>
          <w:iCs w:val="0"/>
          <w:color w:val="auto"/>
          <w:spacing w:val="0"/>
          <w:w w:val="100"/>
          <w:kern w:val="2"/>
          <w:sz w:val="30"/>
          <w:szCs w:val="30"/>
          <w:vertAlign w:val="baseline"/>
          <w:lang w:val="en-US" w:eastAsia="zh-CN" w:bidi="ar-SA"/>
        </w:rPr>
        <w:t>年12月前全量解决。</w:t>
      </w:r>
    </w:p>
    <w:p>
      <w:pPr>
        <w:pStyle w:val="4"/>
        <w:keepNext w:val="0"/>
        <w:keepLines w:val="0"/>
        <w:widowControl/>
        <w:suppressLineNumbers w:val="0"/>
        <w:spacing w:before="0" w:beforeAutospacing="0" w:after="0" w:afterAutospacing="0" w:line="578" w:lineRule="exact"/>
        <w:ind w:left="0" w:right="0" w:firstLine="419"/>
        <w:jc w:val="both"/>
        <w:rPr>
          <w:rFonts w:hint="default" w:ascii="方正黑体_GBK" w:hAnsi="方正黑体_GBK" w:eastAsia="方正黑体_GBK" w:cs="方正黑体_GBK"/>
          <w:b w:val="0"/>
          <w:bCs w:val="0"/>
          <w:i w:val="0"/>
          <w:iCs w:val="0"/>
          <w:color w:val="000000"/>
          <w:spacing w:val="0"/>
          <w:w w:val="100"/>
          <w:sz w:val="30"/>
          <w:szCs w:val="30"/>
          <w:highlight w:val="yellow"/>
          <w:vertAlign w:val="baseli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259DEE"/>
    <w:multiLevelType w:val="singleLevel"/>
    <w:tmpl w:val="B2259DEE"/>
    <w:lvl w:ilvl="0" w:tentative="0">
      <w:start w:val="1"/>
      <w:numFmt w:val="decimal"/>
      <w:pStyle w:val="2"/>
      <w:suff w:val="space"/>
      <w:lvlText w:val="%1."/>
      <w:lvlJc w:val="left"/>
      <w:pPr>
        <w:tabs>
          <w:tab w:val="left" w:pos="0"/>
        </w:tabs>
      </w:pPr>
      <w:rPr>
        <w:rFonts w:hint="default"/>
      </w:rPr>
    </w:lvl>
  </w:abstractNum>
  <w:abstractNum w:abstractNumId="1">
    <w:nsid w:val="3135F5AA"/>
    <w:multiLevelType w:val="singleLevel"/>
    <w:tmpl w:val="3135F5AA"/>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C7970"/>
    <w:rsid w:val="0161322F"/>
    <w:rsid w:val="027A1F86"/>
    <w:rsid w:val="045E5120"/>
    <w:rsid w:val="04B45741"/>
    <w:rsid w:val="04BE2D90"/>
    <w:rsid w:val="0551415F"/>
    <w:rsid w:val="05556C65"/>
    <w:rsid w:val="05FF5B4E"/>
    <w:rsid w:val="062A2191"/>
    <w:rsid w:val="083C7FA2"/>
    <w:rsid w:val="094C2E4C"/>
    <w:rsid w:val="0978767B"/>
    <w:rsid w:val="09C96166"/>
    <w:rsid w:val="0B8767A5"/>
    <w:rsid w:val="0C330674"/>
    <w:rsid w:val="0C3C0150"/>
    <w:rsid w:val="0CB37C4D"/>
    <w:rsid w:val="0CB8797D"/>
    <w:rsid w:val="0D04761B"/>
    <w:rsid w:val="1020661F"/>
    <w:rsid w:val="10FD6EEA"/>
    <w:rsid w:val="114464D9"/>
    <w:rsid w:val="11CB6AE2"/>
    <w:rsid w:val="1232551A"/>
    <w:rsid w:val="12893137"/>
    <w:rsid w:val="129E5668"/>
    <w:rsid w:val="13386835"/>
    <w:rsid w:val="13971103"/>
    <w:rsid w:val="141D18DE"/>
    <w:rsid w:val="14253B09"/>
    <w:rsid w:val="14A85157"/>
    <w:rsid w:val="15871307"/>
    <w:rsid w:val="15F30371"/>
    <w:rsid w:val="16151AD7"/>
    <w:rsid w:val="176E2B9F"/>
    <w:rsid w:val="17C31108"/>
    <w:rsid w:val="18143288"/>
    <w:rsid w:val="185D1307"/>
    <w:rsid w:val="188D4054"/>
    <w:rsid w:val="18DD7A35"/>
    <w:rsid w:val="18FA1780"/>
    <w:rsid w:val="19451A67"/>
    <w:rsid w:val="196D150D"/>
    <w:rsid w:val="1A3C2456"/>
    <w:rsid w:val="1A9D50F1"/>
    <w:rsid w:val="1BAA4CBE"/>
    <w:rsid w:val="1E1977BD"/>
    <w:rsid w:val="203355DC"/>
    <w:rsid w:val="20715899"/>
    <w:rsid w:val="20816104"/>
    <w:rsid w:val="20F37E62"/>
    <w:rsid w:val="21661E97"/>
    <w:rsid w:val="219C3A90"/>
    <w:rsid w:val="21AE3C52"/>
    <w:rsid w:val="23100D55"/>
    <w:rsid w:val="239C70EB"/>
    <w:rsid w:val="23E74ADB"/>
    <w:rsid w:val="248421D9"/>
    <w:rsid w:val="25796B67"/>
    <w:rsid w:val="25983BC4"/>
    <w:rsid w:val="264E631D"/>
    <w:rsid w:val="27431FFA"/>
    <w:rsid w:val="27BC642E"/>
    <w:rsid w:val="27E46300"/>
    <w:rsid w:val="2AC53E36"/>
    <w:rsid w:val="2B801E63"/>
    <w:rsid w:val="2C4058A5"/>
    <w:rsid w:val="2D193413"/>
    <w:rsid w:val="2EA07D0B"/>
    <w:rsid w:val="2F082E14"/>
    <w:rsid w:val="2F353145"/>
    <w:rsid w:val="2F7C1360"/>
    <w:rsid w:val="2FAC44BC"/>
    <w:rsid w:val="300D2D1D"/>
    <w:rsid w:val="316E2FA4"/>
    <w:rsid w:val="317A22A4"/>
    <w:rsid w:val="335B6626"/>
    <w:rsid w:val="335E6082"/>
    <w:rsid w:val="338056D0"/>
    <w:rsid w:val="33916538"/>
    <w:rsid w:val="33FE2EEF"/>
    <w:rsid w:val="34376A30"/>
    <w:rsid w:val="343B349B"/>
    <w:rsid w:val="343B7C3F"/>
    <w:rsid w:val="346731B9"/>
    <w:rsid w:val="36537FC8"/>
    <w:rsid w:val="3717386F"/>
    <w:rsid w:val="37C74CA6"/>
    <w:rsid w:val="381A0347"/>
    <w:rsid w:val="393F4054"/>
    <w:rsid w:val="3A3C6DCD"/>
    <w:rsid w:val="3B0847B6"/>
    <w:rsid w:val="3C2E2CA8"/>
    <w:rsid w:val="3CCE564F"/>
    <w:rsid w:val="3CEA5833"/>
    <w:rsid w:val="3D376677"/>
    <w:rsid w:val="3D4C21B1"/>
    <w:rsid w:val="3DCC5BE1"/>
    <w:rsid w:val="3E625A65"/>
    <w:rsid w:val="3FE77F50"/>
    <w:rsid w:val="4389705D"/>
    <w:rsid w:val="43FF6C9B"/>
    <w:rsid w:val="443261F1"/>
    <w:rsid w:val="45775491"/>
    <w:rsid w:val="45B97A0D"/>
    <w:rsid w:val="461C678E"/>
    <w:rsid w:val="476B4739"/>
    <w:rsid w:val="47A46F68"/>
    <w:rsid w:val="47B270AC"/>
    <w:rsid w:val="47EF2794"/>
    <w:rsid w:val="488C0B51"/>
    <w:rsid w:val="492E3508"/>
    <w:rsid w:val="49901EC0"/>
    <w:rsid w:val="49CB70FE"/>
    <w:rsid w:val="4A506A7B"/>
    <w:rsid w:val="4B24258E"/>
    <w:rsid w:val="4B973018"/>
    <w:rsid w:val="4CE3641A"/>
    <w:rsid w:val="4DD1242B"/>
    <w:rsid w:val="4E7A454C"/>
    <w:rsid w:val="4E914171"/>
    <w:rsid w:val="4EB47879"/>
    <w:rsid w:val="4EB7785C"/>
    <w:rsid w:val="4F4A4C24"/>
    <w:rsid w:val="4F7F4214"/>
    <w:rsid w:val="50747472"/>
    <w:rsid w:val="50F55726"/>
    <w:rsid w:val="51352AC8"/>
    <w:rsid w:val="51D766C8"/>
    <w:rsid w:val="52716CAD"/>
    <w:rsid w:val="527D0888"/>
    <w:rsid w:val="52FE034E"/>
    <w:rsid w:val="53586648"/>
    <w:rsid w:val="53D876CF"/>
    <w:rsid w:val="53F10018"/>
    <w:rsid w:val="553054CE"/>
    <w:rsid w:val="557A570A"/>
    <w:rsid w:val="55EF73F3"/>
    <w:rsid w:val="564E7F11"/>
    <w:rsid w:val="567C3EF2"/>
    <w:rsid w:val="57CD6FB3"/>
    <w:rsid w:val="57E41B27"/>
    <w:rsid w:val="59FC0431"/>
    <w:rsid w:val="5A8C7CC7"/>
    <w:rsid w:val="5B6C254A"/>
    <w:rsid w:val="5D1F50CC"/>
    <w:rsid w:val="5D537B44"/>
    <w:rsid w:val="5D5F4B66"/>
    <w:rsid w:val="5D73645E"/>
    <w:rsid w:val="5DB1482A"/>
    <w:rsid w:val="5E740B22"/>
    <w:rsid w:val="5F646ABB"/>
    <w:rsid w:val="61923587"/>
    <w:rsid w:val="625B45D3"/>
    <w:rsid w:val="63F20A70"/>
    <w:rsid w:val="64AD05EB"/>
    <w:rsid w:val="660165DF"/>
    <w:rsid w:val="66BE5083"/>
    <w:rsid w:val="66D54A23"/>
    <w:rsid w:val="67BF049C"/>
    <w:rsid w:val="68223466"/>
    <w:rsid w:val="69113439"/>
    <w:rsid w:val="69FE14F0"/>
    <w:rsid w:val="6CF14127"/>
    <w:rsid w:val="6D0A4520"/>
    <w:rsid w:val="6E4677B5"/>
    <w:rsid w:val="6E804915"/>
    <w:rsid w:val="6EE62B00"/>
    <w:rsid w:val="6F832813"/>
    <w:rsid w:val="706B15E0"/>
    <w:rsid w:val="71213827"/>
    <w:rsid w:val="72EA1D53"/>
    <w:rsid w:val="73603D5C"/>
    <w:rsid w:val="736D5E10"/>
    <w:rsid w:val="754D4811"/>
    <w:rsid w:val="75501526"/>
    <w:rsid w:val="75FD628C"/>
    <w:rsid w:val="761B6A87"/>
    <w:rsid w:val="78462278"/>
    <w:rsid w:val="79BD015A"/>
    <w:rsid w:val="7B6767C2"/>
    <w:rsid w:val="7BC3598C"/>
    <w:rsid w:val="7BE57FB6"/>
    <w:rsid w:val="7C153320"/>
    <w:rsid w:val="7CC0123A"/>
    <w:rsid w:val="7D480C4B"/>
    <w:rsid w:val="7D8D7A68"/>
    <w:rsid w:val="7DFC3DA8"/>
    <w:rsid w:val="7EEB5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numPr>
        <w:ilvl w:val="0"/>
        <w:numId w:val="1"/>
      </w:numPr>
    </w:p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2025-03-21T09:26:00Z</dcterms:created>
  <dc:creator>Administrator</dc:creator>
  <cp:lastModifiedBy>nadl</cp:lastModifiedBy>
  <dcterms:modified xsi:type="dcterms:W3CDTF">2026-04-09T00:09:13Z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KSOTemplateDocerSaveRecord">
    <vt:lpwstr>eyJoZGlkIjoiZjU2YmQyZThjNDBhMjM4MTI4NWFiNmYwYzMyYTkxMjQiLCJ1c2VySWQiOiIyNzY4NTgwMDQifQ==</vt:lpwstr>
  </property>
  <property fmtid="{D5CDD505-2E9C-101B-9397-08002B2CF9AE}" pid="4" name="ICV">
    <vt:lpwstr>E0381C60C072447C899A559E567551FF</vt:lpwstr>
  </property>
</Properties>
</file>