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5CCA1">
      <w:pPr>
        <w:spacing w:before="101" w:line="220" w:lineRule="auto"/>
        <w:outlineLvl w:val="2"/>
        <w:rPr>
          <w:rFonts w:hint="default" w:ascii="Times New Roman" w:hAnsi="Times New Roman" w:eastAsia="黑体" w:cs="Times New Roman"/>
          <w:b/>
          <w:bCs/>
          <w:color w:val="000000" w:themeColor="text1"/>
          <w:spacing w:val="-3"/>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3"/>
          <w:sz w:val="32"/>
          <w:szCs w:val="32"/>
          <w:lang w:val="en-US" w:eastAsia="zh-CN"/>
          <w14:textFill>
            <w14:solidFill>
              <w14:schemeClr w14:val="tx1"/>
            </w14:solidFill>
          </w14:textFill>
        </w:rPr>
        <w:t>附件</w:t>
      </w:r>
    </w:p>
    <w:p w14:paraId="21F22FB1">
      <w:pPr>
        <w:spacing w:before="136" w:line="219" w:lineRule="auto"/>
        <w:jc w:val="center"/>
        <w:rPr>
          <w:rFonts w:hint="default" w:ascii="Times New Roman" w:hAnsi="Times New Roman" w:eastAsia="宋体" w:cs="Times New Roman"/>
          <w:color w:val="000000" w:themeColor="text1"/>
          <w:sz w:val="42"/>
          <w:szCs w:val="42"/>
          <w14:textFill>
            <w14:solidFill>
              <w14:schemeClr w14:val="tx1"/>
            </w14:solidFill>
          </w14:textFill>
        </w:rPr>
      </w:pPr>
      <w:r>
        <w:rPr>
          <w:rFonts w:hint="default" w:ascii="Times New Roman" w:hAnsi="Times New Roman" w:eastAsia="宋体" w:cs="Times New Roman"/>
          <w:b/>
          <w:bCs/>
          <w:color w:val="000000" w:themeColor="text1"/>
          <w:spacing w:val="13"/>
          <w:sz w:val="42"/>
          <w:szCs w:val="42"/>
          <w:lang w:eastAsia="zh-CN"/>
          <w14:textFill>
            <w14:solidFill>
              <w14:schemeClr w14:val="tx1"/>
            </w14:solidFill>
          </w14:textFill>
        </w:rPr>
        <w:t>南安</w:t>
      </w:r>
      <w:r>
        <w:rPr>
          <w:rFonts w:hint="default" w:ascii="Times New Roman" w:hAnsi="Times New Roman" w:eastAsia="宋体" w:cs="Times New Roman"/>
          <w:b/>
          <w:bCs/>
          <w:color w:val="000000" w:themeColor="text1"/>
          <w:spacing w:val="13"/>
          <w:sz w:val="42"/>
          <w:szCs w:val="42"/>
          <w14:textFill>
            <w14:solidFill>
              <w14:schemeClr w14:val="tx1"/>
            </w14:solidFill>
          </w14:textFill>
        </w:rPr>
        <w:t>市应急管理局包容审慎监管执法“四张清单”</w:t>
      </w:r>
    </w:p>
    <w:p w14:paraId="18F0CD1A">
      <w:pPr>
        <w:spacing w:before="101" w:line="220" w:lineRule="auto"/>
        <w:ind w:left="899"/>
        <w:outlineLvl w:val="2"/>
        <w:rPr>
          <w:rFonts w:hint="default" w:ascii="Times New Roman" w:hAnsi="Times New Roman" w:eastAsia="宋体" w:cs="Times New Roman"/>
          <w:color w:val="000000" w:themeColor="text1"/>
          <w:sz w:val="31"/>
          <w:szCs w:val="31"/>
          <w14:textFill>
            <w14:solidFill>
              <w14:schemeClr w14:val="tx1"/>
            </w14:solidFill>
          </w14:textFill>
        </w:rPr>
      </w:pPr>
      <w:r>
        <w:rPr>
          <w:rFonts w:hint="eastAsia" w:ascii="Times New Roman" w:hAnsi="Times New Roman" w:eastAsia="宋体" w:cs="Times New Roman"/>
          <w:b/>
          <w:bCs/>
          <w:color w:val="000000" w:themeColor="text1"/>
          <w:spacing w:val="-3"/>
          <w:sz w:val="31"/>
          <w:szCs w:val="31"/>
          <w:lang w:eastAsia="zh-CN"/>
          <w14:textFill>
            <w14:solidFill>
              <w14:schemeClr w14:val="tx1"/>
            </w14:solidFill>
          </w14:textFill>
        </w:rPr>
        <w:t>（一）</w:t>
      </w:r>
      <w:r>
        <w:rPr>
          <w:rFonts w:hint="default" w:ascii="Times New Roman" w:hAnsi="Times New Roman" w:eastAsia="宋体" w:cs="Times New Roman"/>
          <w:b/>
          <w:bCs/>
          <w:color w:val="000000" w:themeColor="text1"/>
          <w:spacing w:val="-3"/>
          <w:sz w:val="31"/>
          <w:szCs w:val="31"/>
          <w14:textFill>
            <w14:solidFill>
              <w14:schemeClr w14:val="tx1"/>
            </w14:solidFill>
          </w14:textFill>
        </w:rPr>
        <w:t>不予处罚事项清单</w:t>
      </w:r>
    </w:p>
    <w:p w14:paraId="7300EB6F">
      <w:pPr>
        <w:spacing w:line="26" w:lineRule="exact"/>
        <w:rPr>
          <w:rFonts w:hint="default" w:ascii="Times New Roman" w:hAnsi="Times New Roman" w:cs="Times New Roman"/>
          <w:color w:val="000000" w:themeColor="text1"/>
          <w14:textFill>
            <w14:solidFill>
              <w14:schemeClr w14:val="tx1"/>
            </w14:solidFill>
          </w14:textFill>
        </w:rPr>
      </w:pPr>
    </w:p>
    <w:p w14:paraId="000398D3">
      <w:pPr>
        <w:spacing w:line="250" w:lineRule="auto"/>
        <w:rPr>
          <w:rFonts w:hint="default" w:ascii="Times New Roman" w:hAnsi="Times New Roman" w:cs="Times New Roman"/>
          <w:sz w:val="21"/>
        </w:rPr>
      </w:pPr>
    </w:p>
    <w:p w14:paraId="7EB7D014">
      <w:pPr>
        <w:spacing w:line="43" w:lineRule="exact"/>
        <w:rPr>
          <w:rFonts w:hint="default" w:ascii="Times New Roman" w:hAnsi="Times New Roman" w:cs="Times New Roman"/>
        </w:rPr>
      </w:pPr>
    </w:p>
    <w:tbl>
      <w:tblPr>
        <w:tblStyle w:val="7"/>
        <w:tblW w:w="14118" w:type="dxa"/>
        <w:tblInd w:w="4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3"/>
        <w:gridCol w:w="2311"/>
        <w:gridCol w:w="14"/>
        <w:gridCol w:w="5434"/>
        <w:gridCol w:w="42"/>
        <w:gridCol w:w="5464"/>
        <w:gridCol w:w="70"/>
      </w:tblGrid>
      <w:tr w14:paraId="07BB7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83" w:type="dxa"/>
            <w:gridSpan w:val="2"/>
            <w:noWrap w:val="0"/>
            <w:vAlign w:val="top"/>
          </w:tcPr>
          <w:p w14:paraId="702A6534">
            <w:pPr>
              <w:spacing w:before="154" w:line="347" w:lineRule="exact"/>
              <w:ind w:left="127"/>
              <w:rPr>
                <w:rFonts w:hint="default" w:ascii="Times New Roman" w:hAnsi="Times New Roman" w:eastAsia="黑体" w:cs="Times New Roman"/>
                <w:sz w:val="26"/>
                <w:szCs w:val="26"/>
              </w:rPr>
            </w:pPr>
            <w:r>
              <w:rPr>
                <w:rFonts w:hint="default" w:ascii="Times New Roman" w:hAnsi="Times New Roman" w:eastAsia="黑体" w:cs="Times New Roman"/>
                <w:spacing w:val="4"/>
                <w:position w:val="1"/>
                <w:sz w:val="26"/>
                <w:szCs w:val="26"/>
              </w:rPr>
              <w:t>序号</w:t>
            </w:r>
          </w:p>
        </w:tc>
        <w:tc>
          <w:tcPr>
            <w:tcW w:w="2325" w:type="dxa"/>
            <w:gridSpan w:val="2"/>
            <w:noWrap w:val="0"/>
            <w:vAlign w:val="top"/>
          </w:tcPr>
          <w:p w14:paraId="3C84A2EB">
            <w:pPr>
              <w:spacing w:before="154" w:line="345" w:lineRule="exact"/>
              <w:ind w:left="630"/>
              <w:rPr>
                <w:rFonts w:hint="default" w:ascii="Times New Roman" w:hAnsi="Times New Roman" w:eastAsia="黑体" w:cs="Times New Roman"/>
                <w:sz w:val="26"/>
                <w:szCs w:val="26"/>
              </w:rPr>
            </w:pPr>
            <w:r>
              <w:rPr>
                <w:rFonts w:hint="default" w:ascii="Times New Roman" w:hAnsi="Times New Roman" w:eastAsia="黑体" w:cs="Times New Roman"/>
                <w:spacing w:val="4"/>
                <w:position w:val="1"/>
                <w:sz w:val="26"/>
                <w:szCs w:val="26"/>
              </w:rPr>
              <w:t>违法行为</w:t>
            </w:r>
          </w:p>
        </w:tc>
        <w:tc>
          <w:tcPr>
            <w:tcW w:w="5476" w:type="dxa"/>
            <w:gridSpan w:val="2"/>
            <w:noWrap w:val="0"/>
            <w:vAlign w:val="top"/>
          </w:tcPr>
          <w:p w14:paraId="2A51444F">
            <w:pPr>
              <w:spacing w:before="154" w:line="346" w:lineRule="exact"/>
              <w:ind w:left="2204"/>
              <w:rPr>
                <w:rFonts w:hint="default" w:ascii="Times New Roman" w:hAnsi="Times New Roman" w:eastAsia="黑体" w:cs="Times New Roman"/>
                <w:sz w:val="26"/>
                <w:szCs w:val="26"/>
              </w:rPr>
            </w:pPr>
            <w:r>
              <w:rPr>
                <w:rFonts w:hint="default" w:ascii="Times New Roman" w:hAnsi="Times New Roman" w:eastAsia="黑体" w:cs="Times New Roman"/>
                <w:spacing w:val="2"/>
                <w:position w:val="1"/>
                <w:sz w:val="26"/>
                <w:szCs w:val="26"/>
              </w:rPr>
              <w:t>法律规定</w:t>
            </w:r>
          </w:p>
        </w:tc>
        <w:tc>
          <w:tcPr>
            <w:tcW w:w="5534" w:type="dxa"/>
            <w:gridSpan w:val="2"/>
            <w:noWrap w:val="0"/>
            <w:vAlign w:val="top"/>
          </w:tcPr>
          <w:p w14:paraId="5465E4F4">
            <w:pPr>
              <w:spacing w:before="154" w:line="345" w:lineRule="exact"/>
              <w:ind w:left="2229"/>
              <w:rPr>
                <w:rFonts w:hint="default" w:ascii="Times New Roman" w:hAnsi="Times New Roman" w:eastAsia="黑体" w:cs="Times New Roman"/>
                <w:sz w:val="26"/>
                <w:szCs w:val="26"/>
              </w:rPr>
            </w:pPr>
            <w:r>
              <w:rPr>
                <w:rFonts w:hint="default" w:ascii="Times New Roman" w:hAnsi="Times New Roman" w:eastAsia="黑体" w:cs="Times New Roman"/>
                <w:spacing w:val="3"/>
                <w:position w:val="1"/>
                <w:sz w:val="26"/>
                <w:szCs w:val="26"/>
              </w:rPr>
              <w:t>处罚依据</w:t>
            </w:r>
          </w:p>
        </w:tc>
      </w:tr>
      <w:tr w14:paraId="508D8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83" w:type="dxa"/>
            <w:gridSpan w:val="2"/>
            <w:noWrap w:val="0"/>
            <w:vAlign w:val="top"/>
          </w:tcPr>
          <w:p w14:paraId="74AA0BBE">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3F90BC49">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616101D7">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6D3702D8">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13102B16">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6F13248B">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3A2170AE">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6618DEFD">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25BA6419">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1</w:t>
            </w:r>
          </w:p>
        </w:tc>
        <w:tc>
          <w:tcPr>
            <w:tcW w:w="2325" w:type="dxa"/>
            <w:gridSpan w:val="2"/>
            <w:noWrap w:val="0"/>
            <w:vAlign w:val="top"/>
          </w:tcPr>
          <w:p w14:paraId="182A24B4">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4C37228C">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59A56C81">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78025152">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42EC8A37">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5A95FA75">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0D2A2E98">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生产经营单位未将事故隐患排查治理情况如实记录或者未向从业人员通报的</w:t>
            </w:r>
          </w:p>
        </w:tc>
        <w:tc>
          <w:tcPr>
            <w:tcW w:w="5476" w:type="dxa"/>
            <w:gridSpan w:val="2"/>
            <w:noWrap w:val="0"/>
            <w:vAlign w:val="top"/>
          </w:tcPr>
          <w:p w14:paraId="56549A57">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45EABE09">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1.【法律】《中华人民共和国安全生产法》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3DB357DD">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2.【部门规章】《工贸企业粉尘防爆安全规定》第十二条第一款：粉尘涉爆企业应当根据《粉尘防爆安全规程》等有关国家标准或者行业标准，结合粉尘爆炸风险管控措施，建立事故隐患排查清单，明确和细化排查事项、具体内容、排查周期及责任人员，及时组织开展事故隐患排查治理，如实记录隐患排查治理情况，并向从业人员通报。</w:t>
            </w:r>
          </w:p>
        </w:tc>
        <w:tc>
          <w:tcPr>
            <w:tcW w:w="5534" w:type="dxa"/>
            <w:gridSpan w:val="2"/>
            <w:noWrap w:val="0"/>
            <w:vAlign w:val="top"/>
          </w:tcPr>
          <w:p w14:paraId="14F592B1">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09E1D0CB">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1.【法律】《中华人民共和国安全生产法》第九十七条第五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五）未将事故隐患排查治理情况如实记录或者未向从业人员通报的；</w:t>
            </w:r>
          </w:p>
          <w:p w14:paraId="5BCE3485">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2.【部门规章】《工贸企业粉尘防爆安全规定》第二十八条第二项：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二）未如实记录粉尘防爆隐患排查治理情况或者未向从业人员通报的；</w:t>
            </w:r>
          </w:p>
        </w:tc>
      </w:tr>
      <w:tr w14:paraId="7B3C5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7" w:hRule="atLeast"/>
        </w:trPr>
        <w:tc>
          <w:tcPr>
            <w:tcW w:w="783" w:type="dxa"/>
            <w:gridSpan w:val="2"/>
            <w:noWrap w:val="0"/>
            <w:vAlign w:val="top"/>
          </w:tcPr>
          <w:p w14:paraId="3BF01845">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6224B846">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2B4D21B9">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64A8B162">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2</w:t>
            </w:r>
          </w:p>
        </w:tc>
        <w:tc>
          <w:tcPr>
            <w:tcW w:w="2325" w:type="dxa"/>
            <w:gridSpan w:val="2"/>
            <w:noWrap w:val="0"/>
            <w:vAlign w:val="top"/>
          </w:tcPr>
          <w:p w14:paraId="59ED508C">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4230054A">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67EE52FD">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生产经营单位未按规定上报事故隐患排查治理统计分析表的</w:t>
            </w:r>
          </w:p>
        </w:tc>
        <w:tc>
          <w:tcPr>
            <w:tcW w:w="5476" w:type="dxa"/>
            <w:gridSpan w:val="2"/>
            <w:noWrap w:val="0"/>
            <w:vAlign w:val="top"/>
          </w:tcPr>
          <w:p w14:paraId="7C8F88B0">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3BA51909">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部门规章】《安全生产事故隐患排查治理暂行规定》第十四条第一款：生产经营单位应当每季、每年对本单位事故隐患排查治理情况进行统计分析，并分别于下一季度15日前和下一年1月31日前向安全监管监察部门和有关部门报送书面统计分析表。统计分析表应当由生产经营单位主要负责人签字。</w:t>
            </w:r>
          </w:p>
        </w:tc>
        <w:tc>
          <w:tcPr>
            <w:tcW w:w="5534" w:type="dxa"/>
            <w:gridSpan w:val="2"/>
            <w:noWrap w:val="0"/>
            <w:vAlign w:val="top"/>
          </w:tcPr>
          <w:p w14:paraId="36343CA0">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487618E8">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部门规章】《安全生产事故隐患排查治理暂行规定》第二十六条第二项：生产经营单位违反本规定，有下列行为之一的，由安全监管监察部门给予警告，并处三万元以下的罚款：（二）未按规定上报事故隐患排查治理统计分析表的；</w:t>
            </w:r>
          </w:p>
        </w:tc>
      </w:tr>
      <w:tr w14:paraId="45AE0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0" w:type="dxa"/>
          <w:trHeight w:val="2087" w:hRule="atLeast"/>
        </w:trPr>
        <w:tc>
          <w:tcPr>
            <w:tcW w:w="780" w:type="dxa"/>
            <w:noWrap w:val="0"/>
            <w:vAlign w:val="top"/>
          </w:tcPr>
          <w:p w14:paraId="1070BBA5">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44960E66">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3</w:t>
            </w:r>
          </w:p>
        </w:tc>
        <w:tc>
          <w:tcPr>
            <w:tcW w:w="2314" w:type="dxa"/>
            <w:gridSpan w:val="2"/>
            <w:noWrap w:val="0"/>
            <w:vAlign w:val="top"/>
          </w:tcPr>
          <w:p w14:paraId="463FFF17">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11B08703">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生产经营单位在应急预案编制前未按照规定开展风险辨识、评估和应急资源调查的</w:t>
            </w:r>
          </w:p>
        </w:tc>
        <w:tc>
          <w:tcPr>
            <w:tcW w:w="5448" w:type="dxa"/>
            <w:gridSpan w:val="2"/>
            <w:noWrap w:val="0"/>
            <w:vAlign w:val="top"/>
          </w:tcPr>
          <w:p w14:paraId="50E41E32">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36223CB6">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【部门规章】《生产安全事故应急预案管理办法》第十条第一款：编制应急预案前，编制单位应当进行事故风险辨识、评估和应急资源调查。</w:t>
            </w:r>
          </w:p>
        </w:tc>
        <w:tc>
          <w:tcPr>
            <w:tcW w:w="5506" w:type="dxa"/>
            <w:gridSpan w:val="2"/>
            <w:noWrap w:val="0"/>
            <w:vAlign w:val="top"/>
          </w:tcPr>
          <w:p w14:paraId="02A0B7E7">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563FA036">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部门规章】《生产安全事故应急预案管理办法》第四十五条第一款第一项：生产经营单位有下列情形之一的，由县级以上人民政府应急管理部门责令限期改正，可以处1万元以上3万元以下的罚款：（一）在应急预案编制前未按照规定开展风险辨识、评估和应急资源调查的；</w:t>
            </w:r>
          </w:p>
        </w:tc>
      </w:tr>
      <w:tr w14:paraId="5D860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0" w:type="dxa"/>
          <w:trHeight w:val="3258" w:hRule="atLeast"/>
        </w:trPr>
        <w:tc>
          <w:tcPr>
            <w:tcW w:w="780" w:type="dxa"/>
            <w:noWrap w:val="0"/>
            <w:vAlign w:val="top"/>
          </w:tcPr>
          <w:p w14:paraId="5CAF4FBE">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4</w:t>
            </w:r>
          </w:p>
        </w:tc>
        <w:tc>
          <w:tcPr>
            <w:tcW w:w="2314" w:type="dxa"/>
            <w:gridSpan w:val="2"/>
            <w:noWrap w:val="0"/>
            <w:vAlign w:val="top"/>
          </w:tcPr>
          <w:p w14:paraId="09A35399">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44CCA1E5">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6768FA26">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生产经营单位未按照规定开展应急预案评审的</w:t>
            </w:r>
          </w:p>
        </w:tc>
        <w:tc>
          <w:tcPr>
            <w:tcW w:w="5448" w:type="dxa"/>
            <w:gridSpan w:val="2"/>
            <w:noWrap w:val="0"/>
            <w:vAlign w:val="top"/>
          </w:tcPr>
          <w:p w14:paraId="2CA311D4">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572B05B9">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部门规章】《生产安全事故应急预案管理办法》第二十一条：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p>
          <w:p w14:paraId="48248F2C">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前款规定以外的其他生产经营单位可以根据自身需要，对本单位编制的应急预案进行论证。</w:t>
            </w:r>
          </w:p>
        </w:tc>
        <w:tc>
          <w:tcPr>
            <w:tcW w:w="5506" w:type="dxa"/>
            <w:gridSpan w:val="2"/>
            <w:noWrap w:val="0"/>
            <w:vAlign w:val="top"/>
          </w:tcPr>
          <w:p w14:paraId="2E904994">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3200C450">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部门规章】《生产安全事故应急预案管理办法》第四十五条第一款第二项：生产经营单位有下列情形之一的，由县级以上人民政府应急管理部门责令限期改正，可以处1万元以上3万元以下的罚款：（二）未按照规定开展应急预案评审的；</w:t>
            </w:r>
          </w:p>
        </w:tc>
      </w:tr>
      <w:tr w14:paraId="67DB3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0" w:type="dxa"/>
          <w:trHeight w:val="402" w:hRule="atLeast"/>
        </w:trPr>
        <w:tc>
          <w:tcPr>
            <w:tcW w:w="780" w:type="dxa"/>
            <w:noWrap w:val="0"/>
            <w:vAlign w:val="top"/>
          </w:tcPr>
          <w:p w14:paraId="2D259A75">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540B783D">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3C03F802">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4BA815BE">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5</w:t>
            </w:r>
          </w:p>
        </w:tc>
        <w:tc>
          <w:tcPr>
            <w:tcW w:w="2314" w:type="dxa"/>
            <w:gridSpan w:val="2"/>
            <w:noWrap w:val="0"/>
            <w:vAlign w:val="top"/>
          </w:tcPr>
          <w:p w14:paraId="3792F3BC">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47616F8F">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事故风险可能影响周边单位、人员的</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生产经营单位未将事故风险的性质、影响范围和应急防范措施告知周边单位和人员的</w:t>
            </w:r>
          </w:p>
        </w:tc>
        <w:tc>
          <w:tcPr>
            <w:tcW w:w="5448" w:type="dxa"/>
            <w:gridSpan w:val="2"/>
            <w:noWrap w:val="0"/>
            <w:vAlign w:val="top"/>
          </w:tcPr>
          <w:p w14:paraId="10CC1681">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33FC5078">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【部门规章】《生产安全事故应急预案管理办法》第二十四条第二款：事故风险可能影响周边其他单位、人员的，生产经营单位应当将有关事故风险的性质、影响范围和应急防范措施告知周边的其他单位和人员。</w:t>
            </w:r>
          </w:p>
        </w:tc>
        <w:tc>
          <w:tcPr>
            <w:tcW w:w="5506" w:type="dxa"/>
            <w:gridSpan w:val="2"/>
            <w:noWrap w:val="0"/>
            <w:vAlign w:val="top"/>
          </w:tcPr>
          <w:p w14:paraId="7B21857A">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6A369978">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部门规章】《生产安全事故应急预案管理办法》第四十五条第一款第三项：生产经营单位有下列情形之一的，由县级以上人民政府应急管理部门责令限期改正，可以处1万元以上3万元以下的罚款：（三）事故风险可能影响周边单位、人员的，未将事故风险的性质、影响范围和应急防范措施告知周边单位和人员的；</w:t>
            </w:r>
          </w:p>
        </w:tc>
      </w:tr>
      <w:tr w14:paraId="5E581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0" w:type="dxa"/>
          <w:trHeight w:val="4105" w:hRule="atLeast"/>
        </w:trPr>
        <w:tc>
          <w:tcPr>
            <w:tcW w:w="780" w:type="dxa"/>
            <w:noWrap w:val="0"/>
            <w:vAlign w:val="top"/>
          </w:tcPr>
          <w:p w14:paraId="6AA96517">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0FC820AD">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3789D7B7">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49C36FBA">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5B639E85">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55B7CDFA">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4E6F4FF0">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6</w:t>
            </w:r>
          </w:p>
        </w:tc>
        <w:tc>
          <w:tcPr>
            <w:tcW w:w="2314" w:type="dxa"/>
            <w:gridSpan w:val="2"/>
            <w:noWrap w:val="0"/>
            <w:vAlign w:val="top"/>
          </w:tcPr>
          <w:p w14:paraId="43F972ED">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36AF79EA">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2A8D54BC">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145AAB0D">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7A29186B">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生产经营单位未按照规定开展应急预案评估的</w:t>
            </w:r>
          </w:p>
        </w:tc>
        <w:tc>
          <w:tcPr>
            <w:tcW w:w="5448" w:type="dxa"/>
            <w:gridSpan w:val="2"/>
            <w:noWrap w:val="0"/>
            <w:vAlign w:val="top"/>
          </w:tcPr>
          <w:p w14:paraId="34EE385A">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4D74A7E3">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【部门规章】《生产安全事故应急预案管理办法》第三十五条：应急预案编制单位应当建立应急预案定期评估制度，对预案内容的针对性和实用性进行分析，并对应急预案是否需要修订作出结论。</w:t>
            </w:r>
          </w:p>
          <w:p w14:paraId="19741818">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矿山、金属冶炼、建筑施工企业和易燃易爆物品、危险化学品等危险物品的生产、经营、储存、运输企业、使用危险化学品达到国家规定数量的化工企业、烟花爆竹生产、批发经营企业和中型规模以上的其他生产经营单位，应当每三年进行一次应急预案评估。</w:t>
            </w:r>
          </w:p>
          <w:p w14:paraId="1248B11E">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应急预案评估可以邀请相关专业机构或者有关专家、有实际应急救援工作经验的人员参加，必要时可以委托安全生产技术服务机构实施。</w:t>
            </w:r>
          </w:p>
        </w:tc>
        <w:tc>
          <w:tcPr>
            <w:tcW w:w="5506" w:type="dxa"/>
            <w:gridSpan w:val="2"/>
            <w:noWrap w:val="0"/>
            <w:vAlign w:val="top"/>
          </w:tcPr>
          <w:p w14:paraId="06978564">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1939FB4B">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370F20A8">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11A6881C">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部门规章】《生产安全事故应急预案管理办法》第四十五条第一款第四项：生产经营单位有下列情形之一的，由县级以上人民政府应急管理部门责令限期改正，可以处1万元以上3万元以下的罚款：（四）未按照规定开展应急预案评估的；</w:t>
            </w:r>
          </w:p>
        </w:tc>
      </w:tr>
      <w:tr w14:paraId="00076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0" w:type="dxa"/>
          <w:trHeight w:val="1718" w:hRule="atLeast"/>
        </w:trPr>
        <w:tc>
          <w:tcPr>
            <w:tcW w:w="780" w:type="dxa"/>
            <w:noWrap w:val="0"/>
            <w:vAlign w:val="top"/>
          </w:tcPr>
          <w:p w14:paraId="20C5B893">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0A2B80D4">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4BCD3209">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7</w:t>
            </w:r>
          </w:p>
        </w:tc>
        <w:tc>
          <w:tcPr>
            <w:tcW w:w="2314" w:type="dxa"/>
            <w:gridSpan w:val="2"/>
            <w:noWrap w:val="0"/>
            <w:vAlign w:val="top"/>
          </w:tcPr>
          <w:p w14:paraId="09383BAC">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p>
          <w:p w14:paraId="7DD8C9AB">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生产经营单位未落实应急预案规定的应急物资及装备的</w:t>
            </w:r>
          </w:p>
        </w:tc>
        <w:tc>
          <w:tcPr>
            <w:tcW w:w="5448" w:type="dxa"/>
            <w:gridSpan w:val="2"/>
            <w:noWrap w:val="0"/>
            <w:vAlign w:val="top"/>
          </w:tcPr>
          <w:p w14:paraId="16070188">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部门规章】《生产安全事故应急预案管理办法》第三十八条：生产经营单位应当按照应急预案的规定，落实应急指挥体系、应急救援队伍、应急物资及装备，建立应急物资、装备配备及其使用档案，并对应急物资、装备进行定期检测和维护，使其处于适用状态。</w:t>
            </w:r>
          </w:p>
        </w:tc>
        <w:tc>
          <w:tcPr>
            <w:tcW w:w="5506" w:type="dxa"/>
            <w:gridSpan w:val="2"/>
            <w:noWrap w:val="0"/>
            <w:vAlign w:val="top"/>
          </w:tcPr>
          <w:p w14:paraId="219DC652">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firstLine="512" w:firstLineChars="200"/>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部门规章】《生产安全事故应急预案管理办法》第四十五条第一款第六项：生产经营单位有下列情形之一的，由县级以上人民政府应急管理部门责令限期改正，可以处1万元以上3万元以下的罚款：（六）未落实应急预案规定的应急物资及装备的。</w:t>
            </w:r>
          </w:p>
        </w:tc>
      </w:tr>
    </w:tbl>
    <w:p w14:paraId="5A7460B0">
      <w:pPr>
        <w:spacing w:before="56" w:line="290" w:lineRule="auto"/>
        <w:ind w:firstLine="612" w:firstLineChars="200"/>
        <w:rPr>
          <w:rFonts w:hint="default" w:ascii="Times New Roman" w:hAnsi="Times New Roman" w:eastAsia="楷体" w:cs="Times New Roman"/>
          <w:color w:val="000000" w:themeColor="text1"/>
          <w:spacing w:val="12"/>
          <w:sz w:val="26"/>
          <w:szCs w:val="26"/>
          <w14:textFill>
            <w14:solidFill>
              <w14:schemeClr w14:val="tx1"/>
            </w14:solidFill>
          </w14:textFill>
        </w:rPr>
      </w:pPr>
      <w:r>
        <w:rPr>
          <w:rFonts w:hint="default" w:ascii="Times New Roman" w:hAnsi="Times New Roman" w:eastAsia="黑体" w:cs="Times New Roman"/>
          <w:spacing w:val="3"/>
          <w:sz w:val="30"/>
          <w:szCs w:val="30"/>
        </w:rPr>
        <w:t>附注</w:t>
      </w:r>
      <w:r>
        <w:rPr>
          <w:rFonts w:hint="eastAsia" w:ascii="Times New Roman" w:hAnsi="Times New Roman" w:eastAsia="黑体" w:cs="Times New Roman"/>
          <w:spacing w:val="3"/>
          <w:sz w:val="30"/>
          <w:szCs w:val="30"/>
          <w:lang w:eastAsia="zh-CN"/>
        </w:rPr>
        <w:t>：</w:t>
      </w:r>
      <w:r>
        <w:rPr>
          <w:rFonts w:hint="default" w:ascii="Times New Roman" w:hAnsi="Times New Roman" w:eastAsia="楷体" w:cs="Times New Roman"/>
          <w:color w:val="000000" w:themeColor="text1"/>
          <w:spacing w:val="12"/>
          <w:sz w:val="26"/>
          <w:szCs w:val="26"/>
          <w14:textFill>
            <w14:solidFill>
              <w14:schemeClr w14:val="tx1"/>
            </w14:solidFill>
          </w14:textFill>
        </w:rPr>
        <w:t>一、本清单适用于近三年未发生生产安全事故，且未被纳入严重失信主体名单的生产经营单位（高危行业领域生产经营单位除外）。</w:t>
      </w:r>
    </w:p>
    <w:p w14:paraId="30A28EAA">
      <w:pPr>
        <w:spacing w:before="56" w:line="290" w:lineRule="auto"/>
        <w:ind w:left="134" w:firstLine="440"/>
        <w:rPr>
          <w:rFonts w:hint="default" w:ascii="Times New Roman" w:hAnsi="Times New Roman" w:eastAsia="楷体" w:cs="Times New Roman"/>
          <w:color w:val="000000" w:themeColor="text1"/>
          <w:spacing w:val="12"/>
          <w:sz w:val="26"/>
          <w:szCs w:val="26"/>
          <w14:textFill>
            <w14:solidFill>
              <w14:schemeClr w14:val="tx1"/>
            </w14:solidFill>
          </w14:textFill>
        </w:rPr>
      </w:pPr>
      <w:r>
        <w:rPr>
          <w:rFonts w:hint="default" w:ascii="Times New Roman" w:hAnsi="Times New Roman" w:eastAsia="楷体" w:cs="Times New Roman"/>
          <w:color w:val="000000" w:themeColor="text1"/>
          <w:spacing w:val="12"/>
          <w:sz w:val="26"/>
          <w:szCs w:val="26"/>
          <w14:textFill>
            <w14:solidFill>
              <w14:schemeClr w14:val="tx1"/>
            </w14:solidFill>
          </w14:textFill>
        </w:rPr>
        <w:t>二、本清单可以不予行政处罚的适用情形需同时满足初次违法、危害后果轻微、及时改正等情形。</w:t>
      </w:r>
    </w:p>
    <w:p w14:paraId="65DFA868">
      <w:pPr>
        <w:spacing w:before="56" w:line="290" w:lineRule="auto"/>
        <w:ind w:left="134" w:firstLine="440"/>
        <w:rPr>
          <w:rFonts w:hint="default" w:ascii="Times New Roman" w:hAnsi="Times New Roman" w:eastAsia="楷体" w:cs="Times New Roman"/>
          <w:color w:val="000000" w:themeColor="text1"/>
          <w:spacing w:val="12"/>
          <w:sz w:val="26"/>
          <w:szCs w:val="26"/>
          <w14:textFill>
            <w14:solidFill>
              <w14:schemeClr w14:val="tx1"/>
            </w14:solidFill>
          </w14:textFill>
        </w:rPr>
      </w:pPr>
      <w:r>
        <w:rPr>
          <w:rFonts w:hint="default" w:ascii="Times New Roman" w:hAnsi="Times New Roman" w:eastAsia="楷体" w:cs="Times New Roman"/>
          <w:color w:val="000000" w:themeColor="text1"/>
          <w:spacing w:val="12"/>
          <w:sz w:val="26"/>
          <w:szCs w:val="26"/>
          <w14:textFill>
            <w14:solidFill>
              <w14:schemeClr w14:val="tx1"/>
            </w14:solidFill>
          </w14:textFill>
        </w:rPr>
        <w:t>三、对于清单中首次被发现，可以不予行政处罚的具体违法行为，执法人员应当对当事人进行教育，并依法下达现场检查记录、责令限期整改指令书等文书，并按期复查。对逾期不予整改、整改不符合要求、拒不整改、弄虚作假、再次发现同项或者其他违法行为的，执法人员应当依法立案查处。</w:t>
      </w:r>
    </w:p>
    <w:p w14:paraId="1846B8C1">
      <w:pPr>
        <w:spacing w:before="56" w:line="290" w:lineRule="auto"/>
        <w:ind w:left="134" w:firstLine="440"/>
        <w:rPr>
          <w:rFonts w:hint="default" w:ascii="Times New Roman" w:hAnsi="Times New Roman" w:eastAsia="楷体" w:cs="Times New Roman"/>
          <w:color w:val="000000" w:themeColor="text1"/>
          <w:spacing w:val="12"/>
          <w:sz w:val="26"/>
          <w:szCs w:val="26"/>
          <w:lang w:eastAsia="zh-CN"/>
          <w14:textFill>
            <w14:solidFill>
              <w14:schemeClr w14:val="tx1"/>
            </w14:solidFill>
          </w14:textFill>
        </w:rPr>
        <w:sectPr>
          <w:footerReference r:id="rId5" w:type="default"/>
          <w:pgSz w:w="16850" w:h="11820"/>
          <w:pgMar w:top="777" w:right="624" w:bottom="1069" w:left="945" w:header="0" w:footer="692" w:gutter="0"/>
          <w:pgNumType w:fmt="decimal"/>
          <w:cols w:space="720" w:num="1"/>
        </w:sectPr>
      </w:pPr>
      <w:r>
        <w:rPr>
          <w:rFonts w:hint="default" w:ascii="Times New Roman" w:hAnsi="Times New Roman" w:eastAsia="楷体" w:cs="Times New Roman"/>
          <w:color w:val="000000" w:themeColor="text1"/>
          <w:spacing w:val="12"/>
          <w:sz w:val="26"/>
          <w:szCs w:val="26"/>
          <w:lang w:val="en-US" w:eastAsia="zh-CN"/>
          <w14:textFill>
            <w14:solidFill>
              <w14:schemeClr w14:val="tx1"/>
            </w14:solidFill>
          </w14:textFill>
        </w:rPr>
        <w:t>配套监管措施：</w:t>
      </w:r>
      <w:r>
        <w:rPr>
          <w:rFonts w:hint="default" w:ascii="Times New Roman" w:hAnsi="Times New Roman" w:eastAsia="楷体" w:cs="Times New Roman"/>
          <w:color w:val="000000" w:themeColor="text1"/>
          <w:spacing w:val="12"/>
          <w:sz w:val="26"/>
          <w:szCs w:val="26"/>
          <w14:textFill>
            <w14:solidFill>
              <w14:schemeClr w14:val="tx1"/>
            </w14:solidFill>
          </w14:textFill>
        </w:rPr>
        <w:t>1.对当事人给予教育；2.责令限期改正（下达有关法律文书），并及时复查；3.加强日常监督管理。</w:t>
      </w:r>
    </w:p>
    <w:p w14:paraId="4D55E13D">
      <w:pPr>
        <w:spacing w:before="110" w:line="215" w:lineRule="auto"/>
        <w:ind w:left="899"/>
        <w:outlineLvl w:val="1"/>
        <w:rPr>
          <w:rFonts w:hint="default" w:ascii="Times New Roman" w:hAnsi="Times New Roman" w:eastAsia="宋体" w:cs="Times New Roman"/>
          <w:color w:val="000000" w:themeColor="text1"/>
          <w:sz w:val="34"/>
          <w:szCs w:val="34"/>
          <w14:textFill>
            <w14:solidFill>
              <w14:schemeClr w14:val="tx1"/>
            </w14:solidFill>
          </w14:textFill>
        </w:rPr>
      </w:pPr>
      <w:r>
        <w:rPr>
          <w:rFonts w:hint="eastAsia" w:ascii="Times New Roman" w:hAnsi="Times New Roman" w:eastAsia="宋体" w:cs="Times New Roman"/>
          <w:b/>
          <w:bCs/>
          <w:color w:val="000000" w:themeColor="text1"/>
          <w:spacing w:val="-4"/>
          <w:sz w:val="34"/>
          <w:szCs w:val="34"/>
          <w:lang w:eastAsia="zh-CN"/>
          <w14:textFill>
            <w14:solidFill>
              <w14:schemeClr w14:val="tx1"/>
            </w14:solidFill>
          </w14:textFill>
        </w:rPr>
        <w:t>（二）</w:t>
      </w:r>
      <w:r>
        <w:rPr>
          <w:rFonts w:hint="default" w:ascii="Times New Roman" w:hAnsi="Times New Roman" w:eastAsia="宋体" w:cs="Times New Roman"/>
          <w:b/>
          <w:bCs/>
          <w:color w:val="000000" w:themeColor="text1"/>
          <w:spacing w:val="-4"/>
          <w:sz w:val="34"/>
          <w:szCs w:val="34"/>
          <w14:textFill>
            <w14:solidFill>
              <w14:schemeClr w14:val="tx1"/>
            </w14:solidFill>
          </w14:textFill>
        </w:rPr>
        <w:t>从轻或减轻处罚事项清单</w:t>
      </w:r>
    </w:p>
    <w:tbl>
      <w:tblPr>
        <w:tblStyle w:val="7"/>
        <w:tblW w:w="149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5"/>
        <w:gridCol w:w="3446"/>
        <w:gridCol w:w="5235"/>
        <w:gridCol w:w="4410"/>
        <w:gridCol w:w="1014"/>
      </w:tblGrid>
      <w:tr w14:paraId="68F85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835" w:type="dxa"/>
            <w:vAlign w:val="top"/>
          </w:tcPr>
          <w:p w14:paraId="1B9FA581">
            <w:pPr>
              <w:pStyle w:val="8"/>
              <w:spacing w:before="213" w:line="221" w:lineRule="auto"/>
              <w:ind w:left="15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spacing w:val="-5"/>
                <w14:textFill>
                  <w14:solidFill>
                    <w14:schemeClr w14:val="tx1"/>
                  </w14:solidFill>
                </w14:textFill>
              </w:rPr>
              <w:t>序号</w:t>
            </w:r>
          </w:p>
        </w:tc>
        <w:tc>
          <w:tcPr>
            <w:tcW w:w="3446" w:type="dxa"/>
            <w:vAlign w:val="top"/>
          </w:tcPr>
          <w:p w14:paraId="1E271C9B">
            <w:pPr>
              <w:pStyle w:val="8"/>
              <w:spacing w:before="212" w:line="220" w:lineRule="auto"/>
              <w:ind w:left="1403"/>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spacing w:val="-1"/>
                <w14:textFill>
                  <w14:solidFill>
                    <w14:schemeClr w14:val="tx1"/>
                  </w14:solidFill>
                </w14:textFill>
              </w:rPr>
              <w:t>处罚事项</w:t>
            </w:r>
          </w:p>
        </w:tc>
        <w:tc>
          <w:tcPr>
            <w:tcW w:w="5235" w:type="dxa"/>
            <w:vAlign w:val="top"/>
          </w:tcPr>
          <w:p w14:paraId="00573F9D">
            <w:pPr>
              <w:pStyle w:val="8"/>
              <w:spacing w:before="221" w:line="219" w:lineRule="auto"/>
              <w:ind w:left="85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spacing w:val="-4"/>
                <w14:textFill>
                  <w14:solidFill>
                    <w14:schemeClr w14:val="tx1"/>
                  </w14:solidFill>
                </w14:textFill>
              </w:rPr>
              <w:t>从轻或减轻处罚的情形</w:t>
            </w:r>
          </w:p>
        </w:tc>
        <w:tc>
          <w:tcPr>
            <w:tcW w:w="4410" w:type="dxa"/>
            <w:vAlign w:val="top"/>
          </w:tcPr>
          <w:p w14:paraId="1736DB2A">
            <w:pPr>
              <w:pStyle w:val="8"/>
              <w:spacing w:before="240" w:line="219" w:lineRule="auto"/>
              <w:ind w:left="111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spacing w:val="-2"/>
                <w14:textFill>
                  <w14:solidFill>
                    <w14:schemeClr w14:val="tx1"/>
                  </w14:solidFill>
                </w14:textFill>
              </w:rPr>
              <w:t>从轻或减轻处罚的依据</w:t>
            </w:r>
          </w:p>
        </w:tc>
        <w:tc>
          <w:tcPr>
            <w:tcW w:w="1014" w:type="dxa"/>
            <w:vAlign w:val="top"/>
          </w:tcPr>
          <w:p w14:paraId="7246B43D">
            <w:pPr>
              <w:pStyle w:val="8"/>
              <w:spacing w:before="183" w:line="221" w:lineRule="auto"/>
              <w:ind w:left="252"/>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spacing w:val="-6"/>
                <w14:textFill>
                  <w14:solidFill>
                    <w14:schemeClr w14:val="tx1"/>
                  </w14:solidFill>
                </w14:textFill>
              </w:rPr>
              <w:t>备注</w:t>
            </w:r>
          </w:p>
        </w:tc>
      </w:tr>
      <w:tr w14:paraId="193DD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trPr>
        <w:tc>
          <w:tcPr>
            <w:tcW w:w="835" w:type="dxa"/>
            <w:vAlign w:val="center"/>
          </w:tcPr>
          <w:p w14:paraId="09D97C79">
            <w:pPr>
              <w:pStyle w:val="8"/>
              <w:spacing w:before="290" w:line="226" w:lineRule="auto"/>
              <w:ind w:left="130" w:hanging="9"/>
              <w:jc w:val="center"/>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1</w:t>
            </w:r>
          </w:p>
        </w:tc>
        <w:tc>
          <w:tcPr>
            <w:tcW w:w="3446" w:type="dxa"/>
            <w:vAlign w:val="center"/>
          </w:tcPr>
          <w:p w14:paraId="22F1190E">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非高危生产经营单位未将事故隐患排查治理情况向从业人员通报的</w:t>
            </w:r>
          </w:p>
        </w:tc>
        <w:tc>
          <w:tcPr>
            <w:tcW w:w="5235" w:type="dxa"/>
            <w:vAlign w:val="center"/>
          </w:tcPr>
          <w:p w14:paraId="3C1504EF">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有证据证明开展了隐患排查治理，但未向从业人员通报</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重大事故隐患除外</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属于首次被发现，及时纠正，主动消除危害后果的</w:t>
            </w:r>
          </w:p>
        </w:tc>
        <w:tc>
          <w:tcPr>
            <w:tcW w:w="4410" w:type="dxa"/>
            <w:vAlign w:val="center"/>
          </w:tcPr>
          <w:p w14:paraId="6D19FCC1">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lang w:eastAsia="zh-CN"/>
                <w14:textFill>
                  <w14:solidFill>
                    <w14:schemeClr w14:val="tx1"/>
                  </w14:solidFill>
                </w14:textFill>
              </w:rPr>
              <w:t>《中华人民共和国安全生产法》</w:t>
            </w:r>
            <w:r>
              <w:rPr>
                <w:rFonts w:hint="default" w:ascii="Times New Roman" w:hAnsi="Times New Roman" w:cs="Times New Roman"/>
                <w:color w:val="000000" w:themeColor="text1"/>
                <w:spacing w:val="3"/>
                <w14:textFill>
                  <w14:solidFill>
                    <w14:schemeClr w14:val="tx1"/>
                  </w14:solidFill>
                </w14:textFill>
              </w:rPr>
              <w:t>第九十七条、</w:t>
            </w:r>
            <w:r>
              <w:rPr>
                <w:rFonts w:hint="default" w:ascii="Times New Roman" w:hAnsi="Times New Roman" w:cs="Times New Roman"/>
                <w:color w:val="000000" w:themeColor="text1"/>
                <w:spacing w:val="3"/>
                <w:lang w:eastAsia="zh-CN"/>
                <w14:textFill>
                  <w14:solidFill>
                    <w14:schemeClr w14:val="tx1"/>
                  </w14:solidFill>
                </w14:textFill>
              </w:rPr>
              <w:t>《中华人民共和国行政处罚法》第三十二条、《应急管理行政处罚裁量权基准》第一部分适用说明、</w:t>
            </w:r>
            <w:r>
              <w:rPr>
                <w:rFonts w:hint="default" w:ascii="Times New Roman" w:hAnsi="Times New Roman" w:cs="Times New Roman"/>
                <w:color w:val="000000" w:themeColor="text1"/>
                <w:spacing w:val="3"/>
                <w14:textFill>
                  <w14:solidFill>
                    <w14:schemeClr w14:val="tx1"/>
                  </w14:solidFill>
                </w14:textFill>
              </w:rPr>
              <w:t>《安全生产违法行为行政处罚办法》第五十六条第一款第</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二</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项</w:t>
            </w:r>
          </w:p>
        </w:tc>
        <w:tc>
          <w:tcPr>
            <w:tcW w:w="1014" w:type="dxa"/>
            <w:vAlign w:val="top"/>
          </w:tcPr>
          <w:p w14:paraId="3F3EF841">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p>
        </w:tc>
      </w:tr>
      <w:tr w14:paraId="6FFEC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835" w:type="dxa"/>
            <w:vAlign w:val="center"/>
          </w:tcPr>
          <w:p w14:paraId="623A9C4A">
            <w:pPr>
              <w:pStyle w:val="8"/>
              <w:spacing w:before="290" w:line="226" w:lineRule="auto"/>
              <w:ind w:left="130" w:hanging="9"/>
              <w:jc w:val="center"/>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2</w:t>
            </w:r>
          </w:p>
        </w:tc>
        <w:tc>
          <w:tcPr>
            <w:tcW w:w="3446" w:type="dxa"/>
            <w:vAlign w:val="center"/>
          </w:tcPr>
          <w:p w14:paraId="1FB26BFA">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非高危生产经营单位未按照规定设置安全生产管理机构或者配备安全生产管理人员、注册安全工程师的</w:t>
            </w:r>
          </w:p>
        </w:tc>
        <w:tc>
          <w:tcPr>
            <w:tcW w:w="5235" w:type="dxa"/>
            <w:vAlign w:val="center"/>
          </w:tcPr>
          <w:p w14:paraId="3C22ECE7">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属于首次被发现，及时纠正，主动消除危害后果的</w:t>
            </w:r>
          </w:p>
        </w:tc>
        <w:tc>
          <w:tcPr>
            <w:tcW w:w="4410" w:type="dxa"/>
            <w:vAlign w:val="center"/>
          </w:tcPr>
          <w:p w14:paraId="26409F0B">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lang w:eastAsia="zh-CN"/>
                <w14:textFill>
                  <w14:solidFill>
                    <w14:schemeClr w14:val="tx1"/>
                  </w14:solidFill>
                </w14:textFill>
              </w:rPr>
              <w:t>《中华人民共和国安全生产法》</w:t>
            </w:r>
            <w:r>
              <w:rPr>
                <w:rFonts w:hint="default" w:ascii="Times New Roman" w:hAnsi="Times New Roman" w:cs="Times New Roman"/>
                <w:color w:val="000000" w:themeColor="text1"/>
                <w:spacing w:val="3"/>
                <w14:textFill>
                  <w14:solidFill>
                    <w14:schemeClr w14:val="tx1"/>
                  </w14:solidFill>
                </w14:textFill>
              </w:rPr>
              <w:t>第九十七条、</w:t>
            </w:r>
            <w:r>
              <w:rPr>
                <w:rFonts w:hint="default" w:ascii="Times New Roman" w:hAnsi="Times New Roman" w:cs="Times New Roman"/>
                <w:color w:val="000000" w:themeColor="text1"/>
                <w:spacing w:val="3"/>
                <w:lang w:eastAsia="zh-CN"/>
                <w14:textFill>
                  <w14:solidFill>
                    <w14:schemeClr w14:val="tx1"/>
                  </w14:solidFill>
                </w14:textFill>
              </w:rPr>
              <w:t>《中华人民共和国行政处罚法》第三十二条、《应急管理行政处罚裁量权基准》第一部分适用说明、</w:t>
            </w:r>
            <w:r>
              <w:rPr>
                <w:rFonts w:hint="default" w:ascii="Times New Roman" w:hAnsi="Times New Roman" w:cs="Times New Roman"/>
                <w:color w:val="000000" w:themeColor="text1"/>
                <w:spacing w:val="3"/>
                <w14:textFill>
                  <w14:solidFill>
                    <w14:schemeClr w14:val="tx1"/>
                  </w14:solidFill>
                </w14:textFill>
              </w:rPr>
              <w:t>《安全生产违法行为行政处罚办法》第五十六条第一款第</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二</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项</w:t>
            </w:r>
          </w:p>
        </w:tc>
        <w:tc>
          <w:tcPr>
            <w:tcW w:w="1014" w:type="dxa"/>
            <w:vAlign w:val="top"/>
          </w:tcPr>
          <w:p w14:paraId="219B915D">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p>
        </w:tc>
      </w:tr>
      <w:tr w14:paraId="5E681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835" w:type="dxa"/>
            <w:vAlign w:val="center"/>
          </w:tcPr>
          <w:p w14:paraId="101E6A85">
            <w:pPr>
              <w:pStyle w:val="8"/>
              <w:spacing w:before="290" w:line="226" w:lineRule="auto"/>
              <w:ind w:left="130" w:hanging="9"/>
              <w:jc w:val="center"/>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3</w:t>
            </w:r>
          </w:p>
        </w:tc>
        <w:tc>
          <w:tcPr>
            <w:tcW w:w="3446" w:type="dxa"/>
            <w:vAlign w:val="center"/>
          </w:tcPr>
          <w:p w14:paraId="132E8787">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非高危生产经营单位未按照规定对从业人员、被派遣劳动者、实习学生进行安全生产教育和培训，或者未按照规定如实告知有关的安全生产事项</w:t>
            </w:r>
          </w:p>
        </w:tc>
        <w:tc>
          <w:tcPr>
            <w:tcW w:w="5235" w:type="dxa"/>
            <w:vAlign w:val="center"/>
          </w:tcPr>
          <w:p w14:paraId="14D895FF">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有证据证明对从业人员、被派遣劳动者、实习学生进行了安全生产教育和培训，但形式或内容不完全符合规定，属于首次被发现，及时纠正，主动消除危害后果的</w:t>
            </w:r>
          </w:p>
        </w:tc>
        <w:tc>
          <w:tcPr>
            <w:tcW w:w="4410" w:type="dxa"/>
            <w:vAlign w:val="center"/>
          </w:tcPr>
          <w:p w14:paraId="2A61DAA9">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lang w:eastAsia="zh-CN"/>
                <w14:textFill>
                  <w14:solidFill>
                    <w14:schemeClr w14:val="tx1"/>
                  </w14:solidFill>
                </w14:textFill>
              </w:rPr>
              <w:t>《中华人民共和国安全生产法》</w:t>
            </w:r>
            <w:r>
              <w:rPr>
                <w:rFonts w:hint="default" w:ascii="Times New Roman" w:hAnsi="Times New Roman" w:cs="Times New Roman"/>
                <w:color w:val="000000" w:themeColor="text1"/>
                <w:spacing w:val="3"/>
                <w14:textFill>
                  <w14:solidFill>
                    <w14:schemeClr w14:val="tx1"/>
                  </w14:solidFill>
                </w14:textFill>
              </w:rPr>
              <w:t>第九十七条、</w:t>
            </w:r>
            <w:r>
              <w:rPr>
                <w:rFonts w:hint="default" w:ascii="Times New Roman" w:hAnsi="Times New Roman" w:cs="Times New Roman"/>
                <w:color w:val="000000" w:themeColor="text1"/>
                <w:spacing w:val="3"/>
                <w:lang w:eastAsia="zh-CN"/>
                <w14:textFill>
                  <w14:solidFill>
                    <w14:schemeClr w14:val="tx1"/>
                  </w14:solidFill>
                </w14:textFill>
              </w:rPr>
              <w:t>《中华人民共和国行政处罚法》第三十二条、《应急管理行政处罚裁量权基准》第一部分适用说明、</w:t>
            </w:r>
            <w:r>
              <w:rPr>
                <w:rFonts w:hint="default" w:ascii="Times New Roman" w:hAnsi="Times New Roman" w:cs="Times New Roman"/>
                <w:color w:val="000000" w:themeColor="text1"/>
                <w:spacing w:val="3"/>
                <w14:textFill>
                  <w14:solidFill>
                    <w14:schemeClr w14:val="tx1"/>
                  </w14:solidFill>
                </w14:textFill>
              </w:rPr>
              <w:t>《安全生产违法行为行政处罚办法》第五十六条第一款第</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二</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项</w:t>
            </w:r>
          </w:p>
        </w:tc>
        <w:tc>
          <w:tcPr>
            <w:tcW w:w="1014" w:type="dxa"/>
            <w:vAlign w:val="top"/>
          </w:tcPr>
          <w:p w14:paraId="5EE123C5">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p>
        </w:tc>
      </w:tr>
      <w:tr w14:paraId="3FAA4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trPr>
        <w:tc>
          <w:tcPr>
            <w:tcW w:w="835" w:type="dxa"/>
            <w:vAlign w:val="center"/>
          </w:tcPr>
          <w:p w14:paraId="49D301C6">
            <w:pPr>
              <w:pStyle w:val="8"/>
              <w:spacing w:before="290" w:line="226" w:lineRule="auto"/>
              <w:ind w:left="130" w:hanging="9"/>
              <w:jc w:val="center"/>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4</w:t>
            </w:r>
          </w:p>
        </w:tc>
        <w:tc>
          <w:tcPr>
            <w:tcW w:w="3446" w:type="dxa"/>
            <w:vAlign w:val="center"/>
          </w:tcPr>
          <w:p w14:paraId="01F82379">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非高危生产经营单位在从业人员安全培训期间未支付工资并承担安全培训费用的</w:t>
            </w:r>
          </w:p>
        </w:tc>
        <w:tc>
          <w:tcPr>
            <w:tcW w:w="5235" w:type="dxa"/>
            <w:vAlign w:val="center"/>
          </w:tcPr>
          <w:p w14:paraId="22D514B8">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在从业人员安全培训期间未支付工资并承担安全培训费用的，属于首次被发现，及时纠正，主动消除危害后果的</w:t>
            </w:r>
          </w:p>
        </w:tc>
        <w:tc>
          <w:tcPr>
            <w:tcW w:w="4410" w:type="dxa"/>
            <w:vAlign w:val="center"/>
          </w:tcPr>
          <w:p w14:paraId="16965A48">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《生产经营单位安全培训规定》第二十九条、</w:t>
            </w:r>
            <w:r>
              <w:rPr>
                <w:rFonts w:hint="default" w:ascii="Times New Roman" w:hAnsi="Times New Roman" w:cs="Times New Roman"/>
                <w:color w:val="000000" w:themeColor="text1"/>
                <w:spacing w:val="3"/>
                <w:lang w:eastAsia="zh-CN"/>
                <w14:textFill>
                  <w14:solidFill>
                    <w14:schemeClr w14:val="tx1"/>
                  </w14:solidFill>
                </w14:textFill>
              </w:rPr>
              <w:t>《中华人民共和国行政处罚法》第三十二条、《应急管理行政处罚裁量权基准》第一部分适用说明、</w:t>
            </w:r>
            <w:r>
              <w:rPr>
                <w:rFonts w:hint="default" w:ascii="Times New Roman" w:hAnsi="Times New Roman" w:cs="Times New Roman"/>
                <w:color w:val="000000" w:themeColor="text1"/>
                <w:spacing w:val="3"/>
                <w14:textFill>
                  <w14:solidFill>
                    <w14:schemeClr w14:val="tx1"/>
                  </w14:solidFill>
                </w14:textFill>
              </w:rPr>
              <w:t>《安全生产违法行为行政处罚办法》第五十六条第一款第</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二</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项</w:t>
            </w:r>
          </w:p>
        </w:tc>
        <w:tc>
          <w:tcPr>
            <w:tcW w:w="1014" w:type="dxa"/>
            <w:vAlign w:val="top"/>
          </w:tcPr>
          <w:p w14:paraId="6697B91D">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p>
        </w:tc>
      </w:tr>
    </w:tbl>
    <w:p w14:paraId="367E5FD1">
      <w:pPr>
        <w:pStyle w:val="8"/>
        <w:spacing w:before="290" w:line="226" w:lineRule="auto"/>
        <w:ind w:left="130" w:hanging="9"/>
        <w:jc w:val="both"/>
        <w:rPr>
          <w:rFonts w:hint="default" w:ascii="Times New Roman" w:hAnsi="Times New Roman" w:cs="Times New Roman"/>
          <w:color w:val="000000" w:themeColor="text1"/>
          <w:spacing w:val="3"/>
          <w:lang w:eastAsia="zh-CN"/>
          <w14:textFill>
            <w14:solidFill>
              <w14:schemeClr w14:val="tx1"/>
            </w14:solidFill>
          </w14:textFill>
        </w:rPr>
        <w:sectPr>
          <w:footerReference r:id="rId6" w:type="default"/>
          <w:pgSz w:w="16870" w:h="11840"/>
          <w:pgMar w:top="1006" w:right="934" w:bottom="1080" w:left="984" w:header="0" w:footer="715" w:gutter="0"/>
          <w:pgNumType w:fmt="decimal"/>
          <w:cols w:space="720" w:num="1"/>
        </w:sectPr>
      </w:pPr>
    </w:p>
    <w:tbl>
      <w:tblPr>
        <w:tblStyle w:val="7"/>
        <w:tblW w:w="14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5"/>
        <w:gridCol w:w="3451"/>
        <w:gridCol w:w="5250"/>
        <w:gridCol w:w="4390"/>
        <w:gridCol w:w="1004"/>
      </w:tblGrid>
      <w:tr w14:paraId="24718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3" w:hRule="atLeast"/>
        </w:trPr>
        <w:tc>
          <w:tcPr>
            <w:tcW w:w="835" w:type="dxa"/>
            <w:vAlign w:val="center"/>
          </w:tcPr>
          <w:p w14:paraId="398D4438">
            <w:pPr>
              <w:pStyle w:val="8"/>
              <w:spacing w:before="290" w:line="226" w:lineRule="auto"/>
              <w:ind w:left="130" w:hanging="9"/>
              <w:jc w:val="center"/>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5</w:t>
            </w:r>
          </w:p>
        </w:tc>
        <w:tc>
          <w:tcPr>
            <w:tcW w:w="3451" w:type="dxa"/>
            <w:vAlign w:val="center"/>
          </w:tcPr>
          <w:p w14:paraId="5A4AB697">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非高危生产经营单位未将安全培训工作纳入本单位工作计划并保证安全培训工作所需资金的</w:t>
            </w:r>
          </w:p>
        </w:tc>
        <w:tc>
          <w:tcPr>
            <w:tcW w:w="5250" w:type="dxa"/>
            <w:vAlign w:val="center"/>
          </w:tcPr>
          <w:p w14:paraId="6794BE40">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属于首次被发现，及时纠正，主动消除危害后果的</w:t>
            </w:r>
          </w:p>
        </w:tc>
        <w:tc>
          <w:tcPr>
            <w:tcW w:w="4390" w:type="dxa"/>
            <w:vAlign w:val="center"/>
          </w:tcPr>
          <w:p w14:paraId="2BB789AD">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《生产经营单位安全培训规定》第二十九条、</w:t>
            </w:r>
            <w:r>
              <w:rPr>
                <w:rFonts w:hint="default" w:ascii="Times New Roman" w:hAnsi="Times New Roman" w:cs="Times New Roman"/>
                <w:color w:val="000000" w:themeColor="text1"/>
                <w:spacing w:val="3"/>
                <w:lang w:eastAsia="zh-CN"/>
                <w14:textFill>
                  <w14:solidFill>
                    <w14:schemeClr w14:val="tx1"/>
                  </w14:solidFill>
                </w14:textFill>
              </w:rPr>
              <w:t>《中华人民共和国行政处罚法》第三十二条、《应急管理行政处罚裁量权基准》第一部分适用说明、</w:t>
            </w:r>
            <w:r>
              <w:rPr>
                <w:rFonts w:hint="default" w:ascii="Times New Roman" w:hAnsi="Times New Roman" w:cs="Times New Roman"/>
                <w:color w:val="000000" w:themeColor="text1"/>
                <w:spacing w:val="3"/>
                <w14:textFill>
                  <w14:solidFill>
                    <w14:schemeClr w14:val="tx1"/>
                  </w14:solidFill>
                </w14:textFill>
              </w:rPr>
              <w:t>《安全生产违法行为行政处罚办法》第五十六条第一款第</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二</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项</w:t>
            </w:r>
          </w:p>
        </w:tc>
        <w:tc>
          <w:tcPr>
            <w:tcW w:w="1004" w:type="dxa"/>
            <w:vAlign w:val="top"/>
          </w:tcPr>
          <w:p w14:paraId="3B246094">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p>
        </w:tc>
      </w:tr>
      <w:tr w14:paraId="7D026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8" w:hRule="atLeast"/>
        </w:trPr>
        <w:tc>
          <w:tcPr>
            <w:tcW w:w="835" w:type="dxa"/>
            <w:vAlign w:val="center"/>
          </w:tcPr>
          <w:p w14:paraId="2995F9EA">
            <w:pPr>
              <w:pStyle w:val="8"/>
              <w:spacing w:before="290" w:line="226" w:lineRule="auto"/>
              <w:ind w:left="130" w:hanging="9"/>
              <w:jc w:val="center"/>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6</w:t>
            </w:r>
          </w:p>
        </w:tc>
        <w:tc>
          <w:tcPr>
            <w:tcW w:w="3451" w:type="dxa"/>
            <w:vAlign w:val="center"/>
          </w:tcPr>
          <w:p w14:paraId="3632B2B0">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非高危生产经营单位未按照规定开展应急预案评审的</w:t>
            </w:r>
          </w:p>
        </w:tc>
        <w:tc>
          <w:tcPr>
            <w:tcW w:w="5250" w:type="dxa"/>
            <w:vAlign w:val="center"/>
          </w:tcPr>
          <w:p w14:paraId="2C83F6AF">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未按照规定开展应急预案评审的，属于首次被发现，及时纠正，主动消除危害后果的</w:t>
            </w:r>
          </w:p>
        </w:tc>
        <w:tc>
          <w:tcPr>
            <w:tcW w:w="4390" w:type="dxa"/>
            <w:vAlign w:val="center"/>
          </w:tcPr>
          <w:p w14:paraId="76B5348D">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《生产安全事故应急预案管理办法》第四十五条、《安全生产行政处罚自由裁量适用规则</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试行</w:t>
            </w:r>
            <w:r>
              <w:rPr>
                <w:rFonts w:hint="default"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》第十四条第一款第</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二</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项、《安全生产违法行为行政处罚办法》第五十六条第一款第</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二</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项</w:t>
            </w:r>
          </w:p>
        </w:tc>
        <w:tc>
          <w:tcPr>
            <w:tcW w:w="1004" w:type="dxa"/>
            <w:vAlign w:val="top"/>
          </w:tcPr>
          <w:p w14:paraId="45AE82E1">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p>
        </w:tc>
      </w:tr>
      <w:tr w14:paraId="2B44E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8" w:hRule="atLeast"/>
        </w:trPr>
        <w:tc>
          <w:tcPr>
            <w:tcW w:w="835" w:type="dxa"/>
            <w:vAlign w:val="center"/>
          </w:tcPr>
          <w:p w14:paraId="04D48AA5">
            <w:pPr>
              <w:pStyle w:val="8"/>
              <w:spacing w:before="290" w:line="226" w:lineRule="auto"/>
              <w:ind w:left="130" w:hanging="9"/>
              <w:jc w:val="center"/>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7</w:t>
            </w:r>
          </w:p>
        </w:tc>
        <w:tc>
          <w:tcPr>
            <w:tcW w:w="3451" w:type="dxa"/>
            <w:vAlign w:val="center"/>
          </w:tcPr>
          <w:p w14:paraId="31EF117A">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非高危生产经营单位未按照规定进行应急预案修订的</w:t>
            </w:r>
          </w:p>
        </w:tc>
        <w:tc>
          <w:tcPr>
            <w:tcW w:w="5250" w:type="dxa"/>
            <w:vAlign w:val="center"/>
          </w:tcPr>
          <w:p w14:paraId="48BDA2B8">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已编制了应急预案并正常运行，属于首次被发现，及时纠正，主动消除危害后果的</w:t>
            </w:r>
          </w:p>
        </w:tc>
        <w:tc>
          <w:tcPr>
            <w:tcW w:w="4390" w:type="dxa"/>
            <w:vAlign w:val="center"/>
          </w:tcPr>
          <w:p w14:paraId="6DA48EDF">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《生产安全事故应急预案管理办法》第四十五条、</w:t>
            </w:r>
            <w:r>
              <w:rPr>
                <w:rFonts w:hint="default" w:ascii="Times New Roman" w:hAnsi="Times New Roman" w:cs="Times New Roman"/>
                <w:color w:val="000000" w:themeColor="text1"/>
                <w:spacing w:val="3"/>
                <w:lang w:eastAsia="zh-CN"/>
                <w14:textFill>
                  <w14:solidFill>
                    <w14:schemeClr w14:val="tx1"/>
                  </w14:solidFill>
                </w14:textFill>
              </w:rPr>
              <w:t>《中华人民共和国行政处罚法》第三十二条、《应急管理行政处罚裁量权基准》第一部分适用说明、</w:t>
            </w:r>
            <w:r>
              <w:rPr>
                <w:rFonts w:hint="default" w:ascii="Times New Roman" w:hAnsi="Times New Roman" w:cs="Times New Roman"/>
                <w:color w:val="000000" w:themeColor="text1"/>
                <w:spacing w:val="3"/>
                <w14:textFill>
                  <w14:solidFill>
                    <w14:schemeClr w14:val="tx1"/>
                  </w14:solidFill>
                </w14:textFill>
              </w:rPr>
              <w:t>《安全生产违法行为行政处罚办法》第五十六条第一款第</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二</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项</w:t>
            </w:r>
          </w:p>
        </w:tc>
        <w:tc>
          <w:tcPr>
            <w:tcW w:w="1004" w:type="dxa"/>
            <w:vAlign w:val="top"/>
          </w:tcPr>
          <w:p w14:paraId="40FBAA67">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p>
        </w:tc>
      </w:tr>
      <w:tr w14:paraId="7D01C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8" w:hRule="atLeast"/>
        </w:trPr>
        <w:tc>
          <w:tcPr>
            <w:tcW w:w="835" w:type="dxa"/>
            <w:vAlign w:val="center"/>
          </w:tcPr>
          <w:p w14:paraId="27FA6F78">
            <w:pPr>
              <w:pStyle w:val="8"/>
              <w:spacing w:before="290" w:line="226" w:lineRule="auto"/>
              <w:ind w:left="130" w:hanging="9"/>
              <w:jc w:val="center"/>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8</w:t>
            </w:r>
          </w:p>
        </w:tc>
        <w:tc>
          <w:tcPr>
            <w:tcW w:w="3451" w:type="dxa"/>
            <w:vAlign w:val="center"/>
          </w:tcPr>
          <w:p w14:paraId="6DE0DA70">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非高危生产经营单位在应急预案编制前未按照规定开展风险评估和应急资源调查的</w:t>
            </w:r>
          </w:p>
        </w:tc>
        <w:tc>
          <w:tcPr>
            <w:tcW w:w="5250" w:type="dxa"/>
            <w:vAlign w:val="center"/>
          </w:tcPr>
          <w:p w14:paraId="56492E3F">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属于首次被发现，及时纠正，主动消除危害后果的</w:t>
            </w:r>
          </w:p>
        </w:tc>
        <w:tc>
          <w:tcPr>
            <w:tcW w:w="4390" w:type="dxa"/>
            <w:vAlign w:val="center"/>
          </w:tcPr>
          <w:p w14:paraId="676E9D2A">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《生产安全事故应急预案管理办法》第四十五条、</w:t>
            </w:r>
            <w:r>
              <w:rPr>
                <w:rFonts w:hint="default" w:ascii="Times New Roman" w:hAnsi="Times New Roman" w:cs="Times New Roman"/>
                <w:color w:val="000000" w:themeColor="text1"/>
                <w:spacing w:val="3"/>
                <w:lang w:eastAsia="zh-CN"/>
                <w14:textFill>
                  <w14:solidFill>
                    <w14:schemeClr w14:val="tx1"/>
                  </w14:solidFill>
                </w14:textFill>
              </w:rPr>
              <w:t>《中华人民共和国行政处罚法》第三十二条、《应急管理行政处罚裁量权基准》第一部分适用说明、</w:t>
            </w:r>
            <w:r>
              <w:rPr>
                <w:rFonts w:hint="default" w:ascii="Times New Roman" w:hAnsi="Times New Roman" w:cs="Times New Roman"/>
                <w:color w:val="000000" w:themeColor="text1"/>
                <w:spacing w:val="3"/>
                <w14:textFill>
                  <w14:solidFill>
                    <w14:schemeClr w14:val="tx1"/>
                  </w14:solidFill>
                </w14:textFill>
              </w:rPr>
              <w:t>《安全生产违法行为行政处罚办法》第五十六条第一款第</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二</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项</w:t>
            </w:r>
          </w:p>
        </w:tc>
        <w:tc>
          <w:tcPr>
            <w:tcW w:w="1004" w:type="dxa"/>
            <w:vAlign w:val="top"/>
          </w:tcPr>
          <w:p w14:paraId="572769F4">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p>
        </w:tc>
      </w:tr>
      <w:tr w14:paraId="023C5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3" w:hRule="atLeast"/>
        </w:trPr>
        <w:tc>
          <w:tcPr>
            <w:tcW w:w="835" w:type="dxa"/>
            <w:vAlign w:val="center"/>
          </w:tcPr>
          <w:p w14:paraId="5EF92599">
            <w:pPr>
              <w:pStyle w:val="8"/>
              <w:spacing w:before="290" w:line="226" w:lineRule="auto"/>
              <w:ind w:left="130" w:hanging="9"/>
              <w:jc w:val="center"/>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9</w:t>
            </w:r>
          </w:p>
        </w:tc>
        <w:tc>
          <w:tcPr>
            <w:tcW w:w="3451" w:type="dxa"/>
            <w:vAlign w:val="center"/>
          </w:tcPr>
          <w:p w14:paraId="68FEEFF7">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非高危生产经营单位未按照规定开展应急预案评估的</w:t>
            </w:r>
          </w:p>
        </w:tc>
        <w:tc>
          <w:tcPr>
            <w:tcW w:w="5250" w:type="dxa"/>
            <w:vAlign w:val="center"/>
          </w:tcPr>
          <w:p w14:paraId="28E7C025">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属于首次被发现，及时纠正，主动消除危害后果的</w:t>
            </w:r>
          </w:p>
        </w:tc>
        <w:tc>
          <w:tcPr>
            <w:tcW w:w="4390" w:type="dxa"/>
            <w:vAlign w:val="center"/>
          </w:tcPr>
          <w:p w14:paraId="16369C2B">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《生产安全事故应急预案管理办法》第四十五条、</w:t>
            </w:r>
            <w:r>
              <w:rPr>
                <w:rFonts w:hint="default" w:ascii="Times New Roman" w:hAnsi="Times New Roman" w:cs="Times New Roman"/>
                <w:color w:val="000000" w:themeColor="text1"/>
                <w:spacing w:val="3"/>
                <w:lang w:eastAsia="zh-CN"/>
                <w14:textFill>
                  <w14:solidFill>
                    <w14:schemeClr w14:val="tx1"/>
                  </w14:solidFill>
                </w14:textFill>
              </w:rPr>
              <w:t>《中华人民共和国行政处罚法》第三十二条、《应急管理行政处罚裁量权基准》第一部分适用说明、</w:t>
            </w:r>
            <w:r>
              <w:rPr>
                <w:rFonts w:hint="default" w:ascii="Times New Roman" w:hAnsi="Times New Roman" w:cs="Times New Roman"/>
                <w:color w:val="000000" w:themeColor="text1"/>
                <w:spacing w:val="3"/>
                <w14:textFill>
                  <w14:solidFill>
                    <w14:schemeClr w14:val="tx1"/>
                  </w14:solidFill>
                </w14:textFill>
              </w:rPr>
              <w:t>《安全生产违法行为行政处罚办法》第五十六条第一款第</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二</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项</w:t>
            </w:r>
          </w:p>
        </w:tc>
        <w:tc>
          <w:tcPr>
            <w:tcW w:w="1004" w:type="dxa"/>
            <w:vAlign w:val="top"/>
          </w:tcPr>
          <w:p w14:paraId="689264C2">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p>
        </w:tc>
      </w:tr>
      <w:tr w14:paraId="63FA5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835" w:type="dxa"/>
            <w:vAlign w:val="center"/>
          </w:tcPr>
          <w:p w14:paraId="4FD2F138">
            <w:pPr>
              <w:pStyle w:val="8"/>
              <w:spacing w:before="290" w:line="226" w:lineRule="auto"/>
              <w:ind w:left="130" w:hanging="9"/>
              <w:jc w:val="center"/>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10</w:t>
            </w:r>
          </w:p>
        </w:tc>
        <w:tc>
          <w:tcPr>
            <w:tcW w:w="3451" w:type="dxa"/>
            <w:vAlign w:val="center"/>
          </w:tcPr>
          <w:p w14:paraId="025725E0">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非高危生产经营单位未按规定上报事故隐患排查治理统计分析表</w:t>
            </w:r>
          </w:p>
        </w:tc>
        <w:tc>
          <w:tcPr>
            <w:tcW w:w="5250" w:type="dxa"/>
            <w:vAlign w:val="center"/>
          </w:tcPr>
          <w:p w14:paraId="4709B49A">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属于首次被发现，及时纠正，主动消除危害后果的</w:t>
            </w:r>
          </w:p>
        </w:tc>
        <w:tc>
          <w:tcPr>
            <w:tcW w:w="4390" w:type="dxa"/>
            <w:vAlign w:val="center"/>
          </w:tcPr>
          <w:p w14:paraId="1DC434A1">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《安全生产事故隐患排查治理暂行规定》第二十六条、</w:t>
            </w:r>
            <w:r>
              <w:rPr>
                <w:rFonts w:hint="default" w:ascii="Times New Roman" w:hAnsi="Times New Roman" w:cs="Times New Roman"/>
                <w:color w:val="000000" w:themeColor="text1"/>
                <w:spacing w:val="3"/>
                <w:lang w:eastAsia="zh-CN"/>
                <w14:textFill>
                  <w14:solidFill>
                    <w14:schemeClr w14:val="tx1"/>
                  </w14:solidFill>
                </w14:textFill>
              </w:rPr>
              <w:t>《中华人民共和国行政处罚法》第三十二条、《应急管理行政处罚裁量权基准》第一部分适用说明、</w:t>
            </w:r>
            <w:r>
              <w:rPr>
                <w:rFonts w:hint="default" w:ascii="Times New Roman" w:hAnsi="Times New Roman" w:cs="Times New Roman"/>
                <w:color w:val="000000" w:themeColor="text1"/>
                <w:spacing w:val="3"/>
                <w14:textFill>
                  <w14:solidFill>
                    <w14:schemeClr w14:val="tx1"/>
                  </w14:solidFill>
                </w14:textFill>
              </w:rPr>
              <w:t>《安全生产违法行为行政处罚办法》第五十六条第一款第</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二</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项</w:t>
            </w:r>
          </w:p>
        </w:tc>
        <w:tc>
          <w:tcPr>
            <w:tcW w:w="1004" w:type="dxa"/>
            <w:vAlign w:val="top"/>
          </w:tcPr>
          <w:p w14:paraId="73CD0CA0">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p>
        </w:tc>
      </w:tr>
      <w:tr w14:paraId="4C6DE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835" w:type="dxa"/>
            <w:vAlign w:val="center"/>
          </w:tcPr>
          <w:p w14:paraId="1A3068E8">
            <w:pPr>
              <w:pStyle w:val="8"/>
              <w:spacing w:before="290" w:line="226" w:lineRule="auto"/>
              <w:ind w:left="130" w:hanging="9"/>
              <w:jc w:val="center"/>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11</w:t>
            </w:r>
          </w:p>
        </w:tc>
        <w:tc>
          <w:tcPr>
            <w:tcW w:w="3451" w:type="dxa"/>
            <w:vAlign w:val="center"/>
          </w:tcPr>
          <w:p w14:paraId="3B79949F">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非高危生产经营单位未制定事故隐患治理方案</w:t>
            </w:r>
          </w:p>
        </w:tc>
        <w:tc>
          <w:tcPr>
            <w:tcW w:w="5250" w:type="dxa"/>
            <w:vAlign w:val="center"/>
          </w:tcPr>
          <w:p w14:paraId="4EF08F70">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属于首次被发现，及时纠正，主动消除危害后果的</w:t>
            </w:r>
          </w:p>
        </w:tc>
        <w:tc>
          <w:tcPr>
            <w:tcW w:w="4390" w:type="dxa"/>
            <w:vAlign w:val="center"/>
          </w:tcPr>
          <w:p w14:paraId="782159AD">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《安全生产事故隐患排查治理暂行规定》第二十六条、</w:t>
            </w:r>
            <w:r>
              <w:rPr>
                <w:rFonts w:hint="default" w:ascii="Times New Roman" w:hAnsi="Times New Roman" w:cs="Times New Roman"/>
                <w:color w:val="000000" w:themeColor="text1"/>
                <w:spacing w:val="3"/>
                <w:lang w:eastAsia="zh-CN"/>
                <w14:textFill>
                  <w14:solidFill>
                    <w14:schemeClr w14:val="tx1"/>
                  </w14:solidFill>
                </w14:textFill>
              </w:rPr>
              <w:t>《中华人民共和国行政处罚法》第三十二条、《应急管理行政处罚裁量权基准》第一部分适用说明、</w:t>
            </w:r>
            <w:r>
              <w:rPr>
                <w:rFonts w:hint="default" w:ascii="Times New Roman" w:hAnsi="Times New Roman" w:cs="Times New Roman"/>
                <w:color w:val="000000" w:themeColor="text1"/>
                <w:spacing w:val="3"/>
                <w14:textFill>
                  <w14:solidFill>
                    <w14:schemeClr w14:val="tx1"/>
                  </w14:solidFill>
                </w14:textFill>
              </w:rPr>
              <w:t>《安全生产违法行为行政处罚办法》第五十六条第一款第</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二</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项</w:t>
            </w:r>
          </w:p>
        </w:tc>
        <w:tc>
          <w:tcPr>
            <w:tcW w:w="1004" w:type="dxa"/>
            <w:vAlign w:val="top"/>
          </w:tcPr>
          <w:p w14:paraId="00E6171B">
            <w:pPr>
              <w:pStyle w:val="8"/>
              <w:spacing w:before="290" w:line="226" w:lineRule="auto"/>
              <w:ind w:left="130" w:hanging="9"/>
              <w:jc w:val="both"/>
              <w:rPr>
                <w:rFonts w:hint="default" w:ascii="Times New Roman" w:hAnsi="Times New Roman" w:cs="Times New Roman"/>
                <w:color w:val="000000" w:themeColor="text1"/>
                <w:spacing w:val="3"/>
                <w14:textFill>
                  <w14:solidFill>
                    <w14:schemeClr w14:val="tx1"/>
                  </w14:solidFill>
                </w14:textFill>
              </w:rPr>
            </w:pPr>
          </w:p>
        </w:tc>
      </w:tr>
    </w:tbl>
    <w:p w14:paraId="36344AE0">
      <w:pPr>
        <w:spacing w:before="56" w:line="290" w:lineRule="auto"/>
        <w:ind w:left="134" w:firstLine="440"/>
        <w:rPr>
          <w:rFonts w:hint="default" w:ascii="Times New Roman" w:hAnsi="Times New Roman" w:eastAsia="楷体" w:cs="Times New Roman"/>
          <w:color w:val="000000" w:themeColor="text1"/>
          <w:spacing w:val="12"/>
          <w:sz w:val="26"/>
          <w:szCs w:val="26"/>
          <w:lang w:eastAsia="zh-CN"/>
          <w14:textFill>
            <w14:solidFill>
              <w14:schemeClr w14:val="tx1"/>
            </w14:solidFill>
          </w14:textFill>
        </w:rPr>
        <w:sectPr>
          <w:footerReference r:id="rId7" w:type="default"/>
          <w:pgSz w:w="16850" w:h="11820"/>
          <w:pgMar w:top="777" w:right="624" w:bottom="1069" w:left="945" w:header="0" w:footer="692" w:gutter="0"/>
          <w:pgNumType w:fmt="decimal"/>
          <w:cols w:space="720" w:num="1"/>
        </w:sectPr>
      </w:pPr>
      <w:r>
        <w:rPr>
          <w:rFonts w:hint="default" w:ascii="Times New Roman" w:hAnsi="Times New Roman" w:eastAsia="楷体" w:cs="Times New Roman"/>
          <w:color w:val="000000" w:themeColor="text1"/>
          <w:spacing w:val="12"/>
          <w:sz w:val="26"/>
          <w:szCs w:val="26"/>
          <w:lang w:val="en-US" w:eastAsia="zh-CN"/>
          <w14:textFill>
            <w14:solidFill>
              <w14:schemeClr w14:val="tx1"/>
            </w14:solidFill>
          </w14:textFill>
        </w:rPr>
        <w:t>配套监管措施：</w:t>
      </w:r>
      <w:r>
        <w:rPr>
          <w:rFonts w:hint="default" w:ascii="Times New Roman" w:hAnsi="Times New Roman" w:eastAsia="楷体" w:cs="Times New Roman"/>
          <w:color w:val="000000" w:themeColor="text1"/>
          <w:spacing w:val="12"/>
          <w:sz w:val="26"/>
          <w:szCs w:val="26"/>
          <w14:textFill>
            <w14:solidFill>
              <w14:schemeClr w14:val="tx1"/>
            </w14:solidFill>
          </w14:textFill>
        </w:rPr>
        <w:t>1.对当事人给予教育；2.责令限期改正（下达有关法律文书），并及时复查；3.加强日常监督管理。</w:t>
      </w:r>
    </w:p>
    <w:p w14:paraId="7D7EEE57">
      <w:pPr>
        <w:spacing w:line="452" w:lineRule="auto"/>
        <w:rPr>
          <w:rFonts w:hint="default" w:ascii="Times New Roman" w:hAnsi="Times New Roman" w:cs="Times New Roman"/>
          <w:color w:val="000000" w:themeColor="text1"/>
          <w:sz w:val="21"/>
          <w14:textFill>
            <w14:solidFill>
              <w14:schemeClr w14:val="tx1"/>
            </w14:solidFill>
          </w14:textFill>
        </w:rPr>
      </w:pPr>
    </w:p>
    <w:p w14:paraId="75EC98AC">
      <w:pPr>
        <w:spacing w:before="110" w:line="220" w:lineRule="auto"/>
        <w:ind w:left="929"/>
        <w:outlineLvl w:val="1"/>
        <w:rPr>
          <w:rFonts w:hint="default" w:ascii="Times New Roman" w:hAnsi="Times New Roman" w:eastAsia="宋体" w:cs="Times New Roman"/>
          <w:color w:val="000000" w:themeColor="text1"/>
          <w:sz w:val="34"/>
          <w:szCs w:val="34"/>
          <w14:textFill>
            <w14:solidFill>
              <w14:schemeClr w14:val="tx1"/>
            </w14:solidFill>
          </w14:textFill>
        </w:rPr>
      </w:pPr>
      <w:r>
        <w:rPr>
          <w:rFonts w:hint="eastAsia" w:ascii="Times New Roman" w:hAnsi="Times New Roman" w:eastAsia="宋体" w:cs="Times New Roman"/>
          <w:b/>
          <w:bCs/>
          <w:color w:val="000000" w:themeColor="text1"/>
          <w:spacing w:val="-4"/>
          <w:sz w:val="34"/>
          <w:szCs w:val="34"/>
          <w:lang w:eastAsia="zh-CN"/>
          <w14:textFill>
            <w14:solidFill>
              <w14:schemeClr w14:val="tx1"/>
            </w14:solidFill>
          </w14:textFill>
        </w:rPr>
        <w:t>（三）</w:t>
      </w:r>
      <w:r>
        <w:rPr>
          <w:rFonts w:hint="default" w:ascii="Times New Roman" w:hAnsi="Times New Roman" w:eastAsia="宋体" w:cs="Times New Roman"/>
          <w:b/>
          <w:bCs/>
          <w:color w:val="000000" w:themeColor="text1"/>
          <w:spacing w:val="-4"/>
          <w:sz w:val="34"/>
          <w:szCs w:val="34"/>
          <w14:textFill>
            <w14:solidFill>
              <w14:schemeClr w14:val="tx1"/>
            </w14:solidFill>
          </w14:textFill>
        </w:rPr>
        <w:t>从重处罚事项清单</w:t>
      </w:r>
    </w:p>
    <w:p w14:paraId="77497B46">
      <w:pPr>
        <w:spacing w:line="101" w:lineRule="auto"/>
        <w:rPr>
          <w:rFonts w:hint="default" w:ascii="Times New Roman" w:hAnsi="Times New Roman" w:cs="Times New Roman"/>
          <w:color w:val="000000" w:themeColor="text1"/>
          <w:sz w:val="2"/>
          <w14:textFill>
            <w14:solidFill>
              <w14:schemeClr w14:val="tx1"/>
            </w14:solidFill>
          </w14:textFill>
        </w:rPr>
      </w:pPr>
    </w:p>
    <w:tbl>
      <w:tblPr>
        <w:tblStyle w:val="7"/>
        <w:tblW w:w="14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1"/>
        <w:gridCol w:w="3475"/>
        <w:gridCol w:w="5295"/>
        <w:gridCol w:w="4232"/>
        <w:gridCol w:w="1003"/>
        <w:gridCol w:w="20"/>
        <w:gridCol w:w="9"/>
      </w:tblGrid>
      <w:tr w14:paraId="47950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504" w:hRule="atLeast"/>
        </w:trPr>
        <w:tc>
          <w:tcPr>
            <w:tcW w:w="835" w:type="dxa"/>
            <w:gridSpan w:val="2"/>
            <w:vAlign w:val="top"/>
          </w:tcPr>
          <w:p w14:paraId="705AD63D">
            <w:pPr>
              <w:pStyle w:val="8"/>
              <w:spacing w:before="133" w:line="221" w:lineRule="auto"/>
              <w:ind w:left="158"/>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spacing w:val="-5"/>
                <w14:textFill>
                  <w14:solidFill>
                    <w14:schemeClr w14:val="tx1"/>
                  </w14:solidFill>
                </w14:textFill>
              </w:rPr>
              <w:t>序号</w:t>
            </w:r>
          </w:p>
        </w:tc>
        <w:tc>
          <w:tcPr>
            <w:tcW w:w="3475" w:type="dxa"/>
            <w:vAlign w:val="top"/>
          </w:tcPr>
          <w:p w14:paraId="760EE88A">
            <w:pPr>
              <w:pStyle w:val="8"/>
              <w:spacing w:before="132" w:line="220" w:lineRule="auto"/>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spacing w:val="-1"/>
                <w14:textFill>
                  <w14:solidFill>
                    <w14:schemeClr w14:val="tx1"/>
                  </w14:solidFill>
                </w14:textFill>
              </w:rPr>
              <w:t>处罚事项</w:t>
            </w:r>
          </w:p>
        </w:tc>
        <w:tc>
          <w:tcPr>
            <w:tcW w:w="5295" w:type="dxa"/>
            <w:vAlign w:val="top"/>
          </w:tcPr>
          <w:p w14:paraId="389E3863">
            <w:pPr>
              <w:pStyle w:val="8"/>
              <w:spacing w:before="132" w:line="220" w:lineRule="auto"/>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spacing w:val="-5"/>
                <w14:textFill>
                  <w14:solidFill>
                    <w14:schemeClr w14:val="tx1"/>
                  </w14:solidFill>
                </w14:textFill>
              </w:rPr>
              <w:t>从重处罚的情形</w:t>
            </w:r>
          </w:p>
        </w:tc>
        <w:tc>
          <w:tcPr>
            <w:tcW w:w="4232" w:type="dxa"/>
            <w:vAlign w:val="top"/>
          </w:tcPr>
          <w:p w14:paraId="459A3CA8">
            <w:pPr>
              <w:pStyle w:val="8"/>
              <w:spacing w:before="130" w:line="219" w:lineRule="auto"/>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spacing w:val="-2"/>
                <w14:textFill>
                  <w14:solidFill>
                    <w14:schemeClr w14:val="tx1"/>
                  </w14:solidFill>
                </w14:textFill>
              </w:rPr>
              <w:t>从重处罚的依据</w:t>
            </w:r>
          </w:p>
        </w:tc>
        <w:tc>
          <w:tcPr>
            <w:tcW w:w="1023" w:type="dxa"/>
            <w:gridSpan w:val="2"/>
            <w:vAlign w:val="top"/>
          </w:tcPr>
          <w:p w14:paraId="09DD85D2">
            <w:pPr>
              <w:pStyle w:val="8"/>
              <w:spacing w:before="133" w:line="221" w:lineRule="auto"/>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spacing w:val="-6"/>
                <w14:textFill>
                  <w14:solidFill>
                    <w14:schemeClr w14:val="tx1"/>
                  </w14:solidFill>
                </w14:textFill>
              </w:rPr>
              <w:t>备注</w:t>
            </w:r>
          </w:p>
        </w:tc>
      </w:tr>
      <w:tr w14:paraId="3A725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398" w:hRule="atLeast"/>
        </w:trPr>
        <w:tc>
          <w:tcPr>
            <w:tcW w:w="835" w:type="dxa"/>
            <w:gridSpan w:val="2"/>
            <w:vAlign w:val="center"/>
          </w:tcPr>
          <w:p w14:paraId="6BDBEE0F">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1</w:t>
            </w:r>
          </w:p>
        </w:tc>
        <w:tc>
          <w:tcPr>
            <w:tcW w:w="3475" w:type="dxa"/>
            <w:vAlign w:val="top"/>
          </w:tcPr>
          <w:p w14:paraId="5085D1C7">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生产经营单位对生产安全事故负有责任的</w:t>
            </w:r>
          </w:p>
        </w:tc>
        <w:tc>
          <w:tcPr>
            <w:tcW w:w="5295" w:type="dxa"/>
            <w:vAlign w:val="top"/>
          </w:tcPr>
          <w:p w14:paraId="541AFF1D">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生产经营单位由于物的不安全状态或超过核定的生产能力、强度进行生产或违章指挥、强令冒险作业导致事故发生的，以及其他对事故发生负有主要责任的</w:t>
            </w:r>
          </w:p>
        </w:tc>
        <w:tc>
          <w:tcPr>
            <w:tcW w:w="4232" w:type="dxa"/>
            <w:vAlign w:val="top"/>
          </w:tcPr>
          <w:p w14:paraId="19F323A9">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lang w:eastAsia="zh-CN"/>
                <w14:textFill>
                  <w14:solidFill>
                    <w14:schemeClr w14:val="tx1"/>
                  </w14:solidFill>
                </w14:textFill>
              </w:rPr>
              <w:t>《中华人民共和国安全生产法》</w:t>
            </w:r>
            <w:r>
              <w:rPr>
                <w:rFonts w:hint="default" w:ascii="Times New Roman" w:hAnsi="Times New Roman" w:cs="Times New Roman"/>
                <w:color w:val="000000" w:themeColor="text1"/>
                <w:spacing w:val="3"/>
                <w14:textFill>
                  <w14:solidFill>
                    <w14:schemeClr w14:val="tx1"/>
                  </w14:solidFill>
                </w14:textFill>
              </w:rPr>
              <w:t>第一百一十四条、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w:t>
            </w:r>
            <w:r>
              <w:rPr>
                <w:rFonts w:hint="default" w:ascii="Times New Roman" w:hAnsi="Times New Roman" w:cs="Times New Roman"/>
                <w:color w:val="000000" w:themeColor="text1"/>
                <w:spacing w:val="3"/>
                <w14:textFill>
                  <w14:solidFill>
                    <w14:schemeClr w14:val="tx1"/>
                  </w14:solidFill>
                </w14:textFill>
              </w:rPr>
              <w:t>《安全生产违法行为行政处罚办法》第五十五条</w:t>
            </w:r>
          </w:p>
        </w:tc>
        <w:tc>
          <w:tcPr>
            <w:tcW w:w="1023" w:type="dxa"/>
            <w:gridSpan w:val="2"/>
            <w:vAlign w:val="top"/>
          </w:tcPr>
          <w:p w14:paraId="1AEB6BD1">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58355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388" w:hRule="atLeast"/>
        </w:trPr>
        <w:tc>
          <w:tcPr>
            <w:tcW w:w="835" w:type="dxa"/>
            <w:gridSpan w:val="2"/>
            <w:vAlign w:val="center"/>
          </w:tcPr>
          <w:p w14:paraId="27F1292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2</w:t>
            </w:r>
          </w:p>
        </w:tc>
        <w:tc>
          <w:tcPr>
            <w:tcW w:w="3475" w:type="dxa"/>
            <w:vAlign w:val="top"/>
          </w:tcPr>
          <w:p w14:paraId="2700F906">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事故发生单位主要负责人不立即组织抢救或者在事故调查处理期间擅离职守或者逃匿的，主要负责人对生产安全事故漏报、迟报的</w:t>
            </w:r>
          </w:p>
        </w:tc>
        <w:tc>
          <w:tcPr>
            <w:tcW w:w="5295" w:type="dxa"/>
            <w:vAlign w:val="top"/>
          </w:tcPr>
          <w:p w14:paraId="43E47198">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事故发生单位主要负责人主观存在漏报、迟报事故的、在事故调查处理期间擅离职守或故意隐瞒事实，不主动配合调查、在事故发生后不主动组织事故抢救、掩盖事实真相的</w:t>
            </w:r>
          </w:p>
        </w:tc>
        <w:tc>
          <w:tcPr>
            <w:tcW w:w="4232" w:type="dxa"/>
            <w:vAlign w:val="top"/>
          </w:tcPr>
          <w:p w14:paraId="64F0BA94">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lang w:eastAsia="zh-CN"/>
                <w14:textFill>
                  <w14:solidFill>
                    <w14:schemeClr w14:val="tx1"/>
                  </w14:solidFill>
                </w14:textFill>
              </w:rPr>
              <w:t>《中华人民共和国安全生产法》</w:t>
            </w:r>
            <w:r>
              <w:rPr>
                <w:rFonts w:hint="default" w:ascii="Times New Roman" w:hAnsi="Times New Roman" w:cs="Times New Roman"/>
                <w:color w:val="000000" w:themeColor="text1"/>
                <w:spacing w:val="3"/>
                <w14:textFill>
                  <w14:solidFill>
                    <w14:schemeClr w14:val="tx1"/>
                  </w14:solidFill>
                </w14:textFill>
              </w:rPr>
              <w:t>第一百一十条、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w:t>
            </w:r>
            <w:r>
              <w:rPr>
                <w:rFonts w:hint="default" w:ascii="Times New Roman" w:hAnsi="Times New Roman" w:cs="Times New Roman"/>
                <w:color w:val="000000" w:themeColor="text1"/>
                <w:spacing w:val="3"/>
                <w14:textFill>
                  <w14:solidFill>
                    <w14:schemeClr w14:val="tx1"/>
                  </w14:solidFill>
                </w14:textFill>
              </w:rPr>
              <w:t>《安全生产违法行为行政处罚办法》第五十五条</w:t>
            </w:r>
          </w:p>
        </w:tc>
        <w:tc>
          <w:tcPr>
            <w:tcW w:w="1023" w:type="dxa"/>
            <w:gridSpan w:val="2"/>
            <w:vAlign w:val="top"/>
          </w:tcPr>
          <w:p w14:paraId="081DD31C">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57071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108" w:hRule="atLeast"/>
        </w:trPr>
        <w:tc>
          <w:tcPr>
            <w:tcW w:w="835" w:type="dxa"/>
            <w:gridSpan w:val="2"/>
            <w:vAlign w:val="center"/>
          </w:tcPr>
          <w:p w14:paraId="52DDED4B">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3</w:t>
            </w:r>
          </w:p>
        </w:tc>
        <w:tc>
          <w:tcPr>
            <w:tcW w:w="3475" w:type="dxa"/>
            <w:vAlign w:val="top"/>
          </w:tcPr>
          <w:p w14:paraId="27566B2E">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生产经营单位拒绝、阻碍负有安全生产监督管理职责的部门依法实施监督检查</w:t>
            </w:r>
          </w:p>
        </w:tc>
        <w:tc>
          <w:tcPr>
            <w:tcW w:w="5295" w:type="dxa"/>
            <w:vAlign w:val="top"/>
          </w:tcPr>
          <w:p w14:paraId="5E79FE85">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生产经营单位以主动方式</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吵闹、谩骂等</w:t>
            </w:r>
            <w:r>
              <w:rPr>
                <w:rFonts w:hint="eastAsia" w:ascii="Times New Roman" w:hAnsi="Times New Roman" w:cs="Times New Roman"/>
                <w:color w:val="000000" w:themeColor="text1"/>
                <w:spacing w:val="3"/>
                <w:lang w:eastAsia="zh-CN"/>
                <w14:textFill>
                  <w14:solidFill>
                    <w14:schemeClr w14:val="tx1"/>
                  </w14:solidFill>
                </w14:textFill>
              </w:rPr>
              <w:t>）</w:t>
            </w:r>
            <w:r>
              <w:rPr>
                <w:rFonts w:hint="default" w:ascii="Times New Roman" w:hAnsi="Times New Roman" w:cs="Times New Roman"/>
                <w:color w:val="000000" w:themeColor="text1"/>
                <w:spacing w:val="3"/>
                <w14:textFill>
                  <w14:solidFill>
                    <w14:schemeClr w14:val="tx1"/>
                  </w14:solidFill>
                </w14:textFill>
              </w:rPr>
              <w:t>或暴力、威胁的方式拒绝负有安全生产监督管理职责的部门监督检查的</w:t>
            </w:r>
          </w:p>
        </w:tc>
        <w:tc>
          <w:tcPr>
            <w:tcW w:w="4232" w:type="dxa"/>
            <w:vAlign w:val="top"/>
          </w:tcPr>
          <w:p w14:paraId="30C86940">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lang w:eastAsia="zh-CN"/>
                <w14:textFill>
                  <w14:solidFill>
                    <w14:schemeClr w14:val="tx1"/>
                  </w14:solidFill>
                </w14:textFill>
              </w:rPr>
              <w:t>《中华人民共和国安全生产法》</w:t>
            </w:r>
            <w:r>
              <w:rPr>
                <w:rFonts w:hint="default" w:ascii="Times New Roman" w:hAnsi="Times New Roman" w:cs="Times New Roman"/>
                <w:color w:val="000000" w:themeColor="text1"/>
                <w:spacing w:val="3"/>
                <w14:textFill>
                  <w14:solidFill>
                    <w14:schemeClr w14:val="tx1"/>
                  </w14:solidFill>
                </w14:textFill>
              </w:rPr>
              <w:t>第一百零八条、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w:t>
            </w:r>
            <w:r>
              <w:rPr>
                <w:rFonts w:hint="default" w:ascii="Times New Roman" w:hAnsi="Times New Roman" w:cs="Times New Roman"/>
                <w:color w:val="000000" w:themeColor="text1"/>
                <w:spacing w:val="3"/>
                <w14:textFill>
                  <w14:solidFill>
                    <w14:schemeClr w14:val="tx1"/>
                  </w14:solidFill>
                </w14:textFill>
              </w:rPr>
              <w:t>《安全生产违法行为行政处罚办法》第五十五条</w:t>
            </w:r>
          </w:p>
        </w:tc>
        <w:tc>
          <w:tcPr>
            <w:tcW w:w="1023" w:type="dxa"/>
            <w:gridSpan w:val="2"/>
            <w:vAlign w:val="top"/>
          </w:tcPr>
          <w:p w14:paraId="68194FD0">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7711D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109" w:hRule="atLeast"/>
        </w:trPr>
        <w:tc>
          <w:tcPr>
            <w:tcW w:w="835" w:type="dxa"/>
            <w:gridSpan w:val="2"/>
            <w:vAlign w:val="center"/>
          </w:tcPr>
          <w:p w14:paraId="5894D939">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4</w:t>
            </w:r>
          </w:p>
        </w:tc>
        <w:tc>
          <w:tcPr>
            <w:tcW w:w="3475" w:type="dxa"/>
            <w:vAlign w:val="top"/>
          </w:tcPr>
          <w:p w14:paraId="6157E982">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生产经营单位未采取措施消除事故隐患的</w:t>
            </w:r>
          </w:p>
        </w:tc>
        <w:tc>
          <w:tcPr>
            <w:tcW w:w="5295" w:type="dxa"/>
            <w:vAlign w:val="top"/>
          </w:tcPr>
          <w:p w14:paraId="77295A7F">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经责令立即消除或者限期消除，生产经营单位拒不执行的</w:t>
            </w:r>
          </w:p>
        </w:tc>
        <w:tc>
          <w:tcPr>
            <w:tcW w:w="4232" w:type="dxa"/>
            <w:vAlign w:val="top"/>
          </w:tcPr>
          <w:p w14:paraId="1FE3CE5E">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lang w:eastAsia="zh-CN"/>
                <w14:textFill>
                  <w14:solidFill>
                    <w14:schemeClr w14:val="tx1"/>
                  </w14:solidFill>
                </w14:textFill>
              </w:rPr>
              <w:t>《中华人民共和国安全生产法》</w:t>
            </w:r>
            <w:r>
              <w:rPr>
                <w:rFonts w:hint="default" w:ascii="Times New Roman" w:hAnsi="Times New Roman" w:cs="Times New Roman"/>
                <w:color w:val="000000" w:themeColor="text1"/>
                <w:spacing w:val="3"/>
                <w14:textFill>
                  <w14:solidFill>
                    <w14:schemeClr w14:val="tx1"/>
                  </w14:solidFill>
                </w14:textFill>
              </w:rPr>
              <w:t>第一百零二条、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w:t>
            </w:r>
            <w:r>
              <w:rPr>
                <w:rFonts w:hint="default" w:ascii="Times New Roman" w:hAnsi="Times New Roman" w:cs="Times New Roman"/>
                <w:color w:val="000000" w:themeColor="text1"/>
                <w:spacing w:val="3"/>
                <w14:textFill>
                  <w14:solidFill>
                    <w14:schemeClr w14:val="tx1"/>
                  </w14:solidFill>
                </w14:textFill>
              </w:rPr>
              <w:t>《安全生产违法行为行政处罚办法》第五十五条</w:t>
            </w:r>
          </w:p>
        </w:tc>
        <w:tc>
          <w:tcPr>
            <w:tcW w:w="1023" w:type="dxa"/>
            <w:gridSpan w:val="2"/>
            <w:vAlign w:val="top"/>
          </w:tcPr>
          <w:p w14:paraId="2CD8AC06">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7D7A7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129" w:hRule="atLeast"/>
        </w:trPr>
        <w:tc>
          <w:tcPr>
            <w:tcW w:w="835" w:type="dxa"/>
            <w:gridSpan w:val="2"/>
            <w:vAlign w:val="center"/>
          </w:tcPr>
          <w:p w14:paraId="00B9DD3D">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5</w:t>
            </w:r>
          </w:p>
        </w:tc>
        <w:tc>
          <w:tcPr>
            <w:tcW w:w="3475" w:type="dxa"/>
            <w:vAlign w:val="top"/>
          </w:tcPr>
          <w:p w14:paraId="5E993482">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生产、经营、运输、储存、使用危险物品或者处置废弃危险物品，未建立专门安全管理制度、未采取可靠的安全措施的</w:t>
            </w:r>
          </w:p>
        </w:tc>
        <w:tc>
          <w:tcPr>
            <w:tcW w:w="5295" w:type="dxa"/>
            <w:vAlign w:val="top"/>
          </w:tcPr>
          <w:p w14:paraId="109B4634">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拒不整改或整改不力，其违法行为处于持续状态的</w:t>
            </w:r>
          </w:p>
        </w:tc>
        <w:tc>
          <w:tcPr>
            <w:tcW w:w="4232" w:type="dxa"/>
            <w:vAlign w:val="top"/>
          </w:tcPr>
          <w:p w14:paraId="10694A9B">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lang w:eastAsia="zh-CN"/>
                <w14:textFill>
                  <w14:solidFill>
                    <w14:schemeClr w14:val="tx1"/>
                  </w14:solidFill>
                </w14:textFill>
              </w:rPr>
              <w:t>《中华人民共和国安全生产法》</w:t>
            </w:r>
            <w:r>
              <w:rPr>
                <w:rFonts w:hint="default" w:ascii="Times New Roman" w:hAnsi="Times New Roman" w:cs="Times New Roman"/>
                <w:color w:val="000000" w:themeColor="text1"/>
                <w:spacing w:val="3"/>
                <w14:textFill>
                  <w14:solidFill>
                    <w14:schemeClr w14:val="tx1"/>
                  </w14:solidFill>
                </w14:textFill>
              </w:rPr>
              <w:t>第一百零一条、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w:t>
            </w:r>
            <w:r>
              <w:rPr>
                <w:rFonts w:hint="default" w:ascii="Times New Roman" w:hAnsi="Times New Roman" w:cs="Times New Roman"/>
                <w:color w:val="000000" w:themeColor="text1"/>
                <w:spacing w:val="3"/>
                <w14:textFill>
                  <w14:solidFill>
                    <w14:schemeClr w14:val="tx1"/>
                  </w14:solidFill>
                </w14:textFill>
              </w:rPr>
              <w:t>《安全生产违法行为行政处罚办法》第五十五条</w:t>
            </w:r>
          </w:p>
        </w:tc>
        <w:tc>
          <w:tcPr>
            <w:tcW w:w="1023" w:type="dxa"/>
            <w:gridSpan w:val="2"/>
            <w:vAlign w:val="top"/>
          </w:tcPr>
          <w:p w14:paraId="44BC0EFD">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392DE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104" w:hRule="atLeast"/>
        </w:trPr>
        <w:tc>
          <w:tcPr>
            <w:tcW w:w="835" w:type="dxa"/>
            <w:gridSpan w:val="2"/>
            <w:vAlign w:val="center"/>
          </w:tcPr>
          <w:p w14:paraId="55EC671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6</w:t>
            </w:r>
          </w:p>
        </w:tc>
        <w:tc>
          <w:tcPr>
            <w:tcW w:w="3475" w:type="dxa"/>
            <w:vAlign w:val="top"/>
          </w:tcPr>
          <w:p w14:paraId="02987C7C">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进行爆破、吊装、动火、临时用电以及国务院应急管理部门会同国务院有关部门规定的其他危险作业，未安排专门人员进行现场安全管理的</w:t>
            </w:r>
          </w:p>
        </w:tc>
        <w:tc>
          <w:tcPr>
            <w:tcW w:w="5295" w:type="dxa"/>
            <w:vAlign w:val="top"/>
          </w:tcPr>
          <w:p w14:paraId="6A2A8845">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拒不整改或整改不力，其违法行为处于持续状态的</w:t>
            </w:r>
          </w:p>
        </w:tc>
        <w:tc>
          <w:tcPr>
            <w:tcW w:w="4232" w:type="dxa"/>
            <w:vAlign w:val="top"/>
          </w:tcPr>
          <w:p w14:paraId="600C672A">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lang w:eastAsia="zh-CN"/>
                <w14:textFill>
                  <w14:solidFill>
                    <w14:schemeClr w14:val="tx1"/>
                  </w14:solidFill>
                </w14:textFill>
              </w:rPr>
              <w:t>《中华人民共和国安全生产法》</w:t>
            </w:r>
            <w:r>
              <w:rPr>
                <w:rFonts w:hint="default" w:ascii="Times New Roman" w:hAnsi="Times New Roman" w:cs="Times New Roman"/>
                <w:color w:val="000000" w:themeColor="text1"/>
                <w:spacing w:val="3"/>
                <w14:textFill>
                  <w14:solidFill>
                    <w14:schemeClr w14:val="tx1"/>
                  </w14:solidFill>
                </w14:textFill>
              </w:rPr>
              <w:t>第一百零一条、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w:t>
            </w:r>
            <w:r>
              <w:rPr>
                <w:rFonts w:hint="default" w:ascii="Times New Roman" w:hAnsi="Times New Roman" w:cs="Times New Roman"/>
                <w:color w:val="000000" w:themeColor="text1"/>
                <w:spacing w:val="3"/>
                <w14:textFill>
                  <w14:solidFill>
                    <w14:schemeClr w14:val="tx1"/>
                  </w14:solidFill>
                </w14:textFill>
              </w:rPr>
              <w:t>《安全生产违法行为行政处罚办法》第五十五条</w:t>
            </w:r>
          </w:p>
        </w:tc>
        <w:tc>
          <w:tcPr>
            <w:tcW w:w="1023" w:type="dxa"/>
            <w:gridSpan w:val="2"/>
            <w:vAlign w:val="top"/>
          </w:tcPr>
          <w:p w14:paraId="2B953ABD">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59529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103" w:hRule="atLeast"/>
        </w:trPr>
        <w:tc>
          <w:tcPr>
            <w:tcW w:w="835" w:type="dxa"/>
            <w:gridSpan w:val="2"/>
            <w:vAlign w:val="top"/>
          </w:tcPr>
          <w:p w14:paraId="00A70E6A">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7</w:t>
            </w:r>
          </w:p>
        </w:tc>
        <w:tc>
          <w:tcPr>
            <w:tcW w:w="3475" w:type="dxa"/>
            <w:vAlign w:val="top"/>
          </w:tcPr>
          <w:p w14:paraId="6C8E9B35">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对重大危险源未登记建档，未进行定期检测、评估、监控，未制定应急预案，或者未告知应急措施的</w:t>
            </w:r>
          </w:p>
        </w:tc>
        <w:tc>
          <w:tcPr>
            <w:tcW w:w="5295" w:type="dxa"/>
            <w:vAlign w:val="top"/>
          </w:tcPr>
          <w:p w14:paraId="66A8E4AF">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拒不整改或整改不力，其违法行为处于持续状态的</w:t>
            </w:r>
          </w:p>
        </w:tc>
        <w:tc>
          <w:tcPr>
            <w:tcW w:w="4232" w:type="dxa"/>
            <w:vAlign w:val="top"/>
          </w:tcPr>
          <w:p w14:paraId="450AE577">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lang w:eastAsia="zh-CN"/>
                <w14:textFill>
                  <w14:solidFill>
                    <w14:schemeClr w14:val="tx1"/>
                  </w14:solidFill>
                </w14:textFill>
              </w:rPr>
            </w:pPr>
            <w:r>
              <w:rPr>
                <w:rFonts w:hint="default" w:ascii="Times New Roman" w:hAnsi="Times New Roman" w:cs="Times New Roman"/>
                <w:color w:val="000000" w:themeColor="text1"/>
                <w:spacing w:val="3"/>
                <w:lang w:eastAsia="zh-CN"/>
                <w14:textFill>
                  <w14:solidFill>
                    <w14:schemeClr w14:val="tx1"/>
                  </w14:solidFill>
                </w14:textFill>
              </w:rPr>
              <w:t>《中华人民共和国安全生产法》</w:t>
            </w:r>
            <w:r>
              <w:rPr>
                <w:rFonts w:hint="default" w:ascii="Times New Roman" w:hAnsi="Times New Roman" w:cs="Times New Roman"/>
                <w:color w:val="000000" w:themeColor="text1"/>
                <w:spacing w:val="3"/>
                <w14:textFill>
                  <w14:solidFill>
                    <w14:schemeClr w14:val="tx1"/>
                  </w14:solidFill>
                </w14:textFill>
              </w:rPr>
              <w:t>第一百零一条、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23" w:type="dxa"/>
            <w:gridSpan w:val="2"/>
            <w:vAlign w:val="top"/>
          </w:tcPr>
          <w:p w14:paraId="7CF21FFD">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78C63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109" w:hRule="atLeast"/>
        </w:trPr>
        <w:tc>
          <w:tcPr>
            <w:tcW w:w="835" w:type="dxa"/>
            <w:gridSpan w:val="2"/>
            <w:vAlign w:val="top"/>
          </w:tcPr>
          <w:p w14:paraId="02BAEC37">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8</w:t>
            </w:r>
          </w:p>
        </w:tc>
        <w:tc>
          <w:tcPr>
            <w:tcW w:w="3475" w:type="dxa"/>
            <w:vAlign w:val="top"/>
          </w:tcPr>
          <w:p w14:paraId="7DD5862D">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未建立事故隐患排查治理制度，或者重大事故隐患排查治理情况未按照规定报告的</w:t>
            </w:r>
          </w:p>
        </w:tc>
        <w:tc>
          <w:tcPr>
            <w:tcW w:w="5295" w:type="dxa"/>
            <w:vAlign w:val="top"/>
          </w:tcPr>
          <w:p w14:paraId="67BF0AA6">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拒不整改或整改不力，其违法行为处于持续状态的</w:t>
            </w:r>
          </w:p>
        </w:tc>
        <w:tc>
          <w:tcPr>
            <w:tcW w:w="4232" w:type="dxa"/>
            <w:vAlign w:val="top"/>
          </w:tcPr>
          <w:p w14:paraId="46D39DA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lang w:eastAsia="zh-CN"/>
                <w14:textFill>
                  <w14:solidFill>
                    <w14:schemeClr w14:val="tx1"/>
                  </w14:solidFill>
                </w14:textFill>
              </w:rPr>
              <w:t>《中华人民共和国安全生产法》</w:t>
            </w:r>
            <w:r>
              <w:rPr>
                <w:rFonts w:hint="default" w:ascii="Times New Roman" w:hAnsi="Times New Roman" w:cs="Times New Roman"/>
                <w:color w:val="000000" w:themeColor="text1"/>
                <w:spacing w:val="3"/>
                <w14:textFill>
                  <w14:solidFill>
                    <w14:schemeClr w14:val="tx1"/>
                  </w14:solidFill>
                </w14:textFill>
              </w:rPr>
              <w:t>第一百零一条、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23" w:type="dxa"/>
            <w:gridSpan w:val="2"/>
            <w:vAlign w:val="top"/>
          </w:tcPr>
          <w:p w14:paraId="5CA14DCD">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68BF8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829" w:hRule="atLeast"/>
        </w:trPr>
        <w:tc>
          <w:tcPr>
            <w:tcW w:w="835" w:type="dxa"/>
            <w:gridSpan w:val="2"/>
            <w:vAlign w:val="top"/>
          </w:tcPr>
          <w:p w14:paraId="09031DF5">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9</w:t>
            </w:r>
          </w:p>
        </w:tc>
        <w:tc>
          <w:tcPr>
            <w:tcW w:w="3475" w:type="dxa"/>
            <w:vAlign w:val="top"/>
          </w:tcPr>
          <w:p w14:paraId="5B0FD34F">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未将事故隐患排查治理情况如实记录</w:t>
            </w:r>
          </w:p>
        </w:tc>
        <w:tc>
          <w:tcPr>
            <w:tcW w:w="5295" w:type="dxa"/>
            <w:vAlign w:val="top"/>
          </w:tcPr>
          <w:p w14:paraId="10C4314E">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拒不整改或整改不力，其违法行为处于持续状态的</w:t>
            </w:r>
          </w:p>
        </w:tc>
        <w:tc>
          <w:tcPr>
            <w:tcW w:w="4232" w:type="dxa"/>
            <w:vAlign w:val="top"/>
          </w:tcPr>
          <w:p w14:paraId="5D1CB00E">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lang w:eastAsia="zh-CN"/>
                <w14:textFill>
                  <w14:solidFill>
                    <w14:schemeClr w14:val="tx1"/>
                  </w14:solidFill>
                </w14:textFill>
              </w:rPr>
              <w:t>《中华人民共和国安全生产法》</w:t>
            </w:r>
            <w:r>
              <w:rPr>
                <w:rFonts w:hint="default" w:ascii="Times New Roman" w:hAnsi="Times New Roman" w:cs="Times New Roman"/>
                <w:color w:val="000000" w:themeColor="text1"/>
                <w:spacing w:val="3"/>
                <w14:textFill>
                  <w14:solidFill>
                    <w14:schemeClr w14:val="tx1"/>
                  </w14:solidFill>
                </w14:textFill>
              </w:rPr>
              <w:t>第九十七条、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23" w:type="dxa"/>
            <w:gridSpan w:val="2"/>
            <w:vAlign w:val="top"/>
          </w:tcPr>
          <w:p w14:paraId="2CC691A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19"/>
              <w:textAlignment w:val="baseline"/>
              <w:rPr>
                <w:rFonts w:hint="default" w:ascii="Times New Roman" w:hAnsi="Times New Roman" w:cs="Times New Roman"/>
                <w:color w:val="000000" w:themeColor="text1"/>
                <w:sz w:val="24"/>
                <w:szCs w:val="24"/>
                <w14:textFill>
                  <w14:solidFill>
                    <w14:schemeClr w14:val="tx1"/>
                  </w14:solidFill>
                </w14:textFill>
              </w:rPr>
            </w:pPr>
          </w:p>
        </w:tc>
      </w:tr>
      <w:tr w14:paraId="5CC7F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839" w:hRule="atLeast"/>
        </w:trPr>
        <w:tc>
          <w:tcPr>
            <w:tcW w:w="835" w:type="dxa"/>
            <w:gridSpan w:val="2"/>
            <w:vAlign w:val="top"/>
          </w:tcPr>
          <w:p w14:paraId="166080C8">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10</w:t>
            </w:r>
          </w:p>
        </w:tc>
        <w:tc>
          <w:tcPr>
            <w:tcW w:w="3475" w:type="dxa"/>
            <w:vAlign w:val="top"/>
          </w:tcPr>
          <w:p w14:paraId="1578438E">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特种作业人员未按照规定经专门的安全作业培训并取得相应资格，上岗作业的</w:t>
            </w:r>
          </w:p>
        </w:tc>
        <w:tc>
          <w:tcPr>
            <w:tcW w:w="5295" w:type="dxa"/>
            <w:vAlign w:val="top"/>
          </w:tcPr>
          <w:p w14:paraId="2369B5B8">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拒不整改或整改不力，其违法行为处于持续状态的</w:t>
            </w:r>
          </w:p>
        </w:tc>
        <w:tc>
          <w:tcPr>
            <w:tcW w:w="4232" w:type="dxa"/>
            <w:vAlign w:val="top"/>
          </w:tcPr>
          <w:p w14:paraId="5175AC38">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lang w:eastAsia="zh-CN"/>
                <w14:textFill>
                  <w14:solidFill>
                    <w14:schemeClr w14:val="tx1"/>
                  </w14:solidFill>
                </w14:textFill>
              </w:rPr>
              <w:t>《中华人民共和国安全生产法》</w:t>
            </w:r>
            <w:r>
              <w:rPr>
                <w:rFonts w:hint="default" w:ascii="Times New Roman" w:hAnsi="Times New Roman" w:cs="Times New Roman"/>
                <w:color w:val="000000" w:themeColor="text1"/>
                <w:spacing w:val="3"/>
                <w14:textFill>
                  <w14:solidFill>
                    <w14:schemeClr w14:val="tx1"/>
                  </w14:solidFill>
                </w14:textFill>
              </w:rPr>
              <w:t>第九十七条、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23" w:type="dxa"/>
            <w:gridSpan w:val="2"/>
            <w:vAlign w:val="top"/>
          </w:tcPr>
          <w:p w14:paraId="37F520A6">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27296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959" w:hRule="atLeast"/>
        </w:trPr>
        <w:tc>
          <w:tcPr>
            <w:tcW w:w="835" w:type="dxa"/>
            <w:gridSpan w:val="2"/>
            <w:vAlign w:val="top"/>
          </w:tcPr>
          <w:p w14:paraId="248852A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11</w:t>
            </w:r>
          </w:p>
        </w:tc>
        <w:tc>
          <w:tcPr>
            <w:tcW w:w="3475" w:type="dxa"/>
            <w:vAlign w:val="top"/>
          </w:tcPr>
          <w:p w14:paraId="1805072C">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安全设备的安装、使用、检测、改造和报废不符合国家标准或者行业标准的</w:t>
            </w:r>
          </w:p>
        </w:tc>
        <w:tc>
          <w:tcPr>
            <w:tcW w:w="5295" w:type="dxa"/>
            <w:vAlign w:val="top"/>
          </w:tcPr>
          <w:p w14:paraId="3F822B5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拒不整改或整改不力，其违法行为处于持续状态的</w:t>
            </w:r>
          </w:p>
        </w:tc>
        <w:tc>
          <w:tcPr>
            <w:tcW w:w="4232" w:type="dxa"/>
            <w:vAlign w:val="top"/>
          </w:tcPr>
          <w:p w14:paraId="73F24AB3">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lang w:eastAsia="zh-CN"/>
                <w14:textFill>
                  <w14:solidFill>
                    <w14:schemeClr w14:val="tx1"/>
                  </w14:solidFill>
                </w14:textFill>
              </w:rPr>
            </w:pPr>
            <w:r>
              <w:rPr>
                <w:rFonts w:hint="default" w:ascii="Times New Roman" w:hAnsi="Times New Roman" w:cs="Times New Roman"/>
                <w:color w:val="000000" w:themeColor="text1"/>
                <w:spacing w:val="3"/>
                <w:lang w:eastAsia="zh-CN"/>
                <w14:textFill>
                  <w14:solidFill>
                    <w14:schemeClr w14:val="tx1"/>
                  </w14:solidFill>
                </w14:textFill>
              </w:rPr>
              <w:t>《中华人民共和国安全生产法》</w:t>
            </w:r>
            <w:r>
              <w:rPr>
                <w:rFonts w:hint="default" w:ascii="Times New Roman" w:hAnsi="Times New Roman" w:cs="Times New Roman"/>
                <w:color w:val="000000" w:themeColor="text1"/>
                <w:spacing w:val="3"/>
                <w14:textFill>
                  <w14:solidFill>
                    <w14:schemeClr w14:val="tx1"/>
                  </w14:solidFill>
                </w14:textFill>
              </w:rPr>
              <w:t>第九十九条、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23" w:type="dxa"/>
            <w:gridSpan w:val="2"/>
            <w:vAlign w:val="top"/>
          </w:tcPr>
          <w:p w14:paraId="75FB524B">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6794A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829" w:hRule="atLeast"/>
        </w:trPr>
        <w:tc>
          <w:tcPr>
            <w:tcW w:w="835" w:type="dxa"/>
            <w:gridSpan w:val="2"/>
            <w:vAlign w:val="top"/>
          </w:tcPr>
          <w:p w14:paraId="38408E2F">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12</w:t>
            </w:r>
          </w:p>
        </w:tc>
        <w:tc>
          <w:tcPr>
            <w:tcW w:w="3475" w:type="dxa"/>
            <w:vAlign w:val="top"/>
          </w:tcPr>
          <w:p w14:paraId="7260090E">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未对安全设备进行经常性维护、保养和定期检测的</w:t>
            </w:r>
          </w:p>
        </w:tc>
        <w:tc>
          <w:tcPr>
            <w:tcW w:w="5295" w:type="dxa"/>
            <w:vAlign w:val="top"/>
          </w:tcPr>
          <w:p w14:paraId="544BC87D">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拒不整改或整改不力，其违法行为处于持续状态的</w:t>
            </w:r>
          </w:p>
        </w:tc>
        <w:tc>
          <w:tcPr>
            <w:tcW w:w="4232" w:type="dxa"/>
            <w:vAlign w:val="top"/>
          </w:tcPr>
          <w:p w14:paraId="3F073C58">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lang w:eastAsia="zh-CN"/>
                <w14:textFill>
                  <w14:solidFill>
                    <w14:schemeClr w14:val="tx1"/>
                  </w14:solidFill>
                </w14:textFill>
              </w:rPr>
              <w:t>《中华人民共和国安全生产法》</w:t>
            </w:r>
            <w:r>
              <w:rPr>
                <w:rFonts w:hint="default" w:ascii="Times New Roman" w:hAnsi="Times New Roman" w:cs="Times New Roman"/>
                <w:color w:val="000000" w:themeColor="text1"/>
                <w:spacing w:val="3"/>
                <w14:textFill>
                  <w14:solidFill>
                    <w14:schemeClr w14:val="tx1"/>
                  </w14:solidFill>
                </w14:textFill>
              </w:rPr>
              <w:t>第九十九条、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23" w:type="dxa"/>
            <w:gridSpan w:val="2"/>
            <w:vAlign w:val="top"/>
          </w:tcPr>
          <w:p w14:paraId="121C8F25">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39"/>
              <w:jc w:val="both"/>
              <w:textAlignment w:val="baseline"/>
              <w:rPr>
                <w:rFonts w:hint="default" w:ascii="Times New Roman" w:hAnsi="Times New Roman" w:cs="Times New Roman"/>
                <w:color w:val="000000" w:themeColor="text1"/>
                <w:sz w:val="24"/>
                <w:szCs w:val="24"/>
                <w14:textFill>
                  <w14:solidFill>
                    <w14:schemeClr w14:val="tx1"/>
                  </w14:solidFill>
                </w14:textFill>
              </w:rPr>
            </w:pPr>
          </w:p>
        </w:tc>
      </w:tr>
      <w:tr w14:paraId="35342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859" w:hRule="atLeast"/>
        </w:trPr>
        <w:tc>
          <w:tcPr>
            <w:tcW w:w="835" w:type="dxa"/>
            <w:gridSpan w:val="2"/>
            <w:vAlign w:val="top"/>
          </w:tcPr>
          <w:p w14:paraId="13E531BC">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13</w:t>
            </w:r>
          </w:p>
        </w:tc>
        <w:tc>
          <w:tcPr>
            <w:tcW w:w="3475" w:type="dxa"/>
            <w:vAlign w:val="top"/>
          </w:tcPr>
          <w:p w14:paraId="2843BC53">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使用应当淘汰的危及生产安全的工艺、设备的</w:t>
            </w:r>
          </w:p>
        </w:tc>
        <w:tc>
          <w:tcPr>
            <w:tcW w:w="5295" w:type="dxa"/>
            <w:vAlign w:val="top"/>
          </w:tcPr>
          <w:p w14:paraId="7BEFB5D2">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拒不整改或整改不力，其违法行为处于持续状态的</w:t>
            </w:r>
          </w:p>
        </w:tc>
        <w:tc>
          <w:tcPr>
            <w:tcW w:w="4232" w:type="dxa"/>
            <w:vAlign w:val="top"/>
          </w:tcPr>
          <w:p w14:paraId="1043D98F">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lang w:eastAsia="zh-CN"/>
                <w14:textFill>
                  <w14:solidFill>
                    <w14:schemeClr w14:val="tx1"/>
                  </w14:solidFill>
                </w14:textFill>
              </w:rPr>
              <w:t>《中华人民共和国安全生产法》</w:t>
            </w:r>
            <w:r>
              <w:rPr>
                <w:rFonts w:hint="default" w:ascii="Times New Roman" w:hAnsi="Times New Roman" w:cs="Times New Roman"/>
                <w:color w:val="000000" w:themeColor="text1"/>
                <w:spacing w:val="3"/>
                <w14:textFill>
                  <w14:solidFill>
                    <w14:schemeClr w14:val="tx1"/>
                  </w14:solidFill>
                </w14:textFill>
              </w:rPr>
              <w:t>第九十九条、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23" w:type="dxa"/>
            <w:gridSpan w:val="2"/>
            <w:vAlign w:val="top"/>
          </w:tcPr>
          <w:p w14:paraId="47A4F1FE">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56001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109" w:hRule="atLeast"/>
        </w:trPr>
        <w:tc>
          <w:tcPr>
            <w:tcW w:w="835" w:type="dxa"/>
            <w:gridSpan w:val="2"/>
            <w:vAlign w:val="top"/>
          </w:tcPr>
          <w:p w14:paraId="2B3A204D">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14</w:t>
            </w:r>
          </w:p>
        </w:tc>
        <w:tc>
          <w:tcPr>
            <w:tcW w:w="3475" w:type="dxa"/>
            <w:vAlign w:val="top"/>
          </w:tcPr>
          <w:p w14:paraId="092ED400">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生产经营单位将生产经营项目、场所、设备发包或者出租给不具备安全生产条件或者相应资质的单位或者个人的</w:t>
            </w:r>
          </w:p>
        </w:tc>
        <w:tc>
          <w:tcPr>
            <w:tcW w:w="5295" w:type="dxa"/>
            <w:vAlign w:val="top"/>
          </w:tcPr>
          <w:p w14:paraId="73731A6A">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知道或应当知道承租单位不具备安全生产条件或者相应资质，而又发包、出租的</w:t>
            </w:r>
          </w:p>
        </w:tc>
        <w:tc>
          <w:tcPr>
            <w:tcW w:w="4232" w:type="dxa"/>
            <w:vAlign w:val="top"/>
          </w:tcPr>
          <w:p w14:paraId="3739099F">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lang w:eastAsia="zh-CN"/>
                <w14:textFill>
                  <w14:solidFill>
                    <w14:schemeClr w14:val="tx1"/>
                  </w14:solidFill>
                </w14:textFill>
              </w:rPr>
            </w:pPr>
            <w:r>
              <w:rPr>
                <w:rFonts w:hint="default" w:ascii="Times New Roman" w:hAnsi="Times New Roman" w:cs="Times New Roman"/>
                <w:color w:val="000000" w:themeColor="text1"/>
                <w:spacing w:val="3"/>
                <w:lang w:eastAsia="zh-CN"/>
                <w14:textFill>
                  <w14:solidFill>
                    <w14:schemeClr w14:val="tx1"/>
                  </w14:solidFill>
                </w14:textFill>
              </w:rPr>
              <w:t>《中华人民共和国安全生产法》</w:t>
            </w:r>
            <w:r>
              <w:rPr>
                <w:rFonts w:hint="default" w:ascii="Times New Roman" w:hAnsi="Times New Roman" w:cs="Times New Roman"/>
                <w:color w:val="000000" w:themeColor="text1"/>
                <w:spacing w:val="3"/>
                <w14:textFill>
                  <w14:solidFill>
                    <w14:schemeClr w14:val="tx1"/>
                  </w14:solidFill>
                </w14:textFill>
              </w:rPr>
              <w:t>第一百零三条、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23" w:type="dxa"/>
            <w:gridSpan w:val="2"/>
            <w:vAlign w:val="top"/>
          </w:tcPr>
          <w:p w14:paraId="2A9FD682">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16768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716" w:hRule="atLeast"/>
        </w:trPr>
        <w:tc>
          <w:tcPr>
            <w:tcW w:w="835" w:type="dxa"/>
            <w:gridSpan w:val="2"/>
            <w:vAlign w:val="top"/>
          </w:tcPr>
          <w:p w14:paraId="1F9D08F8">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15</w:t>
            </w:r>
          </w:p>
        </w:tc>
        <w:tc>
          <w:tcPr>
            <w:tcW w:w="3475" w:type="dxa"/>
            <w:vAlign w:val="top"/>
          </w:tcPr>
          <w:p w14:paraId="21EF7175">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未按照规定对矿山、金属冶炼建设项目或者用于生产、储存、装卸危险物品的建设项目进行安全评价的</w:t>
            </w:r>
          </w:p>
        </w:tc>
        <w:tc>
          <w:tcPr>
            <w:tcW w:w="5295" w:type="dxa"/>
            <w:vAlign w:val="top"/>
          </w:tcPr>
          <w:p w14:paraId="5E28A34B">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拒不整改或整改不力，其违法行为处于持续状态的</w:t>
            </w:r>
          </w:p>
        </w:tc>
        <w:tc>
          <w:tcPr>
            <w:tcW w:w="4232" w:type="dxa"/>
            <w:vAlign w:val="top"/>
          </w:tcPr>
          <w:p w14:paraId="41E7A3C9">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both"/>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lang w:eastAsia="zh-CN"/>
                <w14:textFill>
                  <w14:solidFill>
                    <w14:schemeClr w14:val="tx1"/>
                  </w14:solidFill>
                </w14:textFill>
              </w:rPr>
              <w:t>《中华人民共和国安全生产法》</w:t>
            </w:r>
            <w:r>
              <w:rPr>
                <w:rFonts w:hint="default" w:ascii="Times New Roman" w:hAnsi="Times New Roman" w:cs="Times New Roman"/>
                <w:color w:val="000000" w:themeColor="text1"/>
                <w:spacing w:val="3"/>
                <w14:textFill>
                  <w14:solidFill>
                    <w14:schemeClr w14:val="tx1"/>
                  </w14:solidFill>
                </w14:textFill>
              </w:rPr>
              <w:t>第九十八条、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23" w:type="dxa"/>
            <w:gridSpan w:val="2"/>
            <w:vAlign w:val="top"/>
          </w:tcPr>
          <w:p w14:paraId="57BDA12E">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6C92F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173" w:hRule="atLeast"/>
        </w:trPr>
        <w:tc>
          <w:tcPr>
            <w:tcW w:w="835" w:type="dxa"/>
            <w:gridSpan w:val="2"/>
            <w:vAlign w:val="top"/>
          </w:tcPr>
          <w:p w14:paraId="1AA5DAC2">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16</w:t>
            </w:r>
          </w:p>
        </w:tc>
        <w:tc>
          <w:tcPr>
            <w:tcW w:w="3475" w:type="dxa"/>
            <w:vAlign w:val="top"/>
          </w:tcPr>
          <w:p w14:paraId="29D1D725">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矿山、金属冶炼建设项目或者用于生产、储存、装卸危险物品的建设项目没有安全设施设计或者安全设施设计未按照规定报经有关部门审查同意的</w:t>
            </w:r>
          </w:p>
        </w:tc>
        <w:tc>
          <w:tcPr>
            <w:tcW w:w="5295" w:type="dxa"/>
            <w:vAlign w:val="top"/>
          </w:tcPr>
          <w:p w14:paraId="69288588">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拒不整改或整改不力，其违法行为处于持续状态的</w:t>
            </w:r>
          </w:p>
        </w:tc>
        <w:tc>
          <w:tcPr>
            <w:tcW w:w="4232" w:type="dxa"/>
            <w:vAlign w:val="top"/>
          </w:tcPr>
          <w:p w14:paraId="0AC2F0F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lang w:eastAsia="zh-CN"/>
                <w14:textFill>
                  <w14:solidFill>
                    <w14:schemeClr w14:val="tx1"/>
                  </w14:solidFill>
                </w14:textFill>
              </w:rPr>
            </w:pPr>
            <w:r>
              <w:rPr>
                <w:rFonts w:hint="default" w:ascii="Times New Roman" w:hAnsi="Times New Roman" w:cs="Times New Roman"/>
                <w:color w:val="000000" w:themeColor="text1"/>
                <w:spacing w:val="3"/>
                <w:lang w:eastAsia="zh-CN"/>
                <w14:textFill>
                  <w14:solidFill>
                    <w14:schemeClr w14:val="tx1"/>
                  </w14:solidFill>
                </w14:textFill>
              </w:rPr>
              <w:t>《中华人民共和国安全生产法》</w:t>
            </w:r>
            <w:r>
              <w:rPr>
                <w:rFonts w:hint="default" w:ascii="Times New Roman" w:hAnsi="Times New Roman" w:cs="Times New Roman"/>
                <w:color w:val="000000" w:themeColor="text1"/>
                <w:spacing w:val="3"/>
                <w14:textFill>
                  <w14:solidFill>
                    <w14:schemeClr w14:val="tx1"/>
                  </w14:solidFill>
                </w14:textFill>
              </w:rPr>
              <w:t>第九十八条、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23" w:type="dxa"/>
            <w:gridSpan w:val="2"/>
            <w:vAlign w:val="top"/>
          </w:tcPr>
          <w:p w14:paraId="75DF40CD">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2C33C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839" w:hRule="atLeast"/>
        </w:trPr>
        <w:tc>
          <w:tcPr>
            <w:tcW w:w="835" w:type="dxa"/>
            <w:gridSpan w:val="2"/>
            <w:vAlign w:val="top"/>
          </w:tcPr>
          <w:p w14:paraId="35D50FA5">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17</w:t>
            </w:r>
          </w:p>
        </w:tc>
        <w:tc>
          <w:tcPr>
            <w:tcW w:w="3475" w:type="dxa"/>
            <w:vAlign w:val="top"/>
          </w:tcPr>
          <w:p w14:paraId="6352BF03">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矿山、金属冶炼建设项目或者用于生产、储存、装卸危险物品的建设项目的施工单位未按照批准的安全设施设计施工的</w:t>
            </w:r>
          </w:p>
        </w:tc>
        <w:tc>
          <w:tcPr>
            <w:tcW w:w="5295" w:type="dxa"/>
            <w:vAlign w:val="top"/>
          </w:tcPr>
          <w:p w14:paraId="15E86572">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拒不整改或整改不力，其违法行为处于持续状态的</w:t>
            </w:r>
          </w:p>
        </w:tc>
        <w:tc>
          <w:tcPr>
            <w:tcW w:w="4232" w:type="dxa"/>
            <w:vAlign w:val="top"/>
          </w:tcPr>
          <w:p w14:paraId="2E6F7892">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lang w:eastAsia="zh-CN"/>
                <w14:textFill>
                  <w14:solidFill>
                    <w14:schemeClr w14:val="tx1"/>
                  </w14:solidFill>
                </w14:textFill>
              </w:rPr>
              <w:t>《中华人民共和国安全生产法》</w:t>
            </w:r>
            <w:r>
              <w:rPr>
                <w:rFonts w:hint="default" w:ascii="Times New Roman" w:hAnsi="Times New Roman" w:cs="Times New Roman"/>
                <w:color w:val="000000" w:themeColor="text1"/>
                <w:spacing w:val="3"/>
                <w14:textFill>
                  <w14:solidFill>
                    <w14:schemeClr w14:val="tx1"/>
                  </w14:solidFill>
                </w14:textFill>
              </w:rPr>
              <w:t>第九十八条、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23" w:type="dxa"/>
            <w:gridSpan w:val="2"/>
            <w:vAlign w:val="top"/>
          </w:tcPr>
          <w:p w14:paraId="0E3CFCCD">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66D36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089" w:hRule="atLeast"/>
        </w:trPr>
        <w:tc>
          <w:tcPr>
            <w:tcW w:w="835" w:type="dxa"/>
            <w:gridSpan w:val="2"/>
            <w:vAlign w:val="top"/>
          </w:tcPr>
          <w:p w14:paraId="0CB2ECDB">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18</w:t>
            </w:r>
          </w:p>
        </w:tc>
        <w:tc>
          <w:tcPr>
            <w:tcW w:w="3475" w:type="dxa"/>
            <w:vAlign w:val="top"/>
          </w:tcPr>
          <w:p w14:paraId="05A2AA4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矿山、金属冶炼建设项目或者用于生产、储存、装卸危险物品的建设项目竣工投入生产或者使用前，安全设施未经验收合格的</w:t>
            </w:r>
          </w:p>
        </w:tc>
        <w:tc>
          <w:tcPr>
            <w:tcW w:w="5295" w:type="dxa"/>
            <w:vAlign w:val="top"/>
          </w:tcPr>
          <w:p w14:paraId="78B0F08B">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拒不整改或整改不力，其违法行为处于持续状态的</w:t>
            </w:r>
          </w:p>
        </w:tc>
        <w:tc>
          <w:tcPr>
            <w:tcW w:w="4232" w:type="dxa"/>
            <w:vAlign w:val="top"/>
          </w:tcPr>
          <w:p w14:paraId="5344E10D">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lang w:eastAsia="zh-CN"/>
                <w14:textFill>
                  <w14:solidFill>
                    <w14:schemeClr w14:val="tx1"/>
                  </w14:solidFill>
                </w14:textFill>
              </w:rPr>
            </w:pPr>
            <w:r>
              <w:rPr>
                <w:rFonts w:hint="default" w:ascii="Times New Roman" w:hAnsi="Times New Roman" w:cs="Times New Roman"/>
                <w:color w:val="000000" w:themeColor="text1"/>
                <w:spacing w:val="3"/>
                <w:lang w:eastAsia="zh-CN"/>
                <w14:textFill>
                  <w14:solidFill>
                    <w14:schemeClr w14:val="tx1"/>
                  </w14:solidFill>
                </w14:textFill>
              </w:rPr>
              <w:t>《中华人民共和国安全生产法》</w:t>
            </w:r>
            <w:r>
              <w:rPr>
                <w:rFonts w:hint="default" w:ascii="Times New Roman" w:hAnsi="Times New Roman" w:cs="Times New Roman"/>
                <w:color w:val="000000" w:themeColor="text1"/>
                <w:spacing w:val="3"/>
                <w14:textFill>
                  <w14:solidFill>
                    <w14:schemeClr w14:val="tx1"/>
                  </w14:solidFill>
                </w14:textFill>
              </w:rPr>
              <w:t>第九十八条、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23" w:type="dxa"/>
            <w:gridSpan w:val="2"/>
            <w:vAlign w:val="top"/>
          </w:tcPr>
          <w:p w14:paraId="76584942">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4340F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398" w:hRule="atLeast"/>
        </w:trPr>
        <w:tc>
          <w:tcPr>
            <w:tcW w:w="835" w:type="dxa"/>
            <w:gridSpan w:val="2"/>
            <w:vAlign w:val="top"/>
          </w:tcPr>
          <w:p w14:paraId="45FC36A0">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19</w:t>
            </w:r>
          </w:p>
        </w:tc>
        <w:tc>
          <w:tcPr>
            <w:tcW w:w="3475" w:type="dxa"/>
            <w:vAlign w:val="top"/>
          </w:tcPr>
          <w:p w14:paraId="75D29628">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生产经营单位发生生产安全事故后未立即采取相应的应急救援措施，造成严重后果的</w:t>
            </w:r>
          </w:p>
        </w:tc>
        <w:tc>
          <w:tcPr>
            <w:tcW w:w="5295" w:type="dxa"/>
            <w:vAlign w:val="top"/>
          </w:tcPr>
          <w:p w14:paraId="7C7E196B">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在处置突发事件期间实施安全生产违法行为的</w:t>
            </w:r>
          </w:p>
        </w:tc>
        <w:tc>
          <w:tcPr>
            <w:tcW w:w="4232" w:type="dxa"/>
            <w:vAlign w:val="top"/>
          </w:tcPr>
          <w:p w14:paraId="4DB2B7C2">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《中华人民共和国突发事件应对法》第六十四条、《生产安全事故应急条例》第三十一条、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23" w:type="dxa"/>
            <w:gridSpan w:val="2"/>
            <w:vAlign w:val="top"/>
          </w:tcPr>
          <w:p w14:paraId="2D17D0A4">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463BD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119" w:hRule="atLeast"/>
        </w:trPr>
        <w:tc>
          <w:tcPr>
            <w:tcW w:w="835" w:type="dxa"/>
            <w:gridSpan w:val="2"/>
            <w:vAlign w:val="top"/>
          </w:tcPr>
          <w:p w14:paraId="57B64A73">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20</w:t>
            </w:r>
          </w:p>
        </w:tc>
        <w:tc>
          <w:tcPr>
            <w:tcW w:w="3475" w:type="dxa"/>
            <w:vAlign w:val="top"/>
          </w:tcPr>
          <w:p w14:paraId="46ECC876">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未对事故隐患进行排查治理擅自生产经营的</w:t>
            </w:r>
          </w:p>
        </w:tc>
        <w:tc>
          <w:tcPr>
            <w:tcW w:w="5295" w:type="dxa"/>
            <w:vAlign w:val="top"/>
          </w:tcPr>
          <w:p w14:paraId="4FB81538">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未依法排查治理事故隐患的</w:t>
            </w:r>
          </w:p>
        </w:tc>
        <w:tc>
          <w:tcPr>
            <w:tcW w:w="4232" w:type="dxa"/>
            <w:vAlign w:val="top"/>
          </w:tcPr>
          <w:p w14:paraId="54829C85">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《安全生产事故隐患排查治理暂行规定》第二十六条、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23" w:type="dxa"/>
            <w:gridSpan w:val="2"/>
            <w:vAlign w:val="top"/>
          </w:tcPr>
          <w:p w14:paraId="04514395">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52584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099" w:hRule="atLeast"/>
        </w:trPr>
        <w:tc>
          <w:tcPr>
            <w:tcW w:w="835" w:type="dxa"/>
            <w:gridSpan w:val="2"/>
            <w:vAlign w:val="top"/>
          </w:tcPr>
          <w:p w14:paraId="40D3EB17">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21</w:t>
            </w:r>
          </w:p>
        </w:tc>
        <w:tc>
          <w:tcPr>
            <w:tcW w:w="3475" w:type="dxa"/>
            <w:vAlign w:val="top"/>
          </w:tcPr>
          <w:p w14:paraId="6458B2A0">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整改不合格或者未经安全监管监察部门审查同意擅自恢复生产经营的</w:t>
            </w:r>
          </w:p>
        </w:tc>
        <w:tc>
          <w:tcPr>
            <w:tcW w:w="5295" w:type="dxa"/>
            <w:vAlign w:val="top"/>
          </w:tcPr>
          <w:p w14:paraId="39684D10">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未依法排查治理事故隐患的</w:t>
            </w:r>
          </w:p>
        </w:tc>
        <w:tc>
          <w:tcPr>
            <w:tcW w:w="4232" w:type="dxa"/>
            <w:vAlign w:val="top"/>
          </w:tcPr>
          <w:p w14:paraId="31F1EF4F">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《安全生产事故隐患排查治理暂行规定》第二十六条、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23" w:type="dxa"/>
            <w:gridSpan w:val="2"/>
            <w:vAlign w:val="top"/>
          </w:tcPr>
          <w:p w14:paraId="7A6FD631">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169C4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119" w:hRule="atLeast"/>
        </w:trPr>
        <w:tc>
          <w:tcPr>
            <w:tcW w:w="835" w:type="dxa"/>
            <w:gridSpan w:val="2"/>
            <w:vAlign w:val="top"/>
          </w:tcPr>
          <w:p w14:paraId="24AF4CB0">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22</w:t>
            </w:r>
          </w:p>
        </w:tc>
        <w:tc>
          <w:tcPr>
            <w:tcW w:w="3475" w:type="dxa"/>
            <w:vAlign w:val="top"/>
          </w:tcPr>
          <w:p w14:paraId="2A23A2F9">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违反操作规程或者安全管理规定作业的</w:t>
            </w:r>
          </w:p>
        </w:tc>
        <w:tc>
          <w:tcPr>
            <w:tcW w:w="5295" w:type="dxa"/>
            <w:vAlign w:val="top"/>
          </w:tcPr>
          <w:p w14:paraId="2FAB51AC">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故意实施违法行为的</w:t>
            </w:r>
          </w:p>
        </w:tc>
        <w:tc>
          <w:tcPr>
            <w:tcW w:w="4232" w:type="dxa"/>
            <w:vAlign w:val="top"/>
          </w:tcPr>
          <w:p w14:paraId="3C80CFAB">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《安全生产违法行为行政处罚办法》第四十五条、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23" w:type="dxa"/>
            <w:gridSpan w:val="2"/>
            <w:vAlign w:val="top"/>
          </w:tcPr>
          <w:p w14:paraId="4E136110">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616CD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114" w:hRule="atLeast"/>
        </w:trPr>
        <w:tc>
          <w:tcPr>
            <w:tcW w:w="835" w:type="dxa"/>
            <w:gridSpan w:val="2"/>
            <w:vAlign w:val="top"/>
          </w:tcPr>
          <w:p w14:paraId="75107AAF">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23</w:t>
            </w:r>
          </w:p>
        </w:tc>
        <w:tc>
          <w:tcPr>
            <w:tcW w:w="3475" w:type="dxa"/>
            <w:vAlign w:val="top"/>
          </w:tcPr>
          <w:p w14:paraId="66588B23">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违章指挥从业人员或者强令从业人员违章、冒险作业的</w:t>
            </w:r>
          </w:p>
        </w:tc>
        <w:tc>
          <w:tcPr>
            <w:tcW w:w="5295" w:type="dxa"/>
            <w:vAlign w:val="top"/>
          </w:tcPr>
          <w:p w14:paraId="5F0BAA67">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故意实施违法行为的</w:t>
            </w:r>
          </w:p>
        </w:tc>
        <w:tc>
          <w:tcPr>
            <w:tcW w:w="4232" w:type="dxa"/>
            <w:vAlign w:val="top"/>
          </w:tcPr>
          <w:p w14:paraId="2ABA5F5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《安全生产违法行为行政处罚办法》第四十五条、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23" w:type="dxa"/>
            <w:gridSpan w:val="2"/>
            <w:vAlign w:val="top"/>
          </w:tcPr>
          <w:p w14:paraId="354401F0">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38237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9" w:type="dxa"/>
          <w:trHeight w:val="1104" w:hRule="atLeast"/>
        </w:trPr>
        <w:tc>
          <w:tcPr>
            <w:tcW w:w="835" w:type="dxa"/>
            <w:gridSpan w:val="2"/>
            <w:vAlign w:val="top"/>
          </w:tcPr>
          <w:p w14:paraId="0BF5F257">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24</w:t>
            </w:r>
          </w:p>
        </w:tc>
        <w:tc>
          <w:tcPr>
            <w:tcW w:w="3475" w:type="dxa"/>
            <w:vAlign w:val="top"/>
          </w:tcPr>
          <w:p w14:paraId="7AE5499E">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发现从业人员违章作业不加制止的</w:t>
            </w:r>
          </w:p>
        </w:tc>
        <w:tc>
          <w:tcPr>
            <w:tcW w:w="5295" w:type="dxa"/>
            <w:vAlign w:val="top"/>
          </w:tcPr>
          <w:p w14:paraId="486F1DAC">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故意实施违法行为的</w:t>
            </w:r>
          </w:p>
        </w:tc>
        <w:tc>
          <w:tcPr>
            <w:tcW w:w="4232" w:type="dxa"/>
            <w:vAlign w:val="top"/>
          </w:tcPr>
          <w:p w14:paraId="08094554">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《安全生产违法行为行政处罚办法》第四十五条、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03" w:type="dxa"/>
            <w:vAlign w:val="top"/>
          </w:tcPr>
          <w:p w14:paraId="6B7EA9D5">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7EE50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9" w:type="dxa"/>
          <w:trHeight w:val="1108" w:hRule="atLeast"/>
        </w:trPr>
        <w:tc>
          <w:tcPr>
            <w:tcW w:w="835" w:type="dxa"/>
            <w:gridSpan w:val="2"/>
            <w:vAlign w:val="top"/>
          </w:tcPr>
          <w:p w14:paraId="29628D03">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25</w:t>
            </w:r>
          </w:p>
        </w:tc>
        <w:tc>
          <w:tcPr>
            <w:tcW w:w="3475" w:type="dxa"/>
            <w:vAlign w:val="top"/>
          </w:tcPr>
          <w:p w14:paraId="6F39BD30">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超过核定的生产能力、强度或者定员进行生产的</w:t>
            </w:r>
          </w:p>
        </w:tc>
        <w:tc>
          <w:tcPr>
            <w:tcW w:w="5295" w:type="dxa"/>
            <w:vAlign w:val="top"/>
          </w:tcPr>
          <w:p w14:paraId="545BE8F3">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故意实施违法行为的</w:t>
            </w:r>
          </w:p>
        </w:tc>
        <w:tc>
          <w:tcPr>
            <w:tcW w:w="4232" w:type="dxa"/>
            <w:vAlign w:val="top"/>
          </w:tcPr>
          <w:p w14:paraId="472D92C5">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lang w:eastAsia="zh-CN"/>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《安全生产违法行为行政处罚办法》第四十五条、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03" w:type="dxa"/>
            <w:vAlign w:val="top"/>
          </w:tcPr>
          <w:p w14:paraId="04E12791">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29B2D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9" w:type="dxa"/>
          <w:trHeight w:val="1109" w:hRule="atLeast"/>
        </w:trPr>
        <w:tc>
          <w:tcPr>
            <w:tcW w:w="835" w:type="dxa"/>
            <w:gridSpan w:val="2"/>
            <w:vAlign w:val="top"/>
          </w:tcPr>
          <w:p w14:paraId="46FDB71D">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26</w:t>
            </w:r>
          </w:p>
        </w:tc>
        <w:tc>
          <w:tcPr>
            <w:tcW w:w="3475" w:type="dxa"/>
            <w:vAlign w:val="top"/>
          </w:tcPr>
          <w:p w14:paraId="60F2D7C6">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对被查封或者扣押的设施、设备、器材、危险物品和作业场所，擅自启封或者使用的</w:t>
            </w:r>
          </w:p>
        </w:tc>
        <w:tc>
          <w:tcPr>
            <w:tcW w:w="5295" w:type="dxa"/>
            <w:vAlign w:val="top"/>
          </w:tcPr>
          <w:p w14:paraId="2DA524D0">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拒绝、阻碍或者以暴力威胁行政执法人员的</w:t>
            </w:r>
          </w:p>
        </w:tc>
        <w:tc>
          <w:tcPr>
            <w:tcW w:w="4232" w:type="dxa"/>
            <w:vAlign w:val="top"/>
          </w:tcPr>
          <w:p w14:paraId="4760BA58">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《安全生产违法行为行政处罚办法》第四十五条、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03" w:type="dxa"/>
            <w:vAlign w:val="top"/>
          </w:tcPr>
          <w:p w14:paraId="2C291302">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1BB64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9" w:type="dxa"/>
          <w:trHeight w:val="1108" w:hRule="atLeast"/>
        </w:trPr>
        <w:tc>
          <w:tcPr>
            <w:tcW w:w="835" w:type="dxa"/>
            <w:gridSpan w:val="2"/>
            <w:vAlign w:val="top"/>
          </w:tcPr>
          <w:p w14:paraId="10E9D21B">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27</w:t>
            </w:r>
          </w:p>
        </w:tc>
        <w:tc>
          <w:tcPr>
            <w:tcW w:w="3475" w:type="dxa"/>
            <w:vAlign w:val="top"/>
          </w:tcPr>
          <w:p w14:paraId="2E69A976">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故意提供虚假情况或者隐瞒存在的事故隐患以及其他安全问题的</w:t>
            </w:r>
          </w:p>
        </w:tc>
        <w:tc>
          <w:tcPr>
            <w:tcW w:w="5295" w:type="dxa"/>
            <w:vAlign w:val="top"/>
          </w:tcPr>
          <w:p w14:paraId="253799F7">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隐匿、销毁违法行为证据的</w:t>
            </w:r>
          </w:p>
        </w:tc>
        <w:tc>
          <w:tcPr>
            <w:tcW w:w="4232" w:type="dxa"/>
            <w:vAlign w:val="top"/>
          </w:tcPr>
          <w:p w14:paraId="7E5320F4">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《安全生产违法行为行政处罚办法》第四十五条、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03" w:type="dxa"/>
            <w:vAlign w:val="top"/>
          </w:tcPr>
          <w:p w14:paraId="2D5B8AE6">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05DC3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9" w:type="dxa"/>
          <w:trHeight w:val="1109" w:hRule="atLeast"/>
        </w:trPr>
        <w:tc>
          <w:tcPr>
            <w:tcW w:w="835" w:type="dxa"/>
            <w:gridSpan w:val="2"/>
            <w:vAlign w:val="top"/>
          </w:tcPr>
          <w:p w14:paraId="258F5D32">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28</w:t>
            </w:r>
          </w:p>
        </w:tc>
        <w:tc>
          <w:tcPr>
            <w:tcW w:w="3475" w:type="dxa"/>
            <w:vAlign w:val="top"/>
          </w:tcPr>
          <w:p w14:paraId="011E7EE9">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拒不执行安全监管监察部门依法下达的安全监管监察指令的</w:t>
            </w:r>
          </w:p>
        </w:tc>
        <w:tc>
          <w:tcPr>
            <w:tcW w:w="5295" w:type="dxa"/>
            <w:vAlign w:val="top"/>
          </w:tcPr>
          <w:p w14:paraId="6FF83D05">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拒绝、阻碍或者以暴力威胁行政执法人员的</w:t>
            </w:r>
          </w:p>
        </w:tc>
        <w:tc>
          <w:tcPr>
            <w:tcW w:w="4232" w:type="dxa"/>
            <w:vAlign w:val="top"/>
          </w:tcPr>
          <w:p w14:paraId="2E26F735">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《安全生产违法行为行政处罚办法》第四十五条、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03" w:type="dxa"/>
            <w:vAlign w:val="top"/>
          </w:tcPr>
          <w:p w14:paraId="459F25AB">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00177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9" w:type="dxa"/>
          <w:trHeight w:val="799" w:hRule="atLeast"/>
        </w:trPr>
        <w:tc>
          <w:tcPr>
            <w:tcW w:w="835" w:type="dxa"/>
            <w:gridSpan w:val="2"/>
            <w:vAlign w:val="top"/>
          </w:tcPr>
          <w:p w14:paraId="4A4586D8">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29</w:t>
            </w:r>
          </w:p>
        </w:tc>
        <w:tc>
          <w:tcPr>
            <w:tcW w:w="3475" w:type="dxa"/>
            <w:vAlign w:val="top"/>
          </w:tcPr>
          <w:p w14:paraId="60C8048E">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生产经营单位非法印制、伪造、倒卖特种作业操作证，或者使用非法印制、伪造、倒卖的特种作业操作证的</w:t>
            </w:r>
          </w:p>
        </w:tc>
        <w:tc>
          <w:tcPr>
            <w:tcW w:w="5295" w:type="dxa"/>
            <w:vAlign w:val="top"/>
          </w:tcPr>
          <w:p w14:paraId="472E785A">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故意实施违法行为的</w:t>
            </w:r>
          </w:p>
        </w:tc>
        <w:tc>
          <w:tcPr>
            <w:tcW w:w="4232" w:type="dxa"/>
            <w:vAlign w:val="top"/>
          </w:tcPr>
          <w:p w14:paraId="01CA9430">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lang w:eastAsia="zh-CN"/>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《特种作业人员安全技术培训考核管理规定》</w:t>
            </w:r>
            <w:r>
              <w:rPr>
                <w:rFonts w:hint="eastAsia" w:ascii="Times New Roman" w:hAnsi="Times New Roman" w:cs="Times New Roman"/>
                <w:color w:val="000000" w:themeColor="text1"/>
                <w:spacing w:val="3"/>
                <w:lang w:eastAsia="zh-CN"/>
                <w14:textFill>
                  <w14:solidFill>
                    <w14:schemeClr w14:val="tx1"/>
                  </w14:solidFill>
                </w14:textFill>
              </w:rPr>
              <w:t>第四十条，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03" w:type="dxa"/>
            <w:vAlign w:val="top"/>
          </w:tcPr>
          <w:p w14:paraId="23A53111">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71579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9" w:type="dxa"/>
          <w:trHeight w:val="1118" w:hRule="atLeast"/>
        </w:trPr>
        <w:tc>
          <w:tcPr>
            <w:tcW w:w="835" w:type="dxa"/>
            <w:gridSpan w:val="2"/>
            <w:vAlign w:val="top"/>
          </w:tcPr>
          <w:p w14:paraId="395ACB5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30</w:t>
            </w:r>
          </w:p>
        </w:tc>
        <w:tc>
          <w:tcPr>
            <w:tcW w:w="3475" w:type="dxa"/>
            <w:vAlign w:val="top"/>
          </w:tcPr>
          <w:p w14:paraId="24067758">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特种作业人员伪造、涂改特种作业操作证或者使用伪造的特种作业操作证</w:t>
            </w:r>
          </w:p>
        </w:tc>
        <w:tc>
          <w:tcPr>
            <w:tcW w:w="5295" w:type="dxa"/>
            <w:vAlign w:val="top"/>
          </w:tcPr>
          <w:p w14:paraId="562B4716">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故意实施违法行为的</w:t>
            </w:r>
          </w:p>
        </w:tc>
        <w:tc>
          <w:tcPr>
            <w:tcW w:w="4232" w:type="dxa"/>
            <w:vAlign w:val="top"/>
          </w:tcPr>
          <w:p w14:paraId="4D1BBDC2">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《特种作业人员安全技术培训考核管理规定》第四十一条、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03" w:type="dxa"/>
            <w:vAlign w:val="top"/>
          </w:tcPr>
          <w:p w14:paraId="782BC91A">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7A1D2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9" w:type="dxa"/>
          <w:trHeight w:val="844" w:hRule="atLeast"/>
        </w:trPr>
        <w:tc>
          <w:tcPr>
            <w:tcW w:w="835" w:type="dxa"/>
            <w:gridSpan w:val="2"/>
            <w:vAlign w:val="top"/>
          </w:tcPr>
          <w:p w14:paraId="2518240A">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31</w:t>
            </w:r>
          </w:p>
        </w:tc>
        <w:tc>
          <w:tcPr>
            <w:tcW w:w="3475" w:type="dxa"/>
            <w:vAlign w:val="top"/>
          </w:tcPr>
          <w:p w14:paraId="13263946">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特种作业人员转借、转让、冒用特种作业操作证</w:t>
            </w:r>
          </w:p>
        </w:tc>
        <w:tc>
          <w:tcPr>
            <w:tcW w:w="5295" w:type="dxa"/>
            <w:vAlign w:val="top"/>
          </w:tcPr>
          <w:p w14:paraId="1228DF7E">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故意实施违法行为的</w:t>
            </w:r>
          </w:p>
        </w:tc>
        <w:tc>
          <w:tcPr>
            <w:tcW w:w="4232" w:type="dxa"/>
            <w:vAlign w:val="top"/>
          </w:tcPr>
          <w:p w14:paraId="7683C00F">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《特种作业人员安全技术培训考核管理规定》第四十一条、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03" w:type="dxa"/>
            <w:vAlign w:val="top"/>
          </w:tcPr>
          <w:p w14:paraId="2F5FE978">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25AB4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834" w:type="dxa"/>
            <w:vAlign w:val="top"/>
          </w:tcPr>
          <w:p w14:paraId="697BB2AF">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32</w:t>
            </w:r>
          </w:p>
        </w:tc>
        <w:tc>
          <w:tcPr>
            <w:tcW w:w="3476" w:type="dxa"/>
            <w:gridSpan w:val="2"/>
            <w:vAlign w:val="top"/>
          </w:tcPr>
          <w:p w14:paraId="30D11782">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转让安全生产许可证</w:t>
            </w:r>
          </w:p>
        </w:tc>
        <w:tc>
          <w:tcPr>
            <w:tcW w:w="5295" w:type="dxa"/>
            <w:vAlign w:val="top"/>
          </w:tcPr>
          <w:p w14:paraId="3DA22EEA">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故意实施违法行为的</w:t>
            </w:r>
          </w:p>
        </w:tc>
        <w:tc>
          <w:tcPr>
            <w:tcW w:w="4232" w:type="dxa"/>
            <w:vAlign w:val="top"/>
          </w:tcPr>
          <w:p w14:paraId="3D928D0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《安全生产许可证条例》第二十一条、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32" w:type="dxa"/>
            <w:gridSpan w:val="3"/>
            <w:vAlign w:val="top"/>
          </w:tcPr>
          <w:p w14:paraId="61A4A59F">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1DE8D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834" w:type="dxa"/>
            <w:vAlign w:val="top"/>
          </w:tcPr>
          <w:p w14:paraId="069AAB24">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33</w:t>
            </w:r>
          </w:p>
        </w:tc>
        <w:tc>
          <w:tcPr>
            <w:tcW w:w="3476" w:type="dxa"/>
            <w:gridSpan w:val="2"/>
            <w:vAlign w:val="top"/>
          </w:tcPr>
          <w:p w14:paraId="45536F9D">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冒用安全生产许可证或者使用伪造的安全生产许可证</w:t>
            </w:r>
          </w:p>
        </w:tc>
        <w:tc>
          <w:tcPr>
            <w:tcW w:w="5295" w:type="dxa"/>
            <w:vAlign w:val="top"/>
          </w:tcPr>
          <w:p w14:paraId="2344E9B0">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故意实施违法行为的</w:t>
            </w:r>
          </w:p>
        </w:tc>
        <w:tc>
          <w:tcPr>
            <w:tcW w:w="4232" w:type="dxa"/>
            <w:vAlign w:val="top"/>
          </w:tcPr>
          <w:p w14:paraId="3710DE48">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lang w:eastAsia="zh-CN"/>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《安全生产许可证条例》第二十一条、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32" w:type="dxa"/>
            <w:gridSpan w:val="3"/>
            <w:vAlign w:val="top"/>
          </w:tcPr>
          <w:p w14:paraId="6A0182AC">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3F615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834" w:type="dxa"/>
            <w:vAlign w:val="top"/>
          </w:tcPr>
          <w:p w14:paraId="555D2654">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34</w:t>
            </w:r>
          </w:p>
        </w:tc>
        <w:tc>
          <w:tcPr>
            <w:tcW w:w="3476" w:type="dxa"/>
            <w:gridSpan w:val="2"/>
            <w:vAlign w:val="top"/>
          </w:tcPr>
          <w:p w14:paraId="57BE612B">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承担安全评价、检测检验工作的机构，出具虚假证明的</w:t>
            </w:r>
          </w:p>
        </w:tc>
        <w:tc>
          <w:tcPr>
            <w:tcW w:w="5295" w:type="dxa"/>
            <w:vAlign w:val="top"/>
          </w:tcPr>
          <w:p w14:paraId="5A8EEA67">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故意实施违法行为的</w:t>
            </w:r>
          </w:p>
        </w:tc>
        <w:tc>
          <w:tcPr>
            <w:tcW w:w="4232" w:type="dxa"/>
            <w:vAlign w:val="top"/>
          </w:tcPr>
          <w:p w14:paraId="62410E55">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《安全评价检测检验机构管理办法》第三十一条、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32" w:type="dxa"/>
            <w:gridSpan w:val="3"/>
            <w:vAlign w:val="top"/>
          </w:tcPr>
          <w:p w14:paraId="1A7DAFF2">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r w14:paraId="1C9C8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 w:hRule="atLeast"/>
        </w:trPr>
        <w:tc>
          <w:tcPr>
            <w:tcW w:w="834" w:type="dxa"/>
            <w:vAlign w:val="top"/>
          </w:tcPr>
          <w:p w14:paraId="3397FDC2">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center"/>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35</w:t>
            </w:r>
          </w:p>
        </w:tc>
        <w:tc>
          <w:tcPr>
            <w:tcW w:w="3476" w:type="dxa"/>
            <w:gridSpan w:val="2"/>
            <w:vAlign w:val="top"/>
          </w:tcPr>
          <w:p w14:paraId="7EAE5F42">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未取得资质的机构及其有关人员擅自从事安全评价、检测检验服务的</w:t>
            </w:r>
          </w:p>
        </w:tc>
        <w:tc>
          <w:tcPr>
            <w:tcW w:w="5295" w:type="dxa"/>
            <w:vAlign w:val="top"/>
          </w:tcPr>
          <w:p w14:paraId="46E84470">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故意实施违法行为的</w:t>
            </w:r>
          </w:p>
        </w:tc>
        <w:tc>
          <w:tcPr>
            <w:tcW w:w="4232" w:type="dxa"/>
            <w:vAlign w:val="top"/>
          </w:tcPr>
          <w:p w14:paraId="2D830E2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
              <w:jc w:val="left"/>
              <w:textAlignment w:val="baseline"/>
              <w:rPr>
                <w:rFonts w:hint="default" w:ascii="Times New Roman" w:hAnsi="Times New Roman" w:cs="Times New Roman"/>
                <w:color w:val="000000" w:themeColor="text1"/>
                <w:spacing w:val="3"/>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《安全评价检测检验机构管理办法》第二十九条、</w:t>
            </w:r>
            <w:r>
              <w:rPr>
                <w:rFonts w:hint="default" w:ascii="Times New Roman" w:hAnsi="Times New Roman" w:cs="Times New Roman"/>
                <w:color w:val="000000" w:themeColor="text1"/>
                <w:spacing w:val="3"/>
                <w:lang w:eastAsia="zh-CN"/>
                <w14:textFill>
                  <w14:solidFill>
                    <w14:schemeClr w14:val="tx1"/>
                  </w14:solidFill>
                </w14:textFill>
              </w:rPr>
              <w:t>《应急管理行政处罚裁量权基准》第一部分适用说明、《安全生产违法行为行政处罚办法》第五十五条</w:t>
            </w:r>
          </w:p>
        </w:tc>
        <w:tc>
          <w:tcPr>
            <w:tcW w:w="1032" w:type="dxa"/>
            <w:gridSpan w:val="3"/>
            <w:vAlign w:val="top"/>
          </w:tcPr>
          <w:p w14:paraId="00FD1135">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Times New Roman" w:hAnsi="Times New Roman" w:cs="Times New Roman"/>
                <w:color w:val="000000" w:themeColor="text1"/>
                <w:sz w:val="21"/>
                <w14:textFill>
                  <w14:solidFill>
                    <w14:schemeClr w14:val="tx1"/>
                  </w14:solidFill>
                </w14:textFill>
              </w:rPr>
            </w:pPr>
          </w:p>
        </w:tc>
      </w:tr>
    </w:tbl>
    <w:p w14:paraId="280CD5E6">
      <w:pPr>
        <w:rPr>
          <w:rFonts w:hint="default" w:ascii="Times New Roman" w:hAnsi="Times New Roman" w:eastAsia="宋体" w:cs="Times New Roman"/>
          <w:color w:val="000000" w:themeColor="text1"/>
          <w:sz w:val="21"/>
          <w:szCs w:val="21"/>
          <w:lang w:eastAsia="zh-CN"/>
          <w14:textFill>
            <w14:solidFill>
              <w14:schemeClr w14:val="tx1"/>
            </w14:solidFill>
          </w14:textFill>
        </w:rPr>
      </w:pPr>
    </w:p>
    <w:p w14:paraId="1AB38458">
      <w:pPr>
        <w:spacing w:before="56" w:line="290" w:lineRule="auto"/>
        <w:rPr>
          <w:rFonts w:hint="default" w:ascii="Times New Roman" w:hAnsi="Times New Roman" w:eastAsia="楷体" w:cs="Times New Roman"/>
          <w:color w:val="000000" w:themeColor="text1"/>
          <w:spacing w:val="12"/>
          <w:sz w:val="26"/>
          <w:szCs w:val="26"/>
          <w:lang w:eastAsia="zh-CN"/>
          <w14:textFill>
            <w14:solidFill>
              <w14:schemeClr w14:val="tx1"/>
            </w14:solidFill>
          </w14:textFill>
        </w:rPr>
        <w:sectPr>
          <w:headerReference r:id="rId8" w:type="default"/>
          <w:footerReference r:id="rId9" w:type="default"/>
          <w:pgSz w:w="16850" w:h="11820"/>
          <w:pgMar w:top="777" w:right="624" w:bottom="1069" w:left="945" w:header="0" w:footer="692" w:gutter="0"/>
          <w:pgNumType w:fmt="decimal"/>
          <w:cols w:space="720" w:num="1"/>
        </w:sectPr>
      </w:pPr>
      <w:r>
        <w:rPr>
          <w:rFonts w:hint="default" w:ascii="Times New Roman" w:hAnsi="Times New Roman" w:eastAsia="楷体" w:cs="Times New Roman"/>
          <w:color w:val="000000" w:themeColor="text1"/>
          <w:spacing w:val="12"/>
          <w:sz w:val="26"/>
          <w:szCs w:val="26"/>
          <w:lang w:val="en-US" w:eastAsia="zh-CN"/>
          <w14:textFill>
            <w14:solidFill>
              <w14:schemeClr w14:val="tx1"/>
            </w14:solidFill>
          </w14:textFill>
        </w:rPr>
        <w:t>配套监管措施：</w:t>
      </w:r>
      <w:r>
        <w:rPr>
          <w:rFonts w:hint="default" w:ascii="Times New Roman" w:hAnsi="Times New Roman" w:eastAsia="楷体" w:cs="Times New Roman"/>
          <w:color w:val="000000" w:themeColor="text1"/>
          <w:spacing w:val="12"/>
          <w:sz w:val="26"/>
          <w:szCs w:val="26"/>
          <w14:textFill>
            <w14:solidFill>
              <w14:schemeClr w14:val="tx1"/>
            </w14:solidFill>
          </w14:textFill>
        </w:rPr>
        <w:t>1.对当事人给予教育；2.责令限期改正（下达有关法律文书），并及时复查；3.加强日常监督管理。</w:t>
      </w:r>
    </w:p>
    <w:p w14:paraId="79A4D5EB">
      <w:pPr>
        <w:spacing w:before="110" w:line="220" w:lineRule="auto"/>
        <w:ind w:left="929"/>
        <w:outlineLvl w:val="1"/>
        <w:rPr>
          <w:rFonts w:hint="default" w:ascii="Times New Roman" w:hAnsi="Times New Roman" w:eastAsia="宋体" w:cs="Times New Roman"/>
          <w:b/>
          <w:bCs/>
          <w:color w:val="000000" w:themeColor="text1"/>
          <w:spacing w:val="-4"/>
          <w:sz w:val="34"/>
          <w:szCs w:val="34"/>
          <w14:textFill>
            <w14:solidFill>
              <w14:schemeClr w14:val="tx1"/>
            </w14:solidFill>
          </w14:textFill>
        </w:rPr>
      </w:pPr>
      <w:r>
        <w:rPr>
          <w:rFonts w:hint="eastAsia" w:ascii="Times New Roman" w:hAnsi="Times New Roman" w:eastAsia="宋体" w:cs="Times New Roman"/>
          <w:b/>
          <w:bCs/>
          <w:color w:val="000000" w:themeColor="text1"/>
          <w:spacing w:val="-4"/>
          <w:sz w:val="34"/>
          <w:szCs w:val="34"/>
          <w:lang w:eastAsia="zh-CN"/>
          <w14:textFill>
            <w14:solidFill>
              <w14:schemeClr w14:val="tx1"/>
            </w14:solidFill>
          </w14:textFill>
        </w:rPr>
        <w:t>（四）</w:t>
      </w:r>
      <w:r>
        <w:rPr>
          <w:rFonts w:hint="default" w:ascii="Times New Roman" w:hAnsi="Times New Roman" w:eastAsia="宋体" w:cs="Times New Roman"/>
          <w:b/>
          <w:bCs/>
          <w:color w:val="000000" w:themeColor="text1"/>
          <w:spacing w:val="-4"/>
          <w:sz w:val="34"/>
          <w:szCs w:val="34"/>
          <w14:textFill>
            <w14:solidFill>
              <w14:schemeClr w14:val="tx1"/>
            </w14:solidFill>
          </w14:textFill>
        </w:rPr>
        <w:t>不予行政强制事项清单</w:t>
      </w:r>
    </w:p>
    <w:p w14:paraId="67663031">
      <w:pPr>
        <w:rPr>
          <w:rFonts w:hint="default" w:ascii="Times New Roman" w:hAnsi="Times New Roman" w:eastAsia="宋体" w:cs="Times New Roman"/>
          <w:color w:val="000000" w:themeColor="text1"/>
          <w:sz w:val="21"/>
          <w:szCs w:val="21"/>
          <w:lang w:eastAsia="zh-CN"/>
          <w14:textFill>
            <w14:solidFill>
              <w14:schemeClr w14:val="tx1"/>
            </w14:solidFill>
          </w14:textFill>
        </w:rPr>
      </w:pPr>
    </w:p>
    <w:tbl>
      <w:tblPr>
        <w:tblStyle w:val="7"/>
        <w:tblW w:w="14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5"/>
        <w:gridCol w:w="2588"/>
        <w:gridCol w:w="6228"/>
        <w:gridCol w:w="3330"/>
        <w:gridCol w:w="1185"/>
        <w:gridCol w:w="884"/>
      </w:tblGrid>
      <w:tr w14:paraId="225C0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635" w:type="dxa"/>
            <w:vAlign w:val="top"/>
          </w:tcPr>
          <w:p w14:paraId="53196572">
            <w:pPr>
              <w:pStyle w:val="8"/>
              <w:spacing w:before="300" w:line="219" w:lineRule="auto"/>
              <w:jc w:val="center"/>
              <w:rPr>
                <w:rFonts w:hint="default" w:ascii="Times New Roman" w:hAnsi="Times New Roman" w:cs="Times New Roman"/>
                <w:b/>
                <w:bCs/>
                <w:color w:val="000000" w:themeColor="text1"/>
                <w:spacing w:val="-4"/>
                <w14:textFill>
                  <w14:solidFill>
                    <w14:schemeClr w14:val="tx1"/>
                  </w14:solidFill>
                </w14:textFill>
              </w:rPr>
            </w:pPr>
            <w:r>
              <w:rPr>
                <w:rFonts w:hint="default" w:ascii="Times New Roman" w:hAnsi="Times New Roman" w:cs="Times New Roman"/>
                <w:b/>
                <w:bCs/>
                <w:color w:val="000000" w:themeColor="text1"/>
                <w:spacing w:val="-4"/>
                <w14:textFill>
                  <w14:solidFill>
                    <w14:schemeClr w14:val="tx1"/>
                  </w14:solidFill>
                </w14:textFill>
              </w:rPr>
              <w:t>序号</w:t>
            </w:r>
          </w:p>
        </w:tc>
        <w:tc>
          <w:tcPr>
            <w:tcW w:w="2588" w:type="dxa"/>
            <w:vAlign w:val="top"/>
          </w:tcPr>
          <w:p w14:paraId="34C7D8D1">
            <w:pPr>
              <w:pStyle w:val="8"/>
              <w:spacing w:before="300" w:line="219" w:lineRule="auto"/>
              <w:jc w:val="center"/>
              <w:rPr>
                <w:rFonts w:hint="default" w:ascii="Times New Roman" w:hAnsi="Times New Roman" w:cs="Times New Roman"/>
                <w:b/>
                <w:bCs/>
                <w:color w:val="000000" w:themeColor="text1"/>
                <w:spacing w:val="-4"/>
                <w14:textFill>
                  <w14:solidFill>
                    <w14:schemeClr w14:val="tx1"/>
                  </w14:solidFill>
                </w14:textFill>
              </w:rPr>
            </w:pPr>
            <w:r>
              <w:rPr>
                <w:rFonts w:hint="default" w:ascii="Times New Roman" w:hAnsi="Times New Roman" w:cs="Times New Roman"/>
                <w:b/>
                <w:bCs/>
                <w:color w:val="000000" w:themeColor="text1"/>
                <w:spacing w:val="-4"/>
                <w14:textFill>
                  <w14:solidFill>
                    <w14:schemeClr w14:val="tx1"/>
                  </w14:solidFill>
                </w14:textFill>
              </w:rPr>
              <w:t>行政强制事项</w:t>
            </w:r>
          </w:p>
        </w:tc>
        <w:tc>
          <w:tcPr>
            <w:tcW w:w="6228" w:type="dxa"/>
            <w:vAlign w:val="top"/>
          </w:tcPr>
          <w:p w14:paraId="00110016">
            <w:pPr>
              <w:pStyle w:val="8"/>
              <w:spacing w:before="300" w:line="219" w:lineRule="auto"/>
              <w:jc w:val="center"/>
              <w:rPr>
                <w:rFonts w:hint="default" w:ascii="Times New Roman" w:hAnsi="Times New Roman" w:cs="Times New Roman"/>
                <w:b/>
                <w:bCs/>
                <w:color w:val="000000" w:themeColor="text1"/>
                <w:spacing w:val="-4"/>
                <w14:textFill>
                  <w14:solidFill>
                    <w14:schemeClr w14:val="tx1"/>
                  </w14:solidFill>
                </w14:textFill>
              </w:rPr>
            </w:pPr>
            <w:r>
              <w:rPr>
                <w:rFonts w:hint="default" w:ascii="Times New Roman" w:hAnsi="Times New Roman" w:cs="Times New Roman"/>
                <w:b/>
                <w:bCs/>
                <w:color w:val="000000" w:themeColor="text1"/>
                <w:spacing w:val="-4"/>
                <w14:textFill>
                  <w14:solidFill>
                    <w14:schemeClr w14:val="tx1"/>
                  </w14:solidFill>
                </w14:textFill>
              </w:rPr>
              <w:t>设定法律依据</w:t>
            </w:r>
          </w:p>
        </w:tc>
        <w:tc>
          <w:tcPr>
            <w:tcW w:w="3330" w:type="dxa"/>
            <w:vAlign w:val="top"/>
          </w:tcPr>
          <w:p w14:paraId="6DD4D957">
            <w:pPr>
              <w:pStyle w:val="8"/>
              <w:spacing w:before="300" w:line="219" w:lineRule="auto"/>
              <w:jc w:val="center"/>
              <w:rPr>
                <w:rFonts w:hint="default" w:ascii="Times New Roman" w:hAnsi="Times New Roman" w:cs="Times New Roman"/>
                <w:b/>
                <w:bCs/>
                <w:color w:val="000000" w:themeColor="text1"/>
                <w:spacing w:val="-4"/>
                <w14:textFill>
                  <w14:solidFill>
                    <w14:schemeClr w14:val="tx1"/>
                  </w14:solidFill>
                </w14:textFill>
              </w:rPr>
            </w:pPr>
            <w:r>
              <w:rPr>
                <w:rFonts w:hint="default" w:ascii="Times New Roman" w:hAnsi="Times New Roman" w:cs="Times New Roman"/>
                <w:b/>
                <w:bCs/>
                <w:color w:val="000000" w:themeColor="text1"/>
                <w:spacing w:val="-4"/>
                <w14:textFill>
                  <w14:solidFill>
                    <w14:schemeClr w14:val="tx1"/>
                  </w14:solidFill>
                </w14:textFill>
              </w:rPr>
              <w:t>适用条件</w:t>
            </w:r>
          </w:p>
        </w:tc>
        <w:tc>
          <w:tcPr>
            <w:tcW w:w="1185" w:type="dxa"/>
            <w:vAlign w:val="top"/>
          </w:tcPr>
          <w:p w14:paraId="2D373B47">
            <w:pPr>
              <w:pStyle w:val="8"/>
              <w:spacing w:before="300" w:line="219" w:lineRule="auto"/>
              <w:jc w:val="center"/>
              <w:rPr>
                <w:rFonts w:hint="default" w:ascii="Times New Roman" w:hAnsi="Times New Roman" w:cs="Times New Roman"/>
                <w:b/>
                <w:bCs/>
                <w:color w:val="000000" w:themeColor="text1"/>
                <w:spacing w:val="-4"/>
                <w14:textFill>
                  <w14:solidFill>
                    <w14:schemeClr w14:val="tx1"/>
                  </w14:solidFill>
                </w14:textFill>
              </w:rPr>
            </w:pPr>
            <w:r>
              <w:rPr>
                <w:rFonts w:hint="default" w:ascii="Times New Roman" w:hAnsi="Times New Roman" w:cs="Times New Roman"/>
                <w:b/>
                <w:bCs/>
                <w:color w:val="000000" w:themeColor="text1"/>
                <w:spacing w:val="-4"/>
                <w14:textFill>
                  <w14:solidFill>
                    <w14:schemeClr w14:val="tx1"/>
                  </w14:solidFill>
                </w14:textFill>
              </w:rPr>
              <w:t>不予行政强制法律依据</w:t>
            </w:r>
          </w:p>
        </w:tc>
        <w:tc>
          <w:tcPr>
            <w:tcW w:w="884" w:type="dxa"/>
            <w:vAlign w:val="top"/>
          </w:tcPr>
          <w:p w14:paraId="63B1B1D5">
            <w:pPr>
              <w:pStyle w:val="8"/>
              <w:spacing w:before="300" w:line="219" w:lineRule="auto"/>
              <w:jc w:val="center"/>
              <w:rPr>
                <w:rFonts w:hint="default" w:ascii="Times New Roman" w:hAnsi="Times New Roman" w:cs="Times New Roman"/>
                <w:b/>
                <w:bCs/>
                <w:color w:val="000000" w:themeColor="text1"/>
                <w:spacing w:val="-4"/>
                <w:lang w:val="en-US" w:eastAsia="zh-CN"/>
                <w14:textFill>
                  <w14:solidFill>
                    <w14:schemeClr w14:val="tx1"/>
                  </w14:solidFill>
                </w14:textFill>
              </w:rPr>
            </w:pPr>
            <w:r>
              <w:rPr>
                <w:rFonts w:hint="default" w:ascii="Times New Roman" w:hAnsi="Times New Roman" w:cs="Times New Roman"/>
                <w:b/>
                <w:bCs/>
                <w:color w:val="000000" w:themeColor="text1"/>
                <w:spacing w:val="-4"/>
                <w:lang w:val="en-US" w:eastAsia="zh-CN"/>
                <w14:textFill>
                  <w14:solidFill>
                    <w14:schemeClr w14:val="tx1"/>
                  </w14:solidFill>
                </w14:textFill>
              </w:rPr>
              <w:t>备注</w:t>
            </w:r>
          </w:p>
        </w:tc>
      </w:tr>
      <w:tr w14:paraId="15CB6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635" w:type="dxa"/>
            <w:vAlign w:val="top"/>
          </w:tcPr>
          <w:p w14:paraId="4C5BE102">
            <w:pPr>
              <w:pStyle w:val="8"/>
              <w:spacing w:before="300" w:line="219" w:lineRule="auto"/>
              <w:jc w:val="center"/>
              <w:rPr>
                <w:rFonts w:hint="default" w:ascii="Times New Roman" w:hAnsi="Times New Roman" w:eastAsia="宋体" w:cs="Times New Roman"/>
                <w:b w:val="0"/>
                <w:bCs w:val="0"/>
                <w:color w:val="000000" w:themeColor="text1"/>
                <w:spacing w:val="-4"/>
                <w:lang w:val="en-US" w:eastAsia="zh-CN"/>
                <w14:textFill>
                  <w14:solidFill>
                    <w14:schemeClr w14:val="tx1"/>
                  </w14:solidFill>
                </w14:textFill>
              </w:rPr>
            </w:pPr>
          </w:p>
          <w:p w14:paraId="6829E652">
            <w:pPr>
              <w:pStyle w:val="8"/>
              <w:spacing w:before="300" w:line="219" w:lineRule="auto"/>
              <w:jc w:val="center"/>
              <w:rPr>
                <w:rFonts w:hint="default" w:ascii="Times New Roman" w:hAnsi="Times New Roman" w:eastAsia="宋体" w:cs="Times New Roman"/>
                <w:b w:val="0"/>
                <w:bCs w:val="0"/>
                <w:color w:val="000000" w:themeColor="text1"/>
                <w:spacing w:val="-4"/>
                <w:lang w:val="en-US" w:eastAsia="zh-CN"/>
                <w14:textFill>
                  <w14:solidFill>
                    <w14:schemeClr w14:val="tx1"/>
                  </w14:solidFill>
                </w14:textFill>
              </w:rPr>
            </w:pPr>
            <w:r>
              <w:rPr>
                <w:rFonts w:hint="default" w:ascii="Times New Roman" w:hAnsi="Times New Roman" w:cs="Times New Roman"/>
                <w:b w:val="0"/>
                <w:bCs w:val="0"/>
                <w:color w:val="000000" w:themeColor="text1"/>
                <w:spacing w:val="-4"/>
                <w:lang w:val="en-US" w:eastAsia="zh-CN"/>
                <w14:textFill>
                  <w14:solidFill>
                    <w14:schemeClr w14:val="tx1"/>
                  </w14:solidFill>
                </w14:textFill>
              </w:rPr>
              <w:t>1</w:t>
            </w:r>
          </w:p>
        </w:tc>
        <w:tc>
          <w:tcPr>
            <w:tcW w:w="2588" w:type="dxa"/>
            <w:shd w:val="clear" w:color="auto" w:fill="auto"/>
            <w:vAlign w:val="top"/>
          </w:tcPr>
          <w:p w14:paraId="20392DE6">
            <w:pPr>
              <w:spacing w:line="313" w:lineRule="auto"/>
              <w:rPr>
                <w:rFonts w:hint="default" w:ascii="Times New Roman" w:hAnsi="Times New Roman" w:cs="Times New Roman"/>
                <w:color w:val="000000" w:themeColor="text1"/>
                <w:sz w:val="21"/>
                <w14:textFill>
                  <w14:solidFill>
                    <w14:schemeClr w14:val="tx1"/>
                  </w14:solidFill>
                </w14:textFill>
              </w:rPr>
            </w:pPr>
          </w:p>
          <w:p w14:paraId="5C0FD963">
            <w:pPr>
              <w:spacing w:line="314" w:lineRule="auto"/>
              <w:rPr>
                <w:rFonts w:hint="default" w:ascii="Times New Roman" w:hAnsi="Times New Roman" w:cs="Times New Roman"/>
                <w:color w:val="000000" w:themeColor="text1"/>
                <w:sz w:val="21"/>
                <w14:textFill>
                  <w14:solidFill>
                    <w14:schemeClr w14:val="tx1"/>
                  </w14:solidFill>
                </w14:textFill>
              </w:rPr>
            </w:pPr>
          </w:p>
          <w:p w14:paraId="463C7E9B">
            <w:pPr>
              <w:spacing w:line="314" w:lineRule="auto"/>
              <w:rPr>
                <w:rFonts w:hint="default" w:ascii="Times New Roman" w:hAnsi="Times New Roman" w:cs="Times New Roman"/>
                <w:color w:val="000000" w:themeColor="text1"/>
                <w:sz w:val="21"/>
                <w14:textFill>
                  <w14:solidFill>
                    <w14:schemeClr w14:val="tx1"/>
                  </w14:solidFill>
                </w14:textFill>
              </w:rPr>
            </w:pPr>
          </w:p>
          <w:p w14:paraId="60CA5A49">
            <w:pPr>
              <w:pStyle w:val="8"/>
              <w:spacing w:before="68" w:line="283" w:lineRule="auto"/>
              <w:ind w:right="27" w:rightChars="0"/>
              <w:jc w:val="both"/>
              <w:rPr>
                <w:rFonts w:hint="default" w:ascii="Times New Roman" w:hAnsi="Times New Roman" w:eastAsia="宋体" w:cs="Times New Roman"/>
                <w:snapToGrid w:val="0"/>
                <w:color w:val="000000" w:themeColor="text1"/>
                <w:kern w:val="0"/>
                <w:sz w:val="25"/>
                <w:szCs w:val="25"/>
                <w:lang w:val="en-US" w:eastAsia="en-US" w:bidi="ar-SA"/>
                <w14:textFill>
                  <w14:solidFill>
                    <w14:schemeClr w14:val="tx1"/>
                  </w14:solidFill>
                </w14:textFill>
              </w:rPr>
            </w:pPr>
            <w:r>
              <w:rPr>
                <w:rFonts w:hint="default" w:ascii="Times New Roman" w:hAnsi="Times New Roman" w:cs="Times New Roman"/>
                <w:color w:val="000000" w:themeColor="text1"/>
                <w:spacing w:val="1"/>
                <w14:textFill>
                  <w14:solidFill>
                    <w14:schemeClr w14:val="tx1"/>
                  </w14:solidFill>
                </w14:textFill>
              </w:rPr>
              <w:t>对非药品类易制毒化学品</w:t>
            </w:r>
            <w:r>
              <w:rPr>
                <w:rFonts w:hint="default" w:ascii="Times New Roman" w:hAnsi="Times New Roman" w:cs="Times New Roman"/>
                <w:color w:val="000000" w:themeColor="text1"/>
                <w14:textFill>
                  <w14:solidFill>
                    <w14:schemeClr w14:val="tx1"/>
                  </w14:solidFill>
                </w14:textFill>
              </w:rPr>
              <w:t>的违法生产、经营行为的查</w:t>
            </w:r>
            <w:r>
              <w:rPr>
                <w:rFonts w:hint="default" w:ascii="Times New Roman" w:hAnsi="Times New Roman" w:cs="Times New Roman"/>
                <w:color w:val="000000" w:themeColor="text1"/>
                <w:spacing w:val="11"/>
                <w14:textFill>
                  <w14:solidFill>
                    <w14:schemeClr w14:val="tx1"/>
                  </w14:solidFill>
                </w14:textFill>
              </w:rPr>
              <w:t>封、扣押</w:t>
            </w:r>
          </w:p>
        </w:tc>
        <w:tc>
          <w:tcPr>
            <w:tcW w:w="6228" w:type="dxa"/>
            <w:shd w:val="clear" w:color="auto" w:fill="auto"/>
            <w:vAlign w:val="top"/>
          </w:tcPr>
          <w:p w14:paraId="672DCE9A">
            <w:pPr>
              <w:spacing w:line="465" w:lineRule="auto"/>
              <w:rPr>
                <w:rFonts w:hint="default" w:ascii="Times New Roman" w:hAnsi="Times New Roman" w:cs="Times New Roman"/>
                <w:color w:val="000000" w:themeColor="text1"/>
                <w:sz w:val="21"/>
                <w14:textFill>
                  <w14:solidFill>
                    <w14:schemeClr w14:val="tx1"/>
                  </w14:solidFill>
                </w14:textFill>
              </w:rPr>
            </w:pPr>
          </w:p>
          <w:p w14:paraId="3D63B4FE">
            <w:pPr>
              <w:pStyle w:val="8"/>
              <w:spacing w:before="68" w:line="282" w:lineRule="auto"/>
              <w:ind w:left="11" w:leftChars="0" w:firstLine="45" w:firstLineChars="0"/>
              <w:jc w:val="both"/>
              <w:rPr>
                <w:rFonts w:hint="default" w:ascii="Times New Roman" w:hAnsi="Times New Roman" w:eastAsia="宋体" w:cs="Times New Roman"/>
                <w:snapToGrid w:val="0"/>
                <w:color w:val="000000" w:themeColor="text1"/>
                <w:kern w:val="0"/>
                <w:sz w:val="25"/>
                <w:szCs w:val="25"/>
                <w:lang w:val="en-US" w:eastAsia="en-US" w:bidi="ar-SA"/>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《易制毒化学品管理条例》第三十二条第二</w:t>
            </w:r>
            <w:r>
              <w:rPr>
                <w:rFonts w:hint="default" w:ascii="Times New Roman" w:hAnsi="Times New Roman" w:cs="Times New Roman"/>
                <w:color w:val="000000" w:themeColor="text1"/>
                <w:spacing w:val="-1"/>
                <w14:textFill>
                  <w14:solidFill>
                    <w14:schemeClr w14:val="tx1"/>
                  </w14:solidFill>
                </w14:textFill>
              </w:rPr>
              <w:t>款：前款规定的行政主管部门在进行易制毒化</w:t>
            </w:r>
            <w:r>
              <w:rPr>
                <w:rFonts w:hint="default" w:ascii="Times New Roman" w:hAnsi="Times New Roman" w:cs="Times New Roman"/>
                <w:color w:val="000000" w:themeColor="text1"/>
                <w14:textFill>
                  <w14:solidFill>
                    <w14:schemeClr w14:val="tx1"/>
                  </w14:solidFill>
                </w14:textFill>
              </w:rPr>
              <w:t>学品监督检查时，可以依法查看现场、查阅和复制有关资料、记录有关情况、扣押相关的证</w:t>
            </w:r>
            <w:r>
              <w:rPr>
                <w:rFonts w:hint="default" w:ascii="Times New Roman" w:hAnsi="Times New Roman" w:cs="Times New Roman"/>
                <w:color w:val="000000" w:themeColor="text1"/>
                <w:spacing w:val="-1"/>
                <w14:textFill>
                  <w14:solidFill>
                    <w14:schemeClr w14:val="tx1"/>
                  </w14:solidFill>
                </w14:textFill>
              </w:rPr>
              <w:t>据材料和违法物品；必要时，可以临时查封有</w:t>
            </w:r>
            <w:r>
              <w:rPr>
                <w:rFonts w:hint="default" w:ascii="Times New Roman" w:hAnsi="Times New Roman" w:cs="Times New Roman"/>
                <w:color w:val="000000" w:themeColor="text1"/>
                <w:spacing w:val="11"/>
                <w14:textFill>
                  <w14:solidFill>
                    <w14:schemeClr w14:val="tx1"/>
                  </w14:solidFill>
                </w14:textFill>
              </w:rPr>
              <w:t>关场所。</w:t>
            </w:r>
          </w:p>
        </w:tc>
        <w:tc>
          <w:tcPr>
            <w:tcW w:w="3330" w:type="dxa"/>
            <w:shd w:val="clear" w:color="auto" w:fill="auto"/>
            <w:vAlign w:val="top"/>
          </w:tcPr>
          <w:p w14:paraId="69EB4B98">
            <w:pPr>
              <w:spacing w:line="453" w:lineRule="auto"/>
              <w:rPr>
                <w:rFonts w:hint="default" w:ascii="Times New Roman" w:hAnsi="Times New Roman" w:cs="Times New Roman"/>
                <w:color w:val="000000" w:themeColor="text1"/>
                <w:sz w:val="21"/>
                <w14:textFill>
                  <w14:solidFill>
                    <w14:schemeClr w14:val="tx1"/>
                  </w14:solidFill>
                </w14:textFill>
              </w:rPr>
            </w:pPr>
          </w:p>
          <w:p w14:paraId="12EF95DF">
            <w:pPr>
              <w:pStyle w:val="8"/>
              <w:spacing w:before="68" w:line="284" w:lineRule="auto"/>
              <w:ind w:left="14" w:leftChars="0" w:firstLine="89" w:firstLineChars="0"/>
              <w:rPr>
                <w:rFonts w:hint="default" w:ascii="Times New Roman" w:hAnsi="Times New Roman" w:eastAsia="宋体" w:cs="Times New Roman"/>
                <w:snapToGrid w:val="0"/>
                <w:color w:val="000000" w:themeColor="text1"/>
                <w:kern w:val="0"/>
                <w:sz w:val="25"/>
                <w:szCs w:val="25"/>
                <w:lang w:val="en-US" w:eastAsia="en-US" w:bidi="ar-SA"/>
                <w14:textFill>
                  <w14:solidFill>
                    <w14:schemeClr w14:val="tx1"/>
                  </w14:solidFill>
                </w14:textFill>
              </w:rPr>
            </w:pPr>
            <w:r>
              <w:rPr>
                <w:rFonts w:hint="default" w:ascii="Times New Roman" w:hAnsi="Times New Roman" w:cs="Times New Roman"/>
                <w:color w:val="000000" w:themeColor="text1"/>
                <w:spacing w:val="-3"/>
                <w14:textFill>
                  <w14:solidFill>
                    <w14:schemeClr w14:val="tx1"/>
                  </w14:solidFill>
                </w14:textFill>
              </w:rPr>
              <w:t>违法行为情节显著轻微或者没有</w:t>
            </w:r>
            <w:r>
              <w:rPr>
                <w:rFonts w:hint="default" w:ascii="Times New Roman" w:hAnsi="Times New Roman" w:cs="Times New Roman"/>
                <w:color w:val="000000" w:themeColor="text1"/>
                <w:spacing w:val="-2"/>
                <w14:textFill>
                  <w14:solidFill>
                    <w14:schemeClr w14:val="tx1"/>
                  </w14:solidFill>
                </w14:textFill>
              </w:rPr>
              <w:t>明显社会危害。主动销毁处置违法生产、经营的非药品类易制毒化学品及相关违法物品；主动关闭违法</w:t>
            </w:r>
            <w:r>
              <w:rPr>
                <w:rFonts w:hint="default" w:ascii="Times New Roman" w:hAnsi="Times New Roman" w:cs="Times New Roman"/>
                <w:color w:val="000000" w:themeColor="text1"/>
                <w:spacing w:val="-1"/>
                <w14:textFill>
                  <w14:solidFill>
                    <w14:schemeClr w14:val="tx1"/>
                  </w14:solidFill>
                </w14:textFill>
              </w:rPr>
              <w:t>生产、经营非药品类易制毒化学品</w:t>
            </w:r>
            <w:r>
              <w:rPr>
                <w:rFonts w:hint="default" w:ascii="Times New Roman" w:hAnsi="Times New Roman" w:cs="Times New Roman"/>
                <w:color w:val="000000" w:themeColor="text1"/>
                <w:spacing w:val="8"/>
                <w14:textFill>
                  <w14:solidFill>
                    <w14:schemeClr w14:val="tx1"/>
                  </w14:solidFill>
                </w14:textFill>
              </w:rPr>
              <w:t>的有关场所。</w:t>
            </w:r>
          </w:p>
        </w:tc>
        <w:tc>
          <w:tcPr>
            <w:tcW w:w="1185" w:type="dxa"/>
            <w:vAlign w:val="top"/>
          </w:tcPr>
          <w:p w14:paraId="57B60CE0">
            <w:pPr>
              <w:pStyle w:val="8"/>
              <w:spacing w:before="300" w:line="219" w:lineRule="auto"/>
              <w:jc w:val="center"/>
              <w:rPr>
                <w:rFonts w:hint="default" w:ascii="Times New Roman" w:hAnsi="Times New Roman" w:cs="Times New Roman"/>
                <w:b/>
                <w:bCs/>
                <w:color w:val="000000" w:themeColor="text1"/>
                <w:spacing w:val="-4"/>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《中华人民共和国行政强制法》</w:t>
            </w:r>
            <w:r>
              <w:rPr>
                <w:rFonts w:hint="default" w:ascii="Times New Roman" w:hAnsi="Times New Roman" w:cs="Times New Roman"/>
                <w:color w:val="000000" w:themeColor="text1"/>
                <w14:textFill>
                  <w14:solidFill>
                    <w14:schemeClr w14:val="tx1"/>
                  </w14:solidFill>
                </w14:textFill>
              </w:rPr>
              <w:t>第十六条</w:t>
            </w:r>
            <w:r>
              <w:rPr>
                <w:rFonts w:hint="default" w:ascii="Times New Roman" w:hAnsi="Times New Roman" w:cs="Times New Roman"/>
                <w:color w:val="000000" w:themeColor="text1"/>
                <w:spacing w:val="1"/>
                <w14:textFill>
                  <w14:solidFill>
                    <w14:schemeClr w14:val="tx1"/>
                  </w14:solidFill>
                </w14:textFill>
              </w:rPr>
              <w:t>第二款</w:t>
            </w:r>
            <w:r>
              <w:rPr>
                <w:rFonts w:hint="default" w:ascii="Times New Roman" w:hAnsi="Times New Roman" w:cs="Times New Roman"/>
                <w:color w:val="000000" w:themeColor="text1"/>
                <w:spacing w:val="-2"/>
                <w:lang w:eastAsia="zh-CN"/>
                <w14:textFill>
                  <w14:solidFill>
                    <w14:schemeClr w14:val="tx1"/>
                  </w14:solidFill>
                </w14:textFill>
              </w:rPr>
              <w:t>、</w:t>
            </w:r>
            <w:r>
              <w:rPr>
                <w:rFonts w:hint="default" w:ascii="Times New Roman" w:hAnsi="Times New Roman" w:cs="Times New Roman"/>
                <w:color w:val="000000" w:themeColor="text1"/>
                <w:spacing w:val="-4"/>
                <w14:textFill>
                  <w14:solidFill>
                    <w14:schemeClr w14:val="tx1"/>
                  </w14:solidFill>
                </w14:textFill>
              </w:rPr>
              <w:t>《优化营商环境条例》第</w:t>
            </w:r>
            <w:r>
              <w:rPr>
                <w:rFonts w:hint="default" w:ascii="Times New Roman" w:hAnsi="Times New Roman" w:cs="Times New Roman"/>
                <w:color w:val="000000" w:themeColor="text1"/>
                <w:spacing w:val="-6"/>
                <w14:textFill>
                  <w14:solidFill>
                    <w14:schemeClr w14:val="tx1"/>
                  </w14:solidFill>
                </w14:textFill>
              </w:rPr>
              <w:t>五十九条第一款</w:t>
            </w:r>
            <w:r>
              <w:rPr>
                <w:rFonts w:hint="default" w:ascii="Times New Roman" w:hAnsi="Times New Roman" w:cs="Times New Roman"/>
                <w:color w:val="000000" w:themeColor="text1"/>
                <w:spacing w:val="-1"/>
                <w14:textFill>
                  <w14:solidFill>
                    <w14:schemeClr w14:val="tx1"/>
                  </w14:solidFill>
                </w14:textFill>
              </w:rPr>
              <w:t>。</w:t>
            </w:r>
          </w:p>
        </w:tc>
        <w:tc>
          <w:tcPr>
            <w:tcW w:w="884" w:type="dxa"/>
            <w:vAlign w:val="top"/>
          </w:tcPr>
          <w:p w14:paraId="5122B1DA">
            <w:pPr>
              <w:pStyle w:val="8"/>
              <w:spacing w:before="300" w:line="219" w:lineRule="auto"/>
              <w:jc w:val="center"/>
              <w:rPr>
                <w:rFonts w:hint="default" w:ascii="Times New Roman" w:hAnsi="Times New Roman" w:cs="Times New Roman"/>
                <w:b/>
                <w:bCs/>
                <w:color w:val="000000" w:themeColor="text1"/>
                <w:spacing w:val="-4"/>
                <w:lang w:val="en-US" w:eastAsia="zh-CN"/>
                <w14:textFill>
                  <w14:solidFill>
                    <w14:schemeClr w14:val="tx1"/>
                  </w14:solidFill>
                </w14:textFill>
              </w:rPr>
            </w:pPr>
          </w:p>
        </w:tc>
      </w:tr>
    </w:tbl>
    <w:p w14:paraId="794D9E7B">
      <w:pPr>
        <w:spacing w:before="105"/>
        <w:rPr>
          <w:rFonts w:hint="default" w:ascii="Times New Roman" w:hAnsi="Times New Roman" w:cs="Times New Roman"/>
          <w:color w:val="000000" w:themeColor="text1"/>
          <w14:textFill>
            <w14:solidFill>
              <w14:schemeClr w14:val="tx1"/>
            </w14:solidFill>
          </w14:textFill>
        </w:rPr>
      </w:pPr>
    </w:p>
    <w:p w14:paraId="32F8307D">
      <w:pPr>
        <w:spacing w:before="105"/>
        <w:rPr>
          <w:rFonts w:hint="default" w:ascii="Times New Roman" w:hAnsi="Times New Roman" w:cs="Times New Roman"/>
          <w:color w:val="000000" w:themeColor="text1"/>
          <w14:textFill>
            <w14:solidFill>
              <w14:schemeClr w14:val="tx1"/>
            </w14:solidFill>
          </w14:textFill>
        </w:rPr>
      </w:pPr>
    </w:p>
    <w:p w14:paraId="6A17AC63">
      <w:pPr>
        <w:rPr>
          <w:rFonts w:hint="default" w:ascii="Times New Roman" w:hAnsi="Times New Roman" w:cs="Times New Roman"/>
          <w:color w:val="000000" w:themeColor="text1"/>
          <w:sz w:val="21"/>
          <w14:textFill>
            <w14:solidFill>
              <w14:schemeClr w14:val="tx1"/>
            </w14:solidFill>
          </w14:textFill>
        </w:rPr>
      </w:pPr>
    </w:p>
    <w:p w14:paraId="2B6C5739">
      <w:pPr>
        <w:spacing w:before="56" w:line="290" w:lineRule="auto"/>
        <w:rPr>
          <w:rFonts w:hint="default" w:ascii="Times New Roman" w:hAnsi="Times New Roman" w:eastAsia="楷体" w:cs="Times New Roman"/>
          <w:color w:val="000000" w:themeColor="text1"/>
          <w:spacing w:val="12"/>
          <w:sz w:val="26"/>
          <w:szCs w:val="26"/>
          <w:lang w:val="en-US" w:eastAsia="zh-CN"/>
          <w14:textFill>
            <w14:solidFill>
              <w14:schemeClr w14:val="tx1"/>
            </w14:solidFill>
          </w14:textFill>
        </w:rPr>
      </w:pPr>
      <w:r>
        <w:rPr>
          <w:rFonts w:hint="default" w:ascii="Times New Roman" w:hAnsi="Times New Roman" w:eastAsia="楷体" w:cs="Times New Roman"/>
          <w:color w:val="000000" w:themeColor="text1"/>
          <w:spacing w:val="12"/>
          <w:sz w:val="26"/>
          <w:szCs w:val="26"/>
          <w14:textFill>
            <w14:solidFill>
              <w14:schemeClr w14:val="tx1"/>
            </w14:solidFill>
          </w14:textFill>
        </w:rPr>
        <w:t>备注：非高危生产经营单位是指除矿山、金属冶炼、建筑施工、道路运输单位和危险物品的生产、经营、储存单位以外的生产经营单位。</w:t>
      </w:r>
    </w:p>
    <w:p w14:paraId="55A486F3">
      <w:pP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eastAsia="楷体" w:cs="Times New Roman"/>
          <w:color w:val="000000" w:themeColor="text1"/>
          <w:spacing w:val="12"/>
          <w:sz w:val="26"/>
          <w:szCs w:val="26"/>
          <w:lang w:val="en-US" w:eastAsia="zh-CN"/>
          <w14:textFill>
            <w14:solidFill>
              <w14:schemeClr w14:val="tx1"/>
            </w14:solidFill>
          </w14:textFill>
        </w:rPr>
        <w:t>配套监管措施：</w:t>
      </w:r>
      <w:r>
        <w:rPr>
          <w:rFonts w:hint="default" w:ascii="Times New Roman" w:hAnsi="Times New Roman" w:eastAsia="楷体" w:cs="Times New Roman"/>
          <w:color w:val="000000" w:themeColor="text1"/>
          <w:spacing w:val="12"/>
          <w:sz w:val="26"/>
          <w:szCs w:val="26"/>
          <w:lang w:eastAsia="zh-CN"/>
          <w14:textFill>
            <w14:solidFill>
              <w14:schemeClr w14:val="tx1"/>
            </w14:solidFill>
          </w14:textFill>
        </w:rPr>
        <w:t>1.对当事人给予教育，采取辅导、约谈等方式予以指导；2.责令立即改正</w:t>
      </w:r>
      <w:r>
        <w:rPr>
          <w:rFonts w:hint="eastAsia" w:ascii="Times New Roman" w:hAnsi="Times New Roman" w:eastAsia="楷体" w:cs="Times New Roman"/>
          <w:color w:val="000000" w:themeColor="text1"/>
          <w:spacing w:val="12"/>
          <w:sz w:val="26"/>
          <w:szCs w:val="26"/>
          <w:lang w:eastAsia="zh-CN"/>
          <w14:textFill>
            <w14:solidFill>
              <w14:schemeClr w14:val="tx1"/>
            </w14:solidFill>
          </w14:textFill>
        </w:rPr>
        <w:t>（</w:t>
      </w:r>
      <w:r>
        <w:rPr>
          <w:rFonts w:hint="default" w:ascii="Times New Roman" w:hAnsi="Times New Roman" w:eastAsia="楷体" w:cs="Times New Roman"/>
          <w:color w:val="000000" w:themeColor="text1"/>
          <w:spacing w:val="12"/>
          <w:sz w:val="26"/>
          <w:szCs w:val="26"/>
          <w:lang w:eastAsia="zh-CN"/>
          <w14:textFill>
            <w14:solidFill>
              <w14:schemeClr w14:val="tx1"/>
            </w14:solidFill>
          </w14:textFill>
        </w:rPr>
        <w:t>下达有关法律文书</w:t>
      </w:r>
      <w:r>
        <w:rPr>
          <w:rFonts w:hint="eastAsia" w:ascii="Times New Roman" w:hAnsi="Times New Roman" w:eastAsia="楷体" w:cs="Times New Roman"/>
          <w:color w:val="000000" w:themeColor="text1"/>
          <w:spacing w:val="12"/>
          <w:sz w:val="26"/>
          <w:szCs w:val="26"/>
          <w:lang w:eastAsia="zh-CN"/>
          <w14:textFill>
            <w14:solidFill>
              <w14:schemeClr w14:val="tx1"/>
            </w14:solidFill>
          </w14:textFill>
        </w:rPr>
        <w:t>）；</w:t>
      </w:r>
      <w:r>
        <w:rPr>
          <w:rFonts w:hint="default" w:ascii="Times New Roman" w:hAnsi="Times New Roman" w:eastAsia="楷体" w:cs="Times New Roman"/>
          <w:color w:val="000000" w:themeColor="text1"/>
          <w:spacing w:val="12"/>
          <w:sz w:val="26"/>
          <w:szCs w:val="26"/>
          <w:lang w:eastAsia="zh-CN"/>
          <w14:textFill>
            <w14:solidFill>
              <w14:schemeClr w14:val="tx1"/>
            </w14:solidFill>
          </w14:textFill>
        </w:rPr>
        <w:t>3.加强日常监督管理。</w:t>
      </w:r>
      <w:bookmarkStart w:id="0" w:name="_GoBack"/>
      <w:bookmarkEnd w:id="0"/>
    </w:p>
    <w:sectPr>
      <w:footerReference r:id="rId10" w:type="default"/>
      <w:pgSz w:w="16900" w:h="11830" w:orient="landscape"/>
      <w:pgMar w:top="1670" w:right="1436" w:bottom="829" w:left="1629" w:header="0" w:footer="125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C2809">
    <w:pPr>
      <w:spacing w:line="233" w:lineRule="auto"/>
      <w:ind w:left="14025"/>
      <w:rPr>
        <w:rFonts w:ascii="宋体" w:hAnsi="宋体" w:eastAsia="宋体" w:cs="宋体"/>
        <w:sz w:val="29"/>
        <w:szCs w:val="2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CDB65">
    <w:pPr>
      <w:spacing w:line="234" w:lineRule="auto"/>
      <w:ind w:left="114"/>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2439B">
    <w:pPr>
      <w:spacing w:line="233" w:lineRule="auto"/>
      <w:ind w:left="14025"/>
      <w:rPr>
        <w:rFonts w:ascii="宋体" w:hAnsi="宋体" w:eastAsia="宋体" w:cs="宋体"/>
        <w:sz w:val="29"/>
        <w:szCs w:val="2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F3264">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4F743">
    <w:pPr>
      <w:spacing w:line="234" w:lineRule="auto"/>
      <w:ind w:left="29"/>
      <w:rPr>
        <w:rFonts w:ascii="宋体" w:hAnsi="宋体" w:eastAsia="宋体" w:cs="宋体"/>
        <w:sz w:val="29"/>
        <w:szCs w:val="2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391A1">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D736A4"/>
    <w:rsid w:val="01A26101"/>
    <w:rsid w:val="01C42B8B"/>
    <w:rsid w:val="03D354A3"/>
    <w:rsid w:val="06594D7C"/>
    <w:rsid w:val="091343F8"/>
    <w:rsid w:val="09AF02BC"/>
    <w:rsid w:val="0B742195"/>
    <w:rsid w:val="0C0544CC"/>
    <w:rsid w:val="0E0B69DA"/>
    <w:rsid w:val="0F305284"/>
    <w:rsid w:val="11537A88"/>
    <w:rsid w:val="13B80076"/>
    <w:rsid w:val="17D47448"/>
    <w:rsid w:val="180A63E1"/>
    <w:rsid w:val="180E78A8"/>
    <w:rsid w:val="18843034"/>
    <w:rsid w:val="189B1C00"/>
    <w:rsid w:val="18A74075"/>
    <w:rsid w:val="196C5B8A"/>
    <w:rsid w:val="1ABF618E"/>
    <w:rsid w:val="1D473D20"/>
    <w:rsid w:val="1F3D58D3"/>
    <w:rsid w:val="2449623D"/>
    <w:rsid w:val="260D6E5C"/>
    <w:rsid w:val="27084A19"/>
    <w:rsid w:val="28A831E4"/>
    <w:rsid w:val="298B5C19"/>
    <w:rsid w:val="29CC7F7F"/>
    <w:rsid w:val="2C4F3EBF"/>
    <w:rsid w:val="2F837332"/>
    <w:rsid w:val="32B10AFE"/>
    <w:rsid w:val="33642679"/>
    <w:rsid w:val="34002665"/>
    <w:rsid w:val="358F1459"/>
    <w:rsid w:val="37325723"/>
    <w:rsid w:val="38FC77B9"/>
    <w:rsid w:val="39803C97"/>
    <w:rsid w:val="3A2974D3"/>
    <w:rsid w:val="3B793683"/>
    <w:rsid w:val="3BF40B46"/>
    <w:rsid w:val="424566C9"/>
    <w:rsid w:val="44061EA9"/>
    <w:rsid w:val="511856D5"/>
    <w:rsid w:val="54C33A5E"/>
    <w:rsid w:val="57AD3186"/>
    <w:rsid w:val="58FE78A6"/>
    <w:rsid w:val="5C89728F"/>
    <w:rsid w:val="604312FF"/>
    <w:rsid w:val="61EC3D00"/>
    <w:rsid w:val="652D31D4"/>
    <w:rsid w:val="66030B7B"/>
    <w:rsid w:val="669A1275"/>
    <w:rsid w:val="6AEA5EDC"/>
    <w:rsid w:val="6EF32E85"/>
    <w:rsid w:val="6F4D6275"/>
    <w:rsid w:val="6F9A44DF"/>
    <w:rsid w:val="7166695C"/>
    <w:rsid w:val="72E2393D"/>
    <w:rsid w:val="73491071"/>
    <w:rsid w:val="73D653BA"/>
    <w:rsid w:val="769100E1"/>
    <w:rsid w:val="77316C41"/>
    <w:rsid w:val="77DE4712"/>
    <w:rsid w:val="7CC66E83"/>
    <w:rsid w:val="7E0A3FA9"/>
    <w:rsid w:val="7E9C52E7"/>
    <w:rsid w:val="7EEC1D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5"/>
      <w:szCs w:val="25"/>
      <w:lang w:val="en-US" w:eastAsia="en-US" w:bidi="ar-SA"/>
    </w:rPr>
  </w:style>
  <w:style w:type="paragraph" w:customStyle="1" w:styleId="9">
    <w:name w:val="*正文"/>
    <w:qFormat/>
    <w:uiPriority w:val="0"/>
    <w:pPr>
      <w:widowControl w:val="0"/>
      <w:tabs>
        <w:tab w:val="left" w:pos="146"/>
      </w:tabs>
      <w:spacing w:line="360" w:lineRule="auto"/>
      <w:ind w:firstLine="482"/>
      <w:jc w:val="both"/>
    </w:pPr>
    <w:rPr>
      <w:rFonts w:ascii="Times New Roman" w:hAnsi="Times New Roman" w:eastAsia="宋体" w:cs="仿宋_GB2312"/>
      <w:kern w:val="2"/>
      <w:sz w:val="28"/>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9982</Words>
  <Characters>10063</Characters>
  <TotalTime>30</TotalTime>
  <ScaleCrop>false</ScaleCrop>
  <LinksUpToDate>false</LinksUpToDate>
  <CharactersWithSpaces>10109</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2025-07-07T16:58:00Z</dcterms:created>
  <dc:creator>Administrator</dc:creator>
  <cp:lastModifiedBy>winifredH</cp:lastModifiedBy>
  <cp:lastPrinted>2025-09-26T08:52:00Z</cp:lastPrinted>
  <dcterms:modified xsi:type="dcterms:W3CDTF">2025-09-28T01:10:49Z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2025-07-07T16:58:32Z</vt:filetime>
  </property>
  <property fmtid="{D5CDD505-2E9C-101B-9397-08002B2CF9AE}" pid="4" name="UsrData">
    <vt:lpwstr>686b8c354feef9001f868835wl</vt:lpwstr>
  </property>
  <property fmtid="{D5CDD505-2E9C-101B-9397-08002B2CF9AE}" pid="5" name="KSOTemplateDocerSaveRecord">
    <vt:lpwstr>eyJoZGlkIjoiYTU5ZTU4ZmIyNWIzZTdmOGVkN2QzOTBmMzAyYzQ3MjYiLCJ1c2VySWQiOiIyMTEyMTgzMDEifQ==</vt:lpwstr>
  </property>
  <property fmtid="{D5CDD505-2E9C-101B-9397-08002B2CF9AE}" pid="6" name="KSOProductBuildVer">
    <vt:lpwstr>2052-12.1.0.22529</vt:lpwstr>
  </property>
  <property fmtid="{D5CDD505-2E9C-101B-9397-08002B2CF9AE}" pid="7" name="ICV">
    <vt:lpwstr>5FD53B0ECCCC4F91BE58D5BCEFC11E10_13</vt:lpwstr>
  </property>
</Properties>
</file>