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600" w:lineRule="exact"/>
        <w:jc w:val="center"/>
        <w:rPr>
          <w:rFonts w:hint="default" w:ascii="Times New Roman" w:hAnsi="Times New Roman" w:eastAsia="华文中宋" w:cs="Times New Roman"/>
          <w:b/>
          <w:kern w:val="2"/>
          <w:sz w:val="44"/>
          <w:szCs w:val="44"/>
        </w:rPr>
      </w:pPr>
      <w:r>
        <w:rPr>
          <w:rFonts w:hint="default" w:ascii="Times New Roman" w:hAnsi="Times New Roman" w:eastAsia="华文中宋" w:cs="Times New Roman"/>
          <w:b/>
          <w:kern w:val="2"/>
          <w:sz w:val="44"/>
          <w:szCs w:val="44"/>
        </w:rPr>
        <w:t>安全生产行政执法文书</w:t>
      </w:r>
    </w:p>
    <w:p>
      <w:pPr>
        <w:widowControl w:val="0"/>
        <w:adjustRightInd/>
        <w:snapToGrid/>
        <w:spacing w:after="0" w:line="600" w:lineRule="exact"/>
        <w:jc w:val="center"/>
        <w:rPr>
          <w:rFonts w:hint="default" w:ascii="Times New Roman" w:hAnsi="Times New Roman" w:eastAsia="华文中宋" w:cs="Times New Roman"/>
          <w:b/>
          <w:kern w:val="2"/>
          <w:sz w:val="44"/>
          <w:szCs w:val="44"/>
        </w:rPr>
      </w:pPr>
      <w:r>
        <w:rPr>
          <w:rFonts w:hint="default" w:ascii="Times New Roman" w:hAnsi="Times New Roman" w:eastAsia="华文中宋" w:cs="Times New Roman"/>
          <w:b/>
          <w:kern w:val="2"/>
          <w:sz w:val="44"/>
          <w:szCs w:val="44"/>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31115</wp:posOffset>
                </wp:positionV>
                <wp:extent cx="5457825" cy="0"/>
                <wp:effectExtent l="0" t="0" r="0" b="0"/>
                <wp:wrapNone/>
                <wp:docPr id="1" name="直接连接符 54"/>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upright="1"/>
                    </wps:wsp>
                  </a:graphicData>
                </a:graphic>
              </wp:anchor>
            </w:drawing>
          </mc:Choice>
          <mc:Fallback>
            <w:pict>
              <v:line id="直接连接符 54" o:spid="_x0000_s1026" o:spt="20" style="position:absolute;left:0pt;margin-left:3pt;margin-top:2.45pt;height:0pt;width:429.75pt;z-index:251659264;mso-width-relative:page;mso-height-relative:page;" filled="f" stroked="t" coordsize="21600,21600" o:gfxdata="UEsFBgAAAAAAAAAAAAAAAAAAAAAAAFBLAwQKAAAAAACHTuJAAAAAAAAAAAAAAAAABAAAAGRycy9Q&#10;SwMEFAAAAAgAh07iQMFmFqnUAAAABQEAAA8AAABkcnMvZG93bnJldi54bWxNj81OwzAQhO9IvIO1&#10;SNyoXUSjNsSpoFKFKrhQeIBtvE2ixuso3v7k7TFc6HE0o5lviuXFd+pEQ2wDW5hODCjiKriWawvf&#10;X+uHOagoyA67wGRhpAjL8vamwNyFM3/SaSu1SiUcc7TQiPS51rFqyGOchJ44efsweJQkh1q7Ac+p&#10;3Hf60ZhMe2w5LTTY06qh6rA9egtyMG/vr7geX/x+I/VirPxm9WHt/d3UPIMSush/GH7xEzqUiWkX&#10;juyi6ixk6YlYeFqASu48m81A7f60Lgt9TV/+AFBLAwQUAAAACACHTuJAlAgA5/cBAADmAwAADgAA&#10;AGRycy9lMm9Eb2MueG1srVO9jhMxEO6ReAfLPdkkXCBaZXPFhaNBcBLwABPbm7XkP3mcbPISvAAS&#10;HVSU9LzNHY/B2JvLwdGkYAvv2DP+Zr5vxovLvTVspyJq7xo+GY05U054qd2m4R8/XD+bc4YJnATj&#10;nWr4QSG/XD59suhDraa+80aqyAjEYd2HhncphbqqUHTKAo58UI6crY8WEm3jppIRekK3ppqOxy+q&#10;3kcZohcKkU5Xg5MfEeM5gL5ttVArL7ZWuTSgRmUgESXsdEC+LNW2rRLpXduiSsw0nJimslISstd5&#10;rZYLqDcRQqfFsQQ4p4RHnCxoR0lPUCtIwLZR/wNltYgefZtGwttqIFIUIRaT8SNt3ncQVOFCUmM4&#10;iY7/D1a83d1EpiVNAmcOLDX87vOP209ff/38Quvd929sdpFV6gPWFHzlbuJxh+EmZsr7Ntr8JzJs&#10;X5Q9nJRV+8QEHc4uZi/n0xln4t5XPVwMEdNr5S3LRsONdpk01LB7g4mSUeh9SD42jvUNfz6fjKmJ&#10;AmgEW2o9mTYQDbk25TJ6o+W1NiZfwbhZX5nIdpDHoHyZEwH/FZazrAC7Ia64hgHpFMhXTrJ0CCSQ&#10;o3fBcw1WSc6MomeULQKEOoE250RSauOogizrIGS21l4eqB3bEPWmIykmpcrsofaXeo+jmufrz31B&#10;eniey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DBZhap1AAAAAUBAAAPAAAAAAAAAAEAIAAAADgA&#10;AABkcnMvZG93bnJldi54bWxQSwECFAAUAAAACACHTuJAlAgA5/cBAADmAwAADgAAAAAAAAABACAA&#10;AAA5AQAAZHJzL2Uyb0RvYy54bWxQSwUGAAAAAAYABgBZAQAAogUAAAAA&#10;">
                <v:fill on="f" focussize="0,0"/>
                <v:stroke weight="3pt" color="#000000" linestyle="thinThin" joinstyle="round"/>
                <v:imagedata o:title=""/>
                <o:lock v:ext="edit" aspectratio="f"/>
              </v:line>
            </w:pict>
          </mc:Fallback>
        </mc:AlternateContent>
      </w:r>
      <w:r>
        <w:rPr>
          <w:rFonts w:hint="default" w:ascii="Times New Roman" w:hAnsi="Times New Roman" w:eastAsia="华文中宋" w:cs="Times New Roman"/>
          <w:b/>
          <w:kern w:val="2"/>
          <w:sz w:val="44"/>
          <w:szCs w:val="44"/>
        </w:rPr>
        <w:t>现场检查方案</w:t>
      </w:r>
    </w:p>
    <w:p>
      <w:pPr>
        <w:widowControl w:val="0"/>
        <w:adjustRightInd/>
        <w:snapToGrid/>
        <w:spacing w:after="0" w:line="6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南应急检查〔</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  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999"/>
        <w:gridCol w:w="1384"/>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被检查单位</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地址</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联系人</w:t>
            </w:r>
          </w:p>
        </w:tc>
        <w:tc>
          <w:tcPr>
            <w:tcW w:w="2999"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乡镇安办人员配合</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w:t>
            </w:r>
          </w:p>
        </w:tc>
        <w:tc>
          <w:tcPr>
            <w:tcW w:w="2524"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rPr>
                <w:rFonts w:hint="default" w:ascii="Times New Roman" w:hAnsi="Times New Roman" w:eastAsia="仿宋_GB2312"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检查时间</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行政执法 人员</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检查内容</w:t>
            </w:r>
          </w:p>
          <w:p>
            <w:pPr>
              <w:widowControl w:val="0"/>
              <w:jc w:val="left"/>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w:t>
            </w:r>
            <w:r>
              <w:rPr>
                <w:rFonts w:hint="default" w:ascii="Times New Roman" w:hAnsi="Times New Roman" w:eastAsia="仿宋_GB2312" w:cs="Times New Roman"/>
                <w:sz w:val="24"/>
                <w:szCs w:val="24"/>
                <w:lang w:val="en-US" w:eastAsia="zh-CN"/>
              </w:rPr>
              <w:t>*1</w:t>
            </w:r>
            <w:r>
              <w:rPr>
                <w:rFonts w:hint="eastAsia"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lang w:val="en-US" w:eastAsia="zh-CN"/>
              </w:rPr>
              <w:t>项必选项</w:t>
            </w:r>
            <w:r>
              <w:rPr>
                <w:rFonts w:hint="eastAsia" w:ascii="Times New Roman" w:hAnsi="Times New Roman" w:eastAsia="仿宋_GB2312" w:cs="Times New Roman"/>
                <w:sz w:val="24"/>
                <w:szCs w:val="24"/>
                <w:lang w:val="en-US" w:eastAsia="zh-CN"/>
              </w:rPr>
              <w:t>项目</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sz w:val="24"/>
                <w:szCs w:val="24"/>
                <w:lang w:val="en-US" w:eastAsia="zh-CN"/>
              </w:rPr>
              <w:t>第4至</w:t>
            </w:r>
            <w:r>
              <w:rPr>
                <w:rFonts w:hint="default"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lang w:val="en-US" w:eastAsia="zh-CN"/>
              </w:rPr>
              <w:t>项由各检查组</w:t>
            </w:r>
            <w:r>
              <w:rPr>
                <w:rFonts w:hint="eastAsia" w:ascii="Times New Roman" w:hAnsi="Times New Roman" w:eastAsia="仿宋_GB2312" w:cs="Times New Roman"/>
                <w:sz w:val="24"/>
                <w:szCs w:val="24"/>
                <w:lang w:val="en-US" w:eastAsia="zh-CN"/>
              </w:rPr>
              <w:t>至少</w:t>
            </w:r>
            <w:r>
              <w:rPr>
                <w:rFonts w:hint="default" w:ascii="Times New Roman" w:hAnsi="Times New Roman" w:eastAsia="仿宋_GB2312" w:cs="Times New Roman"/>
                <w:sz w:val="24"/>
                <w:szCs w:val="24"/>
                <w:lang w:val="en-US" w:eastAsia="zh-CN"/>
              </w:rPr>
              <w:t>自选</w:t>
            </w:r>
            <w:r>
              <w:rPr>
                <w:rFonts w:hint="eastAsia" w:ascii="Times New Roman" w:hAnsi="Times New Roman" w:eastAsia="仿宋_GB2312" w:cs="Times New Roman"/>
                <w:sz w:val="24"/>
                <w:szCs w:val="24"/>
                <w:lang w:val="en-US" w:eastAsia="zh-CN"/>
              </w:rPr>
              <w:t>2项</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color w:val="000000"/>
                <w:sz w:val="24"/>
                <w:szCs w:val="24"/>
                <w:lang w:val="en-US" w:eastAsia="zh-CN"/>
              </w:rPr>
              <w:t>)</w:t>
            </w:r>
          </w:p>
          <w:p>
            <w:pPr>
              <w:pStyle w:val="2"/>
              <w:rPr>
                <w:rFonts w:hint="default"/>
              </w:rPr>
            </w:pPr>
          </w:p>
        </w:tc>
        <w:tc>
          <w:tcPr>
            <w:tcW w:w="690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color w:val="FF0000"/>
                <w:sz w:val="24"/>
                <w:szCs w:val="24"/>
                <w:highlight w:val="none"/>
                <w:u w:val="none"/>
                <w:lang w:eastAsia="zh-CN"/>
              </w:rPr>
            </w:pPr>
            <w:r>
              <w:rPr>
                <w:rFonts w:hint="default" w:ascii="Times New Roman" w:hAnsi="Times New Roman" w:eastAsia="仿宋_GB2312" w:cs="Times New Roman"/>
                <w:b/>
                <w:bCs/>
                <w:color w:val="FF0000"/>
                <w:sz w:val="24"/>
                <w:szCs w:val="24"/>
                <w:highlight w:val="none"/>
                <w:u w:val="none"/>
                <w:lang w:val="en-US" w:eastAsia="zh-CN" w:bidi="ar-SA"/>
              </w:rPr>
              <w:t>*</w:t>
            </w:r>
            <w:r>
              <w:rPr>
                <w:rFonts w:hint="eastAsia" w:ascii="仿宋_GB2312" w:hAnsi="仿宋_GB2312" w:eastAsia="仿宋_GB2312" w:cs="仿宋_GB2312"/>
                <w:b/>
                <w:bCs/>
                <w:color w:val="FF0000"/>
                <w:sz w:val="24"/>
                <w:szCs w:val="24"/>
                <w:highlight w:val="none"/>
                <w:u w:val="none"/>
                <w:lang w:val="en-US" w:eastAsia="zh-CN" w:bidi="ar-SA"/>
              </w:rPr>
              <w:t>(1)</w:t>
            </w:r>
            <w:r>
              <w:rPr>
                <w:rFonts w:hint="eastAsia" w:ascii="仿宋_GB2312" w:hAnsi="仿宋_GB2312" w:eastAsia="仿宋_GB2312" w:cs="仿宋_GB2312"/>
                <w:b/>
                <w:bCs/>
                <w:color w:val="FF0000"/>
                <w:sz w:val="24"/>
                <w:szCs w:val="24"/>
                <w:highlight w:val="none"/>
                <w:u w:val="none"/>
                <w:lang w:val="en-US" w:eastAsia="zh-CN"/>
              </w:rPr>
              <w:t>重大事故隐患动态清零情况</w:t>
            </w:r>
            <w:r>
              <w:rPr>
                <w:rFonts w:hint="eastAsia" w:ascii="仿宋_GB2312" w:hAnsi="仿宋_GB2312" w:eastAsia="仿宋_GB2312" w:cs="仿宋_GB2312"/>
                <w:b/>
                <w:bCs/>
                <w:color w:val="FF0000"/>
                <w:sz w:val="24"/>
                <w:szCs w:val="24"/>
                <w:highlight w:val="none"/>
                <w:u w:val="none"/>
              </w:rPr>
              <w:t>：</w:t>
            </w:r>
            <w:r>
              <w:rPr>
                <w:rFonts w:hint="eastAsia" w:ascii="仿宋_GB2312" w:hAnsi="仿宋_GB2312" w:eastAsia="仿宋_GB2312" w:cs="仿宋_GB2312"/>
                <w:b/>
                <w:bCs/>
                <w:color w:val="FF0000"/>
                <w:sz w:val="24"/>
                <w:szCs w:val="24"/>
                <w:highlight w:val="none"/>
                <w:u w:val="none"/>
                <w:lang w:eastAsia="zh-CN"/>
              </w:rPr>
              <w:t>对照各行各业</w:t>
            </w:r>
            <w:r>
              <w:rPr>
                <w:rFonts w:hint="eastAsia" w:ascii="仿宋_GB2312" w:hAnsi="仿宋_GB2312" w:eastAsia="仿宋_GB2312" w:cs="仿宋_GB2312"/>
                <w:b/>
                <w:bCs/>
                <w:color w:val="FF0000"/>
                <w:sz w:val="24"/>
                <w:szCs w:val="24"/>
                <w:highlight w:val="none"/>
                <w:u w:val="none"/>
              </w:rPr>
              <w:t>重大事故隐患判定标准检查企业</w:t>
            </w:r>
            <w:r>
              <w:rPr>
                <w:rFonts w:hint="eastAsia" w:ascii="仿宋_GB2312" w:hAnsi="仿宋_GB2312" w:eastAsia="仿宋_GB2312" w:cs="仿宋_GB2312"/>
                <w:b/>
                <w:bCs/>
                <w:color w:val="FF0000"/>
                <w:sz w:val="24"/>
                <w:szCs w:val="24"/>
                <w:highlight w:val="none"/>
                <w:u w:val="none"/>
                <w:lang w:eastAsia="zh-CN"/>
              </w:rPr>
              <w:t>是否存在</w:t>
            </w:r>
            <w:r>
              <w:rPr>
                <w:rFonts w:hint="eastAsia" w:ascii="仿宋_GB2312" w:hAnsi="仿宋_GB2312" w:eastAsia="仿宋_GB2312" w:cs="仿宋_GB2312"/>
                <w:b/>
                <w:bCs/>
                <w:color w:val="FF0000"/>
                <w:sz w:val="24"/>
                <w:szCs w:val="24"/>
                <w:highlight w:val="none"/>
                <w:u w:val="none"/>
              </w:rPr>
              <w:t>重大事故隐患</w:t>
            </w:r>
            <w:r>
              <w:rPr>
                <w:rFonts w:hint="eastAsia" w:ascii="仿宋_GB2312" w:hAnsi="仿宋_GB2312" w:eastAsia="仿宋_GB2312" w:cs="仿宋_GB2312"/>
                <w:b/>
                <w:bCs/>
                <w:color w:val="FF0000"/>
                <w:sz w:val="24"/>
                <w:szCs w:val="24"/>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i w:val="0"/>
                <w:iCs w:val="0"/>
                <w:caps w:val="0"/>
                <w:color w:val="FF0000"/>
                <w:spacing w:val="0"/>
                <w:kern w:val="0"/>
                <w:sz w:val="24"/>
                <w:szCs w:val="24"/>
                <w:highlight w:val="none"/>
                <w:shd w:val="clear" w:color="auto" w:fill="FFFFFF"/>
                <w:lang w:val="en-US" w:eastAsia="zh-CN" w:bidi="ar"/>
              </w:rPr>
            </w:pPr>
            <w:r>
              <w:rPr>
                <w:rFonts w:hint="eastAsia" w:ascii="仿宋_GB2312" w:hAnsi="仿宋_GB2312" w:eastAsia="仿宋_GB2312" w:cs="仿宋_GB2312"/>
                <w:b/>
                <w:bCs/>
                <w:color w:val="FF0000"/>
                <w:sz w:val="24"/>
                <w:szCs w:val="24"/>
                <w:highlight w:val="none"/>
                <w:u w:val="none"/>
                <w:lang w:val="en-US" w:eastAsia="zh-CN" w:bidi="ar-SA"/>
              </w:rPr>
              <w:t>*(2)企业主要负责人及从业人员履行安全生产管理职责情况</w:t>
            </w:r>
            <w:r>
              <w:rPr>
                <w:rFonts w:hint="eastAsia" w:ascii="仿宋_GB2312" w:hAnsi="仿宋_GB2312" w:eastAsia="仿宋_GB2312" w:cs="仿宋_GB2312"/>
                <w:b/>
                <w:bCs/>
                <w:i w:val="0"/>
                <w:iCs w:val="0"/>
                <w:caps w:val="0"/>
                <w:color w:val="FF0000"/>
                <w:spacing w:val="0"/>
                <w:kern w:val="0"/>
                <w:sz w:val="24"/>
                <w:szCs w:val="24"/>
                <w:highlight w:val="none"/>
                <w:shd w:val="clear" w:color="auto" w:fill="FFFFFF"/>
                <w:lang w:val="en-US" w:eastAsia="zh-CN" w:bidi="ar"/>
              </w:rPr>
              <w:t>；</w:t>
            </w:r>
          </w:p>
          <w:p>
            <w:pPr>
              <w:pStyle w:val="2"/>
              <w:ind w:left="482" w:leftChars="0" w:hanging="482" w:hangingChars="200"/>
              <w:rPr>
                <w:rFonts w:hint="eastAsia"/>
                <w:lang w:val="en-US" w:eastAsia="zh-CN"/>
              </w:rPr>
            </w:pPr>
            <w:r>
              <w:rPr>
                <w:rFonts w:hint="eastAsia" w:ascii="Times New Roman" w:hAnsi="Times New Roman" w:cs="Times New Roman"/>
                <w:b/>
                <w:bCs/>
                <w:color w:val="FF0000"/>
                <w:kern w:val="0"/>
                <w:sz w:val="24"/>
                <w:szCs w:val="24"/>
                <w:highlight w:val="none"/>
                <w:u w:val="none"/>
                <w:lang w:val="en-US" w:eastAsia="zh-CN" w:bidi="ar-SA"/>
              </w:rPr>
              <w:t>*</w:t>
            </w:r>
            <w:r>
              <w:rPr>
                <w:rFonts w:hint="eastAsia" w:ascii="仿宋_GB2312" w:hAnsi="仿宋_GB2312" w:cs="仿宋_GB2312"/>
                <w:b/>
                <w:bCs/>
                <w:color w:val="FF0000"/>
                <w:kern w:val="0"/>
                <w:sz w:val="24"/>
                <w:szCs w:val="24"/>
                <w:highlight w:val="none"/>
                <w:u w:val="none"/>
                <w:lang w:val="en-US" w:eastAsia="zh-CN" w:bidi="ar-SA"/>
              </w:rPr>
              <w:t>(3)</w:t>
            </w:r>
            <w:r>
              <w:rPr>
                <w:rFonts w:hint="eastAsia" w:ascii="Times New Roman" w:hAnsi="Times New Roman" w:eastAsia="仿宋_GB2312" w:cs="Times New Roman"/>
                <w:b/>
                <w:bCs/>
                <w:color w:val="FF0000"/>
                <w:kern w:val="0"/>
                <w:sz w:val="24"/>
                <w:szCs w:val="24"/>
                <w:highlight w:val="none"/>
                <w:u w:val="none"/>
                <w:lang w:val="en-US" w:eastAsia="zh-CN" w:bidi="ar-SA"/>
              </w:rPr>
              <w:t>综合查一次有关内容：</w:t>
            </w:r>
            <w:r>
              <w:rPr>
                <w:rFonts w:hint="eastAsia" w:ascii="Times New Roman" w:hAnsi="Times New Roman" w:cs="Times New Roman"/>
                <w:b/>
                <w:bCs/>
                <w:color w:val="FF0000"/>
                <w:kern w:val="0"/>
                <w:sz w:val="24"/>
                <w:szCs w:val="24"/>
                <w:highlight w:val="none"/>
                <w:u w:val="none"/>
                <w:lang w:val="en-US" w:eastAsia="zh-CN" w:bidi="ar-SA"/>
              </w:rPr>
              <w:t>①安全生产</w:t>
            </w:r>
            <w:r>
              <w:rPr>
                <w:rFonts w:hint="eastAsia" w:ascii="Times New Roman" w:hAnsi="Times New Roman" w:eastAsia="仿宋_GB2312" w:cs="Times New Roman"/>
                <w:b/>
                <w:bCs/>
                <w:color w:val="FF0000"/>
                <w:kern w:val="0"/>
                <w:sz w:val="24"/>
                <w:szCs w:val="24"/>
                <w:highlight w:val="none"/>
                <w:u w:val="none"/>
                <w:lang w:val="en-US" w:eastAsia="zh-CN" w:bidi="ar-SA"/>
              </w:rPr>
              <w:t>许可情况；</w:t>
            </w:r>
            <w:r>
              <w:rPr>
                <w:rFonts w:hint="eastAsia" w:ascii="Times New Roman" w:hAnsi="Times New Roman" w:cs="Times New Roman"/>
                <w:b/>
                <w:bCs/>
                <w:color w:val="FF0000"/>
                <w:kern w:val="0"/>
                <w:sz w:val="24"/>
                <w:szCs w:val="24"/>
                <w:highlight w:val="none"/>
                <w:u w:val="none"/>
                <w:lang w:val="en-US" w:eastAsia="zh-CN" w:bidi="ar-SA"/>
              </w:rPr>
              <w:t>②</w:t>
            </w:r>
            <w:r>
              <w:rPr>
                <w:rFonts w:hint="eastAsia" w:ascii="Times New Roman" w:hAnsi="Times New Roman" w:eastAsia="仿宋_GB2312" w:cs="Times New Roman"/>
                <w:b/>
                <w:bCs/>
                <w:color w:val="FF0000"/>
                <w:kern w:val="0"/>
                <w:sz w:val="24"/>
                <w:szCs w:val="24"/>
                <w:highlight w:val="none"/>
                <w:u w:val="none"/>
                <w:lang w:val="en-US" w:eastAsia="zh-CN" w:bidi="ar-SA"/>
              </w:rPr>
              <w:t>基本图纸及与实际符合情况；</w:t>
            </w:r>
            <w:r>
              <w:rPr>
                <w:rFonts w:hint="eastAsia" w:ascii="Times New Roman" w:hAnsi="Times New Roman" w:cs="Times New Roman"/>
                <w:b/>
                <w:bCs/>
                <w:color w:val="FF0000"/>
                <w:kern w:val="0"/>
                <w:sz w:val="24"/>
                <w:szCs w:val="24"/>
                <w:highlight w:val="none"/>
                <w:u w:val="none"/>
                <w:lang w:val="en-US" w:eastAsia="zh-CN" w:bidi="ar-SA"/>
              </w:rPr>
              <w:t>③</w:t>
            </w:r>
            <w:r>
              <w:rPr>
                <w:rFonts w:hint="eastAsia" w:ascii="Times New Roman" w:hAnsi="Times New Roman" w:eastAsia="仿宋_GB2312" w:cs="Times New Roman"/>
                <w:b/>
                <w:bCs/>
                <w:color w:val="FF0000"/>
                <w:kern w:val="0"/>
                <w:sz w:val="24"/>
                <w:szCs w:val="24"/>
                <w:highlight w:val="none"/>
                <w:u w:val="none"/>
                <w:lang w:val="en-US" w:eastAsia="zh-CN" w:bidi="ar-SA"/>
              </w:rPr>
              <w:t>开采方式情况；</w:t>
            </w:r>
            <w:r>
              <w:rPr>
                <w:rFonts w:hint="eastAsia" w:ascii="Times New Roman" w:hAnsi="Times New Roman" w:cs="Times New Roman"/>
                <w:b/>
                <w:bCs/>
                <w:color w:val="FF0000"/>
                <w:kern w:val="0"/>
                <w:sz w:val="24"/>
                <w:szCs w:val="24"/>
                <w:highlight w:val="none"/>
                <w:u w:val="none"/>
                <w:lang w:val="en-US" w:eastAsia="zh-CN" w:bidi="ar-SA"/>
              </w:rPr>
              <w:t>④</w:t>
            </w:r>
            <w:r>
              <w:rPr>
                <w:rFonts w:hint="eastAsia" w:ascii="Times New Roman" w:hAnsi="Times New Roman" w:eastAsia="仿宋_GB2312" w:cs="Times New Roman"/>
                <w:b/>
                <w:bCs/>
                <w:color w:val="FF0000"/>
                <w:kern w:val="0"/>
                <w:sz w:val="24"/>
                <w:szCs w:val="24"/>
                <w:highlight w:val="none"/>
                <w:u w:val="none"/>
                <w:lang w:val="en-US" w:eastAsia="zh-CN" w:bidi="ar-SA"/>
              </w:rPr>
              <w:t>采掘作业管理情况；</w:t>
            </w:r>
            <w:r>
              <w:rPr>
                <w:rFonts w:hint="eastAsia" w:ascii="Times New Roman" w:hAnsi="Times New Roman" w:cs="Times New Roman"/>
                <w:b/>
                <w:bCs/>
                <w:color w:val="FF0000"/>
                <w:kern w:val="0"/>
                <w:sz w:val="24"/>
                <w:szCs w:val="24"/>
                <w:highlight w:val="none"/>
                <w:u w:val="none"/>
                <w:lang w:val="en-US" w:eastAsia="zh-CN" w:bidi="ar-SA"/>
              </w:rPr>
              <w:t>⑤</w:t>
            </w:r>
            <w:r>
              <w:rPr>
                <w:rFonts w:hint="eastAsia" w:ascii="Times New Roman" w:hAnsi="Times New Roman" w:eastAsia="仿宋_GB2312" w:cs="Times New Roman"/>
                <w:b/>
                <w:bCs/>
                <w:color w:val="FF0000"/>
                <w:kern w:val="0"/>
                <w:sz w:val="24"/>
                <w:szCs w:val="24"/>
                <w:highlight w:val="none"/>
                <w:u w:val="none"/>
                <w:lang w:val="en-US" w:eastAsia="zh-CN" w:bidi="ar-SA"/>
              </w:rPr>
              <w:t>运输系统；</w:t>
            </w:r>
            <w:r>
              <w:rPr>
                <w:rFonts w:hint="eastAsia" w:ascii="Times New Roman" w:hAnsi="Times New Roman" w:cs="Times New Roman"/>
                <w:b/>
                <w:bCs/>
                <w:color w:val="FF0000"/>
                <w:kern w:val="0"/>
                <w:sz w:val="24"/>
                <w:szCs w:val="24"/>
                <w:highlight w:val="none"/>
                <w:u w:val="none"/>
                <w:lang w:val="en-US" w:eastAsia="zh-CN" w:bidi="ar-SA"/>
              </w:rPr>
              <w:t>⑥</w:t>
            </w:r>
            <w:r>
              <w:rPr>
                <w:rFonts w:hint="eastAsia" w:ascii="Times New Roman" w:hAnsi="Times New Roman" w:eastAsia="仿宋_GB2312" w:cs="Times New Roman"/>
                <w:b/>
                <w:bCs/>
                <w:color w:val="FF0000"/>
                <w:kern w:val="0"/>
                <w:sz w:val="24"/>
                <w:szCs w:val="24"/>
                <w:highlight w:val="none"/>
                <w:u w:val="none"/>
                <w:lang w:val="en-US" w:eastAsia="zh-CN" w:bidi="ar-SA"/>
              </w:rPr>
              <w:t>边坡现场管理情况；</w:t>
            </w:r>
            <w:r>
              <w:rPr>
                <w:rFonts w:hint="eastAsia" w:ascii="Times New Roman" w:hAnsi="Times New Roman" w:cs="Times New Roman"/>
                <w:b/>
                <w:bCs/>
                <w:color w:val="FF0000"/>
                <w:kern w:val="0"/>
                <w:sz w:val="24"/>
                <w:szCs w:val="24"/>
                <w:highlight w:val="none"/>
                <w:u w:val="none"/>
                <w:lang w:val="en-US" w:eastAsia="zh-CN" w:bidi="ar-SA"/>
              </w:rPr>
              <w:t>⑦</w:t>
            </w:r>
            <w:r>
              <w:rPr>
                <w:rFonts w:hint="eastAsia" w:ascii="Times New Roman" w:hAnsi="Times New Roman" w:eastAsia="仿宋_GB2312" w:cs="Times New Roman"/>
                <w:b/>
                <w:bCs/>
                <w:color w:val="FF0000"/>
                <w:kern w:val="0"/>
                <w:sz w:val="24"/>
                <w:szCs w:val="24"/>
                <w:highlight w:val="none"/>
                <w:u w:val="none"/>
                <w:lang w:val="en-US" w:eastAsia="zh-CN" w:bidi="ar-SA"/>
              </w:rPr>
              <w:t>排土场安全管理</w:t>
            </w:r>
          </w:p>
          <w:p>
            <w:pPr>
              <w:keepNext w:val="0"/>
              <w:keepLines w:val="0"/>
              <w:pageBreakBefore w:val="0"/>
              <w:widowControl w:val="0"/>
              <w:numPr>
                <w:ilvl w:val="0"/>
                <w:numId w:val="0"/>
              </w:numPr>
              <w:kinsoku/>
              <w:wordWrap/>
              <w:overflowPunct/>
              <w:topLinePunct w:val="0"/>
              <w:autoSpaceDE/>
              <w:autoSpaceDN/>
              <w:bidi w:val="0"/>
              <w:spacing w:after="0" w:line="300" w:lineRule="atLeast"/>
              <w:ind w:left="436" w:leftChars="0" w:hanging="436" w:hangingChars="182"/>
              <w:jc w:val="both"/>
              <w:textAlignment w:val="auto"/>
              <w:rPr>
                <w:rFonts w:hint="default"/>
                <w:lang w:val="en-US" w:eastAsia="zh-CN"/>
              </w:rPr>
            </w:pPr>
            <w:r>
              <w:rPr>
                <w:rFonts w:hint="default" w:ascii="Times New Roman" w:hAnsi="Times New Roman" w:eastAsia="仿宋_GB2312" w:cs="Times New Roman"/>
                <w:b w:val="0"/>
                <w:bCs w:val="0"/>
                <w:color w:val="auto"/>
                <w:sz w:val="24"/>
                <w:szCs w:val="24"/>
                <w:highlight w:val="none"/>
                <w:u w:val="none"/>
                <w:lang w:val="en-US" w:eastAsia="zh-CN" w:bidi="ar-SA"/>
              </w:rPr>
              <w:t>(</w:t>
            </w:r>
            <w:r>
              <w:rPr>
                <w:rFonts w:hint="eastAsia" w:ascii="Times New Roman" w:hAnsi="Times New Roman" w:eastAsia="仿宋_GB2312" w:cs="Times New Roman"/>
                <w:b w:val="0"/>
                <w:bCs w:val="0"/>
                <w:color w:val="auto"/>
                <w:sz w:val="24"/>
                <w:szCs w:val="24"/>
                <w:highlight w:val="none"/>
                <w:u w:val="none"/>
                <w:lang w:val="en-US" w:eastAsia="zh-CN" w:bidi="ar-SA"/>
              </w:rPr>
              <w:t>4</w:t>
            </w:r>
            <w:r>
              <w:rPr>
                <w:rFonts w:hint="default" w:ascii="Times New Roman" w:hAnsi="Times New Roman" w:eastAsia="仿宋_GB2312" w:cs="Times New Roman"/>
                <w:b w:val="0"/>
                <w:bCs w:val="0"/>
                <w:color w:val="auto"/>
                <w:sz w:val="24"/>
                <w:szCs w:val="24"/>
                <w:highlight w:val="none"/>
                <w:u w:val="none"/>
                <w:lang w:val="en-US" w:eastAsia="zh-CN" w:bidi="ar-SA"/>
              </w:rPr>
              <w:t>)是否建立健全生产安全事故隐患排查治理制度，</w:t>
            </w:r>
            <w:r>
              <w:rPr>
                <w:rFonts w:hint="eastAsia" w:ascii="Times New Roman" w:hAnsi="Times New Roman" w:eastAsia="仿宋_GB2312" w:cs="Times New Roman"/>
                <w:b w:val="0"/>
                <w:bCs w:val="0"/>
                <w:color w:val="auto"/>
                <w:sz w:val="24"/>
                <w:szCs w:val="24"/>
                <w:highlight w:val="none"/>
                <w:u w:val="none"/>
                <w:lang w:val="en-US" w:eastAsia="zh-CN" w:bidi="ar-SA"/>
              </w:rPr>
              <w:t>是否建立安全生产事故隐患举报奖励制度，</w:t>
            </w:r>
            <w:r>
              <w:rPr>
                <w:rFonts w:hint="default" w:ascii="Times New Roman" w:hAnsi="Times New Roman" w:eastAsia="仿宋_GB2312" w:cs="Times New Roman"/>
                <w:b w:val="0"/>
                <w:bCs w:val="0"/>
                <w:color w:val="auto"/>
                <w:sz w:val="24"/>
                <w:szCs w:val="24"/>
                <w:highlight w:val="none"/>
                <w:u w:val="none"/>
                <w:lang w:val="en-US" w:eastAsia="zh-CN" w:bidi="ar-SA"/>
              </w:rPr>
              <w:t>及时发现并消除事故隐患，并向从业人员通报；</w:t>
            </w:r>
          </w:p>
          <w:p>
            <w:pPr>
              <w:keepNext w:val="0"/>
              <w:keepLines w:val="0"/>
              <w:pageBreakBefore w:val="0"/>
              <w:widowControl w:val="0"/>
              <w:numPr>
                <w:ilvl w:val="0"/>
                <w:numId w:val="0"/>
              </w:numPr>
              <w:kinsoku/>
              <w:wordWrap/>
              <w:overflowPunct/>
              <w:topLinePunct w:val="0"/>
              <w:autoSpaceDE/>
              <w:autoSpaceDN/>
              <w:bidi w:val="0"/>
              <w:spacing w:after="0" w:line="300" w:lineRule="atLeast"/>
              <w:ind w:left="436" w:leftChars="0" w:hanging="436" w:hangingChars="182"/>
              <w:jc w:val="both"/>
              <w:textAlignment w:val="auto"/>
              <w:rPr>
                <w:rFonts w:hint="default" w:ascii="仿宋_GB2312" w:hAnsi="仿宋_GB2312" w:eastAsia="仿宋_GB2312" w:cs="仿宋_GB2312"/>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kern w:val="2"/>
                <w:sz w:val="24"/>
                <w:szCs w:val="24"/>
                <w:highlight w:val="none"/>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highlight w:val="none"/>
                <w:u w:val="none"/>
                <w:lang w:val="en-US" w:eastAsia="zh-CN" w:bidi="ar-SA"/>
                <w14:textFill>
                  <w14:solidFill>
                    <w14:schemeClr w14:val="tx1"/>
                  </w14:solidFill>
                </w14:textFill>
              </w:rPr>
              <w:t>5</w:t>
            </w:r>
            <w:r>
              <w:rPr>
                <w:rFonts w:hint="default" w:ascii="Times New Roman" w:hAnsi="Times New Roman" w:eastAsia="仿宋_GB2312" w:cs="Times New Roman"/>
                <w:color w:val="000000" w:themeColor="text1"/>
                <w:kern w:val="2"/>
                <w:sz w:val="24"/>
                <w:szCs w:val="24"/>
                <w:highlight w:val="none"/>
                <w:u w:val="none"/>
                <w:lang w:val="en-US" w:eastAsia="zh-CN" w:bidi="ar-SA"/>
                <w14:textFill>
                  <w14:solidFill>
                    <w14:schemeClr w14:val="tx1"/>
                  </w14:solidFill>
                </w14:textFill>
              </w:rPr>
              <w:t>)</w:t>
            </w:r>
            <w:r>
              <w:rPr>
                <w:rFonts w:hint="default" w:ascii="Times New Roman" w:hAnsi="Times New Roman" w:eastAsia="仿宋_GB2312" w:cs="Times New Roman"/>
                <w:b w:val="0"/>
                <w:bCs w:val="0"/>
                <w:color w:val="auto"/>
                <w:sz w:val="24"/>
                <w:szCs w:val="24"/>
                <w:highlight w:val="none"/>
                <w:u w:val="none"/>
                <w:lang w:val="en-US" w:eastAsia="zh-CN" w:bidi="ar-SA"/>
              </w:rPr>
              <w:t>是否教育和督促从业人员严格执行本单位的安全生产规章制度、操作规程，并向从业人员如实告知作业场所和工作岗位存在的危险因素、防范措施以及事故应急措施；</w:t>
            </w:r>
            <w:r>
              <w:rPr>
                <w:rFonts w:hint="eastAsia" w:ascii="仿宋_GB2312" w:hAnsi="仿宋_GB2312" w:eastAsia="仿宋_GB2312" w:cs="仿宋_GB2312"/>
                <w:sz w:val="24"/>
                <w:szCs w:val="24"/>
                <w:highlight w:val="none"/>
                <w:lang w:val="en-US" w:eastAsia="zh-CN"/>
              </w:rPr>
              <w:t>是否</w:t>
            </w:r>
            <w:r>
              <w:rPr>
                <w:rFonts w:hint="eastAsia" w:ascii="仿宋_GB2312" w:hAnsi="仿宋_GB2312" w:eastAsia="仿宋_GB2312" w:cs="仿宋_GB2312"/>
                <w:sz w:val="24"/>
                <w:szCs w:val="24"/>
                <w:highlight w:val="none"/>
              </w:rPr>
              <w:t>如实记录安全生产教育和培训情况</w:t>
            </w:r>
            <w:r>
              <w:rPr>
                <w:rFonts w:hint="eastAsia" w:ascii="仿宋_GB2312" w:hAnsi="仿宋_GB2312" w:eastAsia="仿宋_GB2312" w:cs="仿宋_GB2312"/>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auto"/>
                <w:sz w:val="24"/>
                <w:szCs w:val="24"/>
                <w:highlight w:val="none"/>
                <w:u w:val="none"/>
                <w:lang w:val="en-US" w:eastAsia="zh-CN" w:bidi="ar-SA"/>
              </w:rPr>
              <w:t>是否</w:t>
            </w:r>
            <w:r>
              <w:rPr>
                <w:rFonts w:hint="default" w:ascii="Times New Roman" w:hAnsi="Times New Roman" w:eastAsia="仿宋_GB2312" w:cs="Times New Roman"/>
                <w:b w:val="0"/>
                <w:bCs w:val="0"/>
                <w:color w:val="auto"/>
                <w:sz w:val="24"/>
                <w:szCs w:val="24"/>
                <w:highlight w:val="none"/>
                <w:u w:val="none"/>
                <w:lang w:val="en-US" w:eastAsia="zh-CN" w:bidi="ar-SA"/>
              </w:rPr>
              <w:t>按规定设置安全生产管理机构或者配备安全生产管理人员、注册安全工程师；</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7</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在有较大危险因素的生产经营场所和有关设施、设备上，设置安全警示标志；</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u w:val="none"/>
                <w:lang w:val="en-US" w:eastAsia="zh-CN" w:bidi="ar-SA"/>
                <w14:textFill>
                  <w14:solidFill>
                    <w14:schemeClr w14:val="tx1"/>
                  </w14:solidFill>
                </w14:textFill>
              </w:rPr>
              <w:t>8</w:t>
            </w: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对安全设备防护设施</w:t>
            </w:r>
            <w:r>
              <w:rPr>
                <w:rFonts w:hint="default" w:ascii="Times New Roman" w:hAnsi="Times New Roman" w:eastAsia="仿宋_GB2312" w:cs="Times New Roman"/>
                <w:color w:val="auto"/>
                <w:sz w:val="24"/>
                <w:szCs w:val="24"/>
                <w:u w:val="none"/>
                <w:lang w:eastAsia="zh-CN"/>
              </w:rPr>
              <w:t>进行</w:t>
            </w:r>
            <w:r>
              <w:rPr>
                <w:rFonts w:hint="default" w:ascii="Times New Roman" w:hAnsi="Times New Roman" w:eastAsia="仿宋_GB2312" w:cs="Times New Roman"/>
                <w:color w:val="auto"/>
                <w:sz w:val="24"/>
                <w:szCs w:val="24"/>
                <w:u w:val="none"/>
              </w:rPr>
              <w:t>维护、保养、定期检测；</w:t>
            </w:r>
          </w:p>
          <w:p>
            <w:pPr>
              <w:keepNext w:val="0"/>
              <w:keepLines w:val="0"/>
              <w:pageBreakBefore w:val="0"/>
              <w:widowControl w:val="0"/>
              <w:numPr>
                <w:ilvl w:val="0"/>
                <w:numId w:val="0"/>
              </w:numPr>
              <w:kinsoku/>
              <w:wordWrap/>
              <w:overflowPunct/>
              <w:topLinePunct w:val="0"/>
              <w:autoSpaceDE/>
              <w:autoSpaceDN/>
              <w:bidi w:val="0"/>
              <w:spacing w:after="0" w:line="300" w:lineRule="atLeast"/>
              <w:ind w:left="439" w:leftChars="0" w:hanging="439" w:hangingChars="183"/>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为从业人员提供符合国家标准或者行业标准的劳动防护用品，并监督</w:t>
            </w:r>
            <w:bookmarkStart w:id="0" w:name="_GoBack"/>
            <w:bookmarkEnd w:id="0"/>
            <w:r>
              <w:rPr>
                <w:rFonts w:hint="default" w:ascii="Times New Roman" w:hAnsi="Times New Roman" w:eastAsia="仿宋_GB2312" w:cs="Times New Roman"/>
                <w:color w:val="auto"/>
                <w:sz w:val="24"/>
                <w:szCs w:val="24"/>
                <w:u w:val="none"/>
              </w:rPr>
              <w:t>、教育从业人员按照使用规则正确佩戴和使用；</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10</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是否建立安全风险分级管控制度，按安全风险分级采取相应的管控措施；</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eastAsia"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11</w:t>
            </w:r>
            <w:r>
              <w:rPr>
                <w:rFonts w:hint="eastAsia" w:ascii="仿宋_GB2312" w:hAnsi="仿宋_GB2312" w:eastAsia="仿宋_GB2312" w:cs="仿宋_GB2312"/>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color w:val="auto"/>
                <w:sz w:val="24"/>
                <w:szCs w:val="24"/>
                <w:u w:val="none"/>
                <w:lang w:val="en-US" w:eastAsia="zh-CN"/>
              </w:rPr>
              <w:t>是否</w:t>
            </w:r>
            <w:r>
              <w:rPr>
                <w:rFonts w:hint="eastAsia" w:ascii="仿宋_GB2312" w:hAnsi="仿宋_GB2312" w:eastAsia="仿宋_GB2312" w:cs="仿宋_GB2312"/>
                <w:color w:val="auto"/>
                <w:sz w:val="24"/>
                <w:szCs w:val="24"/>
                <w:u w:val="none"/>
                <w:lang w:eastAsia="zh-CN"/>
              </w:rPr>
              <w:t>按照《</w:t>
            </w:r>
            <w:r>
              <w:rPr>
                <w:rFonts w:hint="eastAsia" w:ascii="仿宋_GB2312" w:hAnsi="仿宋_GB2312" w:eastAsia="仿宋_GB2312" w:cs="仿宋_GB2312"/>
                <w:sz w:val="24"/>
                <w:szCs w:val="24"/>
              </w:rPr>
              <w:t>福建省安全生产条例</w:t>
            </w:r>
            <w:r>
              <w:rPr>
                <w:rFonts w:hint="eastAsia" w:ascii="仿宋_GB2312" w:hAnsi="仿宋_GB2312" w:eastAsia="仿宋_GB2312" w:cs="仿宋_GB2312"/>
                <w:color w:val="auto"/>
                <w:sz w:val="24"/>
                <w:szCs w:val="24"/>
                <w:u w:val="none"/>
                <w:lang w:eastAsia="zh-CN"/>
              </w:rPr>
              <w:t>》第二十三条</w:t>
            </w:r>
            <w:r>
              <w:rPr>
                <w:rFonts w:hint="eastAsia" w:ascii="仿宋_GB2312" w:hAnsi="仿宋_GB2312" w:eastAsia="仿宋_GB2312" w:cs="仿宋_GB2312"/>
                <w:color w:val="auto"/>
                <w:sz w:val="24"/>
                <w:szCs w:val="24"/>
                <w:u w:val="none"/>
                <w:lang w:val="en-US" w:eastAsia="zh-CN"/>
              </w:rPr>
              <w:t>和第二十三条</w:t>
            </w:r>
            <w:r>
              <w:rPr>
                <w:rFonts w:hint="eastAsia" w:ascii="仿宋_GB2312" w:hAnsi="仿宋_GB2312" w:eastAsia="仿宋_GB2312" w:cs="仿宋_GB2312"/>
                <w:color w:val="auto"/>
                <w:sz w:val="24"/>
                <w:szCs w:val="24"/>
                <w:u w:val="none"/>
                <w:lang w:eastAsia="zh-CN"/>
              </w:rPr>
              <w:t>规定采取</w:t>
            </w:r>
            <w:r>
              <w:rPr>
                <w:rFonts w:hint="eastAsia" w:ascii="仿宋_GB2312" w:hAnsi="仿宋_GB2312" w:eastAsia="仿宋_GB2312" w:cs="仿宋_GB2312"/>
                <w:color w:val="auto"/>
                <w:sz w:val="24"/>
                <w:szCs w:val="24"/>
                <w:u w:val="none"/>
                <w:lang w:val="en-US" w:eastAsia="zh-CN"/>
              </w:rPr>
              <w:t>相应</w:t>
            </w:r>
            <w:r>
              <w:rPr>
                <w:rFonts w:hint="eastAsia" w:ascii="仿宋_GB2312" w:hAnsi="仿宋_GB2312" w:eastAsia="仿宋_GB2312" w:cs="仿宋_GB2312"/>
                <w:color w:val="auto"/>
                <w:sz w:val="24"/>
                <w:szCs w:val="24"/>
                <w:u w:val="none"/>
                <w:lang w:eastAsia="zh-CN"/>
              </w:rPr>
              <w:t>安全防范措施</w:t>
            </w:r>
            <w:r>
              <w:rPr>
                <w:rFonts w:hint="eastAsia" w:ascii="仿宋_GB2312" w:hAnsi="仿宋_GB2312" w:eastAsia="仿宋_GB2312" w:cs="仿宋_GB2312"/>
                <w:color w:val="auto"/>
                <w:sz w:val="24"/>
                <w:szCs w:val="24"/>
                <w:u w:val="none"/>
                <w:lang w:val="en-US" w:eastAsia="zh-CN"/>
              </w:rPr>
              <w:t>；</w:t>
            </w:r>
          </w:p>
          <w:p>
            <w:pPr>
              <w:pStyle w:val="2"/>
              <w:ind w:left="480" w:leftChars="0" w:hanging="480" w:hangingChars="200"/>
              <w:rPr>
                <w:rFonts w:hint="default" w:ascii="仿宋_GB2312" w:hAnsi="仿宋_GB2312" w:eastAsia="仿宋_GB2312" w:cs="仿宋_GB2312"/>
                <w:sz w:val="24"/>
                <w:szCs w:val="24"/>
                <w:lang w:val="en-US" w:eastAsia="zh-CN"/>
              </w:rPr>
            </w:pPr>
            <w:r>
              <w:rPr>
                <w:rFonts w:hint="eastAsia" w:ascii="Times New Roman" w:hAnsi="Times New Roman" w:cs="Times New Roman"/>
                <w:sz w:val="24"/>
                <w:szCs w:val="24"/>
                <w:lang w:val="en-US" w:eastAsia="zh-CN"/>
              </w:rPr>
              <w:t>(12)</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将事故隐患排查治理情况如实记录或者</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向从业人员通报</w:t>
            </w:r>
            <w:r>
              <w:rPr>
                <w:rFonts w:hint="eastAsia" w:ascii="仿宋_GB2312" w:hAnsi="仿宋_GB2312" w:cs="仿宋_GB231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b w:val="0"/>
                <w:bCs w:val="0"/>
                <w:color w:val="auto"/>
                <w:sz w:val="24"/>
                <w:szCs w:val="24"/>
                <w:highlight w:val="none"/>
                <w:u w:val="none"/>
                <w:lang w:val="en-US" w:eastAsia="zh-CN" w:bidi="ar-SA"/>
              </w:rPr>
              <w:t>(1</w:t>
            </w:r>
            <w:r>
              <w:rPr>
                <w:rFonts w:hint="eastAsia" w:ascii="Times New Roman" w:hAnsi="Times New Roman" w:eastAsia="仿宋_GB2312" w:cs="Times New Roman"/>
                <w:b w:val="0"/>
                <w:bCs w:val="0"/>
                <w:color w:val="auto"/>
                <w:sz w:val="24"/>
                <w:szCs w:val="24"/>
                <w:highlight w:val="none"/>
                <w:u w:val="none"/>
                <w:lang w:val="en-US" w:eastAsia="zh-CN" w:bidi="ar-SA"/>
              </w:rPr>
              <w:t>3</w:t>
            </w:r>
            <w:r>
              <w:rPr>
                <w:rFonts w:hint="default" w:ascii="Times New Roman" w:hAnsi="Times New Roman" w:eastAsia="仿宋_GB2312" w:cs="Times New Roman"/>
                <w:b w:val="0"/>
                <w:bCs w:val="0"/>
                <w:color w:val="auto"/>
                <w:sz w:val="24"/>
                <w:szCs w:val="24"/>
                <w:highlight w:val="none"/>
                <w:u w:val="none"/>
                <w:lang w:val="en-US" w:eastAsia="zh-CN" w:bidi="ar-SA"/>
              </w:rPr>
              <w:t>)是否按照《企业安全生产费用提取和使用管理办法》（财资〔2022〕136号）要求，建立安全生产费用提取和使用管理制度，规范提取和使用安全生产费用，并建立使用台账；</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14</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是否依法落实建设项目安全设施“三同时”要求（</w:t>
            </w:r>
            <w:r>
              <w:rPr>
                <w:rFonts w:hint="default" w:ascii="Times New Roman" w:hAnsi="Times New Roman" w:eastAsia="仿宋_GB2312" w:cs="Times New Roman"/>
                <w:color w:val="auto"/>
                <w:sz w:val="24"/>
                <w:szCs w:val="24"/>
                <w:u w:val="none"/>
                <w:lang w:eastAsia="zh-CN"/>
              </w:rPr>
              <w:t>新建、改建、扩建工程项目的安全设施、防护设施与主体工程同时设计、同时施工、同时投入生产和使用）以及按规定进行预评价、设计和竣工验收；</w:t>
            </w:r>
          </w:p>
          <w:p>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5</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sz w:val="24"/>
                <w:szCs w:val="24"/>
              </w:rPr>
              <w:t>生产经营单位</w:t>
            </w:r>
            <w:r>
              <w:rPr>
                <w:rFonts w:hint="eastAsia" w:ascii="仿宋_GB2312" w:hAnsi="仿宋_GB2312" w:eastAsia="仿宋_GB2312" w:cs="仿宋_GB2312"/>
                <w:kern w:val="0"/>
                <w:sz w:val="24"/>
                <w:szCs w:val="24"/>
              </w:rPr>
              <w:t>进行爆破、吊装、动火、临时用电以及国务院应急管理部门会同国务院有关部门规定的其他危险作业，</w:t>
            </w:r>
            <w:r>
              <w:rPr>
                <w:rFonts w:hint="eastAsia" w:ascii="仿宋_GB2312" w:hAnsi="仿宋_GB2312" w:eastAsia="仿宋_GB2312" w:cs="仿宋_GB2312"/>
                <w:kern w:val="0"/>
                <w:sz w:val="24"/>
                <w:szCs w:val="24"/>
                <w:lang w:val="en-US" w:eastAsia="zh-CN"/>
              </w:rPr>
              <w:t>是否</w:t>
            </w:r>
            <w:r>
              <w:rPr>
                <w:rFonts w:hint="eastAsia" w:ascii="仿宋_GB2312" w:hAnsi="仿宋_GB2312" w:eastAsia="仿宋_GB2312" w:cs="仿宋_GB2312"/>
                <w:kern w:val="0"/>
                <w:sz w:val="24"/>
                <w:szCs w:val="24"/>
              </w:rPr>
              <w:t>安排专门人员进行现场安全管理</w:t>
            </w:r>
            <w:r>
              <w:rPr>
                <w:rFonts w:hint="eastAsia" w:ascii="仿宋_GB2312" w:hAnsi="仿宋_GB2312" w:eastAsia="仿宋_GB2312" w:cs="仿宋_GB2312"/>
                <w:kern w:val="0"/>
                <w:sz w:val="24"/>
                <w:szCs w:val="24"/>
                <w:lang w:val="en-US" w:eastAsia="zh-CN"/>
              </w:rPr>
              <w:t>；</w:t>
            </w:r>
          </w:p>
          <w:p>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kern w:val="0"/>
                <w:sz w:val="24"/>
                <w:szCs w:val="24"/>
                <w:lang w:val="en-US" w:eastAsia="zh-CN"/>
              </w:rPr>
              <w:t>生产经营场所和员工宿舍是否设有符合紧急疏散需要、标志明显、保持畅通的出口，或者是否存在占用、锁闭、封堵生产经营场所或者员工宿舍出口、疏散通道情况；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7</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危险物品的生产、经营、储存单位是否建立应急救援组织或者兼职救援队伍、签订应急救援协议，以及应急救援器材、设备和物资的配备、维护、保养的情况；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40" w:leftChars="0" w:hanging="440" w:hangingChars="200"/>
              <w:jc w:val="both"/>
              <w:textAlignment w:val="auto"/>
              <w:rPr>
                <w:rFonts w:hint="default" w:ascii="Times New Roman" w:hAnsi="Times New Roman" w:cs="Times New Roman"/>
                <w:color w:val="auto"/>
                <w:u w:val="none"/>
                <w:lang w:val="en-US" w:eastAsia="zh-CN"/>
              </w:rPr>
            </w:pP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eastAsia" w:ascii="Times New Roman" w:hAnsi="Times New Roman" w:cs="Times New Roman"/>
                <w:color w:val="000000" w:themeColor="text1"/>
                <w:sz w:val="22"/>
                <w:szCs w:val="22"/>
                <w:u w:val="none"/>
                <w:lang w:val="en-US" w:eastAsia="zh-CN" w:bidi="ar-SA"/>
                <w14:textFill>
                  <w14:solidFill>
                    <w14:schemeClr w14:val="tx1"/>
                  </w14:solidFill>
                </w14:textFill>
              </w:rPr>
              <w:t>18</w:t>
            </w: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国家规定的高危行业、领域的生产经营单位是否投保安全生产责任保险；</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按规定制定生产安全事故应急救援预案或者</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定期组织演练</w:t>
            </w:r>
            <w:r>
              <w:rPr>
                <w:rFonts w:hint="default" w:ascii="Times New Roman" w:hAnsi="Times New Roman" w:eastAsia="仿宋_GB2312" w:cs="Times New Roman"/>
                <w:color w:val="auto"/>
                <w:sz w:val="24"/>
                <w:szCs w:val="24"/>
                <w:u w:val="none"/>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20</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企业</w:t>
            </w:r>
            <w:r>
              <w:rPr>
                <w:rFonts w:hint="default" w:ascii="Times New Roman" w:hAnsi="Times New Roman" w:eastAsia="仿宋_GB2312" w:cs="Times New Roman"/>
                <w:color w:val="auto"/>
                <w:sz w:val="24"/>
                <w:szCs w:val="24"/>
                <w:u w:val="none"/>
              </w:rPr>
              <w:t>安全生产标准化建设推进情况；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21</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根据《</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福建省应急管理系统综合行政执法事项指导目录（2024年版）</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》和本局2025年度安全生产监督检查计划，</w:t>
            </w:r>
            <w:r>
              <w:rPr>
                <w:rFonts w:hint="default" w:ascii="Times New Roman" w:hAnsi="Times New Roman" w:eastAsia="仿宋_GB2312" w:cs="Times New Roman"/>
                <w:color w:val="auto"/>
                <w:sz w:val="24"/>
                <w:szCs w:val="24"/>
                <w:u w:val="none"/>
              </w:rPr>
              <w:t>依法应当监督检查的其他情况。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检查方式</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bCs/>
                <w:color w:val="000000"/>
                <w:sz w:val="28"/>
                <w:szCs w:val="28"/>
              </w:rPr>
            </w:pPr>
            <w:r>
              <w:rPr>
                <w:rFonts w:hint="default" w:ascii="Times New Roman" w:hAnsi="Times New Roman" w:eastAsia="仿宋_GB2312" w:cs="Times New Roman"/>
                <w:sz w:val="24"/>
                <w:szCs w:val="24"/>
              </w:rPr>
              <w:t>联合属地乡镇政府人员，邀请专家随行</w:t>
            </w:r>
            <w:r>
              <w:rPr>
                <w:rFonts w:hint="default" w:ascii="Times New Roman" w:hAnsi="Times New Roman" w:eastAsia="仿宋_GB2312" w:cs="Times New Roman"/>
                <w:sz w:val="24"/>
                <w:szCs w:val="24"/>
                <w:lang w:eastAsia="zh-CN"/>
              </w:rPr>
              <w:t>协助</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向企业有关人员了解，对企业台账记录和生产现场抽样检查。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审核意见</w:t>
            </w:r>
          </w:p>
        </w:tc>
        <w:tc>
          <w:tcPr>
            <w:tcW w:w="6907" w:type="dxa"/>
            <w:gridSpan w:val="3"/>
            <w:tcBorders>
              <w:top w:val="single" w:color="auto" w:sz="4" w:space="0"/>
              <w:left w:val="single" w:color="auto" w:sz="4" w:space="0"/>
              <w:bottom w:val="single" w:color="auto" w:sz="4" w:space="0"/>
              <w:right w:val="single" w:color="auto" w:sz="4" w:space="0"/>
            </w:tcBorders>
          </w:tcPr>
          <w:p>
            <w:pPr>
              <w:spacing w:line="240" w:lineRule="exact"/>
              <w:rPr>
                <w:rFonts w:hint="default" w:ascii="Times New Roman" w:hAnsi="Times New Roman" w:cs="Times New Roman"/>
                <w:highlight w:val="yellow"/>
              </w:rPr>
            </w:pPr>
          </w:p>
          <w:p>
            <w:pPr>
              <w:spacing w:line="240" w:lineRule="exact"/>
              <w:rPr>
                <w:rFonts w:hint="default" w:ascii="Times New Roman" w:hAnsi="Times New Roman" w:cs="Times New Roman"/>
                <w:highlight w:val="yellow"/>
              </w:rPr>
            </w:pPr>
          </w:p>
          <w:p>
            <w:pPr>
              <w:pStyle w:val="2"/>
              <w:spacing w:line="240" w:lineRule="exact"/>
              <w:ind w:firstLine="420"/>
              <w:rPr>
                <w:rFonts w:hint="default" w:ascii="Times New Roman" w:hAnsi="Times New Roman" w:cs="Times New Roman"/>
              </w:rPr>
            </w:pPr>
          </w:p>
          <w:p>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审批意见</w:t>
            </w:r>
          </w:p>
        </w:tc>
        <w:tc>
          <w:tcPr>
            <w:tcW w:w="6907" w:type="dxa"/>
            <w:gridSpan w:val="3"/>
            <w:tcBorders>
              <w:top w:val="single" w:color="auto" w:sz="4" w:space="0"/>
              <w:left w:val="single" w:color="auto" w:sz="4" w:space="0"/>
              <w:bottom w:val="single" w:color="auto" w:sz="4" w:space="0"/>
              <w:right w:val="single" w:color="auto" w:sz="4" w:space="0"/>
            </w:tcBorders>
          </w:tcPr>
          <w:p>
            <w:pPr>
              <w:spacing w:line="240" w:lineRule="exact"/>
              <w:rPr>
                <w:rFonts w:hint="default" w:ascii="Times New Roman" w:hAnsi="Times New Roman" w:eastAsia="仿宋_GB2312" w:cs="Times New Roman"/>
                <w:sz w:val="24"/>
                <w:szCs w:val="24"/>
                <w:highlight w:val="yellow"/>
              </w:rPr>
            </w:pPr>
          </w:p>
          <w:p>
            <w:pPr>
              <w:spacing w:line="240" w:lineRule="exact"/>
              <w:rPr>
                <w:rFonts w:hint="default" w:ascii="Times New Roman" w:hAnsi="Times New Roman" w:eastAsia="仿宋_GB2312" w:cs="Times New Roman"/>
                <w:sz w:val="24"/>
                <w:szCs w:val="24"/>
                <w:highlight w:val="yellow"/>
              </w:rPr>
            </w:pPr>
          </w:p>
          <w:p>
            <w:pPr>
              <w:pStyle w:val="2"/>
              <w:spacing w:line="240" w:lineRule="exact"/>
              <w:ind w:firstLine="420"/>
              <w:rPr>
                <w:rFonts w:hint="default" w:ascii="Times New Roman" w:hAnsi="Times New Roman" w:cs="Times New Roman"/>
              </w:rPr>
            </w:pPr>
          </w:p>
          <w:p>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备注</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jc w:val="center"/>
              <w:rPr>
                <w:rFonts w:hint="default" w:ascii="Times New Roman" w:hAnsi="Times New Roman" w:eastAsia="仿宋_GB2312" w:cs="Times New Roman"/>
                <w:kern w:val="2"/>
                <w:sz w:val="24"/>
                <w:szCs w:val="24"/>
              </w:rPr>
            </w:pPr>
          </w:p>
        </w:tc>
      </w:tr>
    </w:tbl>
    <w:p>
      <w:pPr>
        <w:spacing w:line="220" w:lineRule="atLeast"/>
        <w:rPr>
          <w:rFonts w:hint="eastAsia" w:ascii="仿宋_GB2312" w:hAnsi="仿宋_GB2312" w:eastAsia="仿宋_GB2312" w:cs="仿宋_GB2312"/>
          <w:b/>
          <w:bCs/>
          <w:color w:val="FF0000"/>
          <w:lang w:eastAsia="zh-CN"/>
        </w:rPr>
      </w:pPr>
      <w:r>
        <w:rPr>
          <w:rFonts w:hint="eastAsia" w:ascii="仿宋_GB2312" w:hAnsi="仿宋_GB2312" w:eastAsia="仿宋_GB2312" w:cs="仿宋_GB2312"/>
          <w:b/>
          <w:bCs/>
          <w:color w:val="FF0000"/>
          <w:lang w:eastAsia="zh-CN"/>
        </w:rPr>
        <w:t>标红为必选检查项，其他为抽选检查项。</w:t>
      </w:r>
    </w:p>
    <w:sectPr>
      <w:pgSz w:w="11906" w:h="16838"/>
      <w:pgMar w:top="1220" w:right="1800" w:bottom="814"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altName w:val="方正书宋_GBK"/>
    <w:panose1 w:val="02010600030101010101"/>
    <w:charset w:val="02"/>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zhkYzQ1NjMxZDM1NWQ2MTVlZmUzNDRmYjcxZTcifQ=="/>
    <w:docVar w:name="KSO_WPS_MARK_KEY" w:val="bf0f7a7d-f202-4583-85f8-052f0e30e628"/>
  </w:docVars>
  <w:rsids>
    <w:rsidRoot w:val="00D31D50"/>
    <w:rsid w:val="000B64C2"/>
    <w:rsid w:val="000F5560"/>
    <w:rsid w:val="001F0D7A"/>
    <w:rsid w:val="0028209F"/>
    <w:rsid w:val="002A5ED2"/>
    <w:rsid w:val="00323B43"/>
    <w:rsid w:val="00347A1B"/>
    <w:rsid w:val="003D37D8"/>
    <w:rsid w:val="00426133"/>
    <w:rsid w:val="004358AB"/>
    <w:rsid w:val="005B1F87"/>
    <w:rsid w:val="00642D70"/>
    <w:rsid w:val="00667238"/>
    <w:rsid w:val="006F0D0B"/>
    <w:rsid w:val="008B7726"/>
    <w:rsid w:val="00AA1B6D"/>
    <w:rsid w:val="00C438FC"/>
    <w:rsid w:val="00CE04B4"/>
    <w:rsid w:val="00D16A56"/>
    <w:rsid w:val="00D31D50"/>
    <w:rsid w:val="00DE57AE"/>
    <w:rsid w:val="00DE7498"/>
    <w:rsid w:val="00F213D9"/>
    <w:rsid w:val="01D31020"/>
    <w:rsid w:val="01D76AF7"/>
    <w:rsid w:val="023D352F"/>
    <w:rsid w:val="028E6956"/>
    <w:rsid w:val="02ED4765"/>
    <w:rsid w:val="03563CB7"/>
    <w:rsid w:val="035A2595"/>
    <w:rsid w:val="03724869"/>
    <w:rsid w:val="04134CF8"/>
    <w:rsid w:val="0423528E"/>
    <w:rsid w:val="04544D62"/>
    <w:rsid w:val="053749B0"/>
    <w:rsid w:val="05574F02"/>
    <w:rsid w:val="05933245"/>
    <w:rsid w:val="05AF76AE"/>
    <w:rsid w:val="05E30B63"/>
    <w:rsid w:val="08236AD6"/>
    <w:rsid w:val="08485450"/>
    <w:rsid w:val="08AA5B90"/>
    <w:rsid w:val="08EC29C7"/>
    <w:rsid w:val="09D26E62"/>
    <w:rsid w:val="0A5F179F"/>
    <w:rsid w:val="0A7E5D29"/>
    <w:rsid w:val="0B3C7617"/>
    <w:rsid w:val="0C2A13B9"/>
    <w:rsid w:val="0C425090"/>
    <w:rsid w:val="0C60563C"/>
    <w:rsid w:val="0CD2199E"/>
    <w:rsid w:val="0D2D5EB6"/>
    <w:rsid w:val="0D514412"/>
    <w:rsid w:val="0E034445"/>
    <w:rsid w:val="0E67295E"/>
    <w:rsid w:val="0E8C473C"/>
    <w:rsid w:val="0EE73AD1"/>
    <w:rsid w:val="106D0892"/>
    <w:rsid w:val="108A7180"/>
    <w:rsid w:val="14083086"/>
    <w:rsid w:val="14693FA2"/>
    <w:rsid w:val="1493196B"/>
    <w:rsid w:val="158A3C94"/>
    <w:rsid w:val="16273291"/>
    <w:rsid w:val="177249E0"/>
    <w:rsid w:val="1807759E"/>
    <w:rsid w:val="18185587"/>
    <w:rsid w:val="189466C1"/>
    <w:rsid w:val="1912394D"/>
    <w:rsid w:val="194404DD"/>
    <w:rsid w:val="19FB2A6A"/>
    <w:rsid w:val="1A0E0CCD"/>
    <w:rsid w:val="1A1B310D"/>
    <w:rsid w:val="1A261B35"/>
    <w:rsid w:val="1A4E637C"/>
    <w:rsid w:val="1AC316EA"/>
    <w:rsid w:val="1B106CD9"/>
    <w:rsid w:val="1B9253AE"/>
    <w:rsid w:val="1C177904"/>
    <w:rsid w:val="1CA6156D"/>
    <w:rsid w:val="1CCC06EE"/>
    <w:rsid w:val="1D6F6D09"/>
    <w:rsid w:val="1DCA1E05"/>
    <w:rsid w:val="1DD03288"/>
    <w:rsid w:val="1DDC0E05"/>
    <w:rsid w:val="1DE8172A"/>
    <w:rsid w:val="1EDF0BAD"/>
    <w:rsid w:val="1F250958"/>
    <w:rsid w:val="1F813A12"/>
    <w:rsid w:val="1F9277FF"/>
    <w:rsid w:val="205E6666"/>
    <w:rsid w:val="213A1D1C"/>
    <w:rsid w:val="21857200"/>
    <w:rsid w:val="221908A8"/>
    <w:rsid w:val="22EC1AEA"/>
    <w:rsid w:val="23047BC6"/>
    <w:rsid w:val="23D13FED"/>
    <w:rsid w:val="24342AE0"/>
    <w:rsid w:val="24A952A3"/>
    <w:rsid w:val="254039B6"/>
    <w:rsid w:val="26056D25"/>
    <w:rsid w:val="26C8461C"/>
    <w:rsid w:val="274E53E9"/>
    <w:rsid w:val="278A621D"/>
    <w:rsid w:val="27DC212D"/>
    <w:rsid w:val="27F72EBA"/>
    <w:rsid w:val="29C329EE"/>
    <w:rsid w:val="2A2445CF"/>
    <w:rsid w:val="2A262DDF"/>
    <w:rsid w:val="2B9C3BC7"/>
    <w:rsid w:val="2C7A5F67"/>
    <w:rsid w:val="2D003229"/>
    <w:rsid w:val="2D275760"/>
    <w:rsid w:val="2D5633D7"/>
    <w:rsid w:val="2EC41630"/>
    <w:rsid w:val="2EC46B3C"/>
    <w:rsid w:val="2ECFBBBB"/>
    <w:rsid w:val="2EE12C15"/>
    <w:rsid w:val="2F236948"/>
    <w:rsid w:val="307A753E"/>
    <w:rsid w:val="30B21461"/>
    <w:rsid w:val="31197F4E"/>
    <w:rsid w:val="314B3E80"/>
    <w:rsid w:val="331F33D5"/>
    <w:rsid w:val="333948D8"/>
    <w:rsid w:val="351F18AB"/>
    <w:rsid w:val="35504984"/>
    <w:rsid w:val="36D546CB"/>
    <w:rsid w:val="37425EAE"/>
    <w:rsid w:val="374D05AA"/>
    <w:rsid w:val="38D64556"/>
    <w:rsid w:val="397A7743"/>
    <w:rsid w:val="39A95BE7"/>
    <w:rsid w:val="3A857723"/>
    <w:rsid w:val="3AFA54C1"/>
    <w:rsid w:val="3B1B7A63"/>
    <w:rsid w:val="3BEE2461"/>
    <w:rsid w:val="3C211DCF"/>
    <w:rsid w:val="3CAA62DF"/>
    <w:rsid w:val="3D645C0A"/>
    <w:rsid w:val="3D9F6871"/>
    <w:rsid w:val="3E094DC1"/>
    <w:rsid w:val="3EA64DEB"/>
    <w:rsid w:val="3EE856DB"/>
    <w:rsid w:val="4046528F"/>
    <w:rsid w:val="4055475C"/>
    <w:rsid w:val="40805597"/>
    <w:rsid w:val="40DD14E9"/>
    <w:rsid w:val="417D3D33"/>
    <w:rsid w:val="41917A72"/>
    <w:rsid w:val="42292E27"/>
    <w:rsid w:val="4259593B"/>
    <w:rsid w:val="4312786B"/>
    <w:rsid w:val="43405371"/>
    <w:rsid w:val="43AD106D"/>
    <w:rsid w:val="44683BA6"/>
    <w:rsid w:val="455F58FC"/>
    <w:rsid w:val="456B4699"/>
    <w:rsid w:val="45FC10A7"/>
    <w:rsid w:val="46583362"/>
    <w:rsid w:val="46BF0893"/>
    <w:rsid w:val="46D32666"/>
    <w:rsid w:val="46F879CE"/>
    <w:rsid w:val="47403369"/>
    <w:rsid w:val="48456D1E"/>
    <w:rsid w:val="48641732"/>
    <w:rsid w:val="487F2935"/>
    <w:rsid w:val="48853CC3"/>
    <w:rsid w:val="48CB09AA"/>
    <w:rsid w:val="49BC1432"/>
    <w:rsid w:val="49CF2BC3"/>
    <w:rsid w:val="4A2242AD"/>
    <w:rsid w:val="4B052E99"/>
    <w:rsid w:val="4B24641F"/>
    <w:rsid w:val="4B4A0B1E"/>
    <w:rsid w:val="4BB62CB2"/>
    <w:rsid w:val="4BF278C2"/>
    <w:rsid w:val="4C485734"/>
    <w:rsid w:val="4CA77A88"/>
    <w:rsid w:val="4CFF2296"/>
    <w:rsid w:val="4D1F6599"/>
    <w:rsid w:val="4FDB1E3F"/>
    <w:rsid w:val="514C26E5"/>
    <w:rsid w:val="51516E7F"/>
    <w:rsid w:val="51750743"/>
    <w:rsid w:val="51E1554A"/>
    <w:rsid w:val="537A4500"/>
    <w:rsid w:val="539E5C7C"/>
    <w:rsid w:val="5424018C"/>
    <w:rsid w:val="543A1E06"/>
    <w:rsid w:val="54470EFA"/>
    <w:rsid w:val="54D16678"/>
    <w:rsid w:val="565D6B0B"/>
    <w:rsid w:val="571E2445"/>
    <w:rsid w:val="5743070F"/>
    <w:rsid w:val="5843585C"/>
    <w:rsid w:val="588149C1"/>
    <w:rsid w:val="58B425AE"/>
    <w:rsid w:val="58D17048"/>
    <w:rsid w:val="58F14598"/>
    <w:rsid w:val="5AEA12B9"/>
    <w:rsid w:val="5B3A6DFC"/>
    <w:rsid w:val="5B422CAE"/>
    <w:rsid w:val="5B5A2BCD"/>
    <w:rsid w:val="5B7B0F34"/>
    <w:rsid w:val="5BE608D0"/>
    <w:rsid w:val="5CE75234"/>
    <w:rsid w:val="5CE85254"/>
    <w:rsid w:val="5D316C20"/>
    <w:rsid w:val="5D9C3FD7"/>
    <w:rsid w:val="5EB427B5"/>
    <w:rsid w:val="5F603324"/>
    <w:rsid w:val="5FEB4DAD"/>
    <w:rsid w:val="6045101B"/>
    <w:rsid w:val="608368E3"/>
    <w:rsid w:val="61C82EFA"/>
    <w:rsid w:val="61CB5BF9"/>
    <w:rsid w:val="628C7CD0"/>
    <w:rsid w:val="62904588"/>
    <w:rsid w:val="632048BD"/>
    <w:rsid w:val="63E25852"/>
    <w:rsid w:val="64B8674B"/>
    <w:rsid w:val="6517766F"/>
    <w:rsid w:val="651C705B"/>
    <w:rsid w:val="65216040"/>
    <w:rsid w:val="66805D9E"/>
    <w:rsid w:val="66CF2882"/>
    <w:rsid w:val="67361837"/>
    <w:rsid w:val="6766223D"/>
    <w:rsid w:val="685D7276"/>
    <w:rsid w:val="68A74317"/>
    <w:rsid w:val="68FE5C27"/>
    <w:rsid w:val="693F4ACB"/>
    <w:rsid w:val="699E7743"/>
    <w:rsid w:val="6A1522D6"/>
    <w:rsid w:val="6A6D03E7"/>
    <w:rsid w:val="6B5E2426"/>
    <w:rsid w:val="6BB16A21"/>
    <w:rsid w:val="6C093C2C"/>
    <w:rsid w:val="6CB24B79"/>
    <w:rsid w:val="6D1A0D53"/>
    <w:rsid w:val="6D1C4347"/>
    <w:rsid w:val="6DE716E3"/>
    <w:rsid w:val="6E840154"/>
    <w:rsid w:val="6EC802E2"/>
    <w:rsid w:val="6ECD2B09"/>
    <w:rsid w:val="6EF817F9"/>
    <w:rsid w:val="6F6409D4"/>
    <w:rsid w:val="70926BFC"/>
    <w:rsid w:val="70C1148D"/>
    <w:rsid w:val="70F57389"/>
    <w:rsid w:val="710F5E21"/>
    <w:rsid w:val="714300F4"/>
    <w:rsid w:val="725751B1"/>
    <w:rsid w:val="72DF772F"/>
    <w:rsid w:val="73107C5C"/>
    <w:rsid w:val="739A0F58"/>
    <w:rsid w:val="74292DD1"/>
    <w:rsid w:val="74B56984"/>
    <w:rsid w:val="74F43CA6"/>
    <w:rsid w:val="750707DD"/>
    <w:rsid w:val="75907680"/>
    <w:rsid w:val="75EC1B29"/>
    <w:rsid w:val="760140DA"/>
    <w:rsid w:val="764861AD"/>
    <w:rsid w:val="77D62D81"/>
    <w:rsid w:val="77F7618C"/>
    <w:rsid w:val="7863107C"/>
    <w:rsid w:val="7894219D"/>
    <w:rsid w:val="78DA7E67"/>
    <w:rsid w:val="795E5322"/>
    <w:rsid w:val="79EA8FC3"/>
    <w:rsid w:val="79F503F9"/>
    <w:rsid w:val="7AA5772A"/>
    <w:rsid w:val="7ADB11B4"/>
    <w:rsid w:val="7AEE58D7"/>
    <w:rsid w:val="7B09056F"/>
    <w:rsid w:val="7B340AAD"/>
    <w:rsid w:val="7B452CBB"/>
    <w:rsid w:val="7B57402A"/>
    <w:rsid w:val="7B71585E"/>
    <w:rsid w:val="7B8726A6"/>
    <w:rsid w:val="7BD01B16"/>
    <w:rsid w:val="7CC3033B"/>
    <w:rsid w:val="7CE74DF0"/>
    <w:rsid w:val="FFEC88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next w:val="1"/>
    <w:qFormat/>
    <w:uiPriority w:val="0"/>
    <w:pPr>
      <w:widowControl w:val="0"/>
      <w:adjustRightInd/>
      <w:snapToGrid/>
      <w:spacing w:after="0"/>
      <w:ind w:firstLine="200" w:firstLineChars="200"/>
    </w:pPr>
    <w:rPr>
      <w:rFonts w:ascii="Calibri" w:hAnsi="Calibri" w:eastAsia="仿宋_GB2312" w:cs="Times New Roman"/>
      <w:kern w:val="2"/>
      <w:sz w:val="21"/>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1195</Words>
  <Characters>1272</Characters>
  <Lines>4</Lines>
  <Paragraphs>1</Paragraphs>
  <TotalTime>0</TotalTime>
  <ScaleCrop>false</ScaleCrop>
  <LinksUpToDate>false</LinksUpToDate>
  <CharactersWithSpaces>1299</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2024-06-05T08:30:00Z</dcterms:created>
  <dc:creator>Administrator</dc:creator>
  <cp:lastModifiedBy>user</cp:lastModifiedBy>
  <cp:lastPrinted>2024-06-12T15:38:00Z</cp:lastPrinted>
  <dcterms:modified xsi:type="dcterms:W3CDTF">2025-08-26T09:42:36Z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73CD71523B3085A10C11AD687F20766A</vt:lpwstr>
  </property>
  <property fmtid="{D5CDD505-2E9C-101B-9397-08002B2CF9AE}" pid="4" name="KSOTemplateDocerSaveRecord">
    <vt:lpwstr>eyJoZGlkIjoiZmYzMTNiN2ZmYjE5OTgyOTRkZTU4MTg2NWE5NTkzZTAiLCJ1c2VySWQiOiIxMjA4MTk5MTc1In0=</vt:lpwstr>
  </property>
</Properties>
</file>