
<file path=[Content_Types].xml><?xml version="1.0" encoding="utf-8"?>
<Types xmlns="http://schemas.openxmlformats.org/package/2006/content-types">
  <Default ContentType="application/vnd.openxmlformats-package.relationships+xml" Extension="rels"/>
  <Default ContentType="application/xml" Extension="xml"/>
  <Override ContentType="application/xml" PartName="/customXml/item1.xml"/>
  <Override ContentType="application/xml" PartName="/customXml/item2.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xmlns:wpsCustomData="http://www.wps.cn/officeDocument/2013/wpsCustomData" mc:Ignorable="w14 w15 wp14">
  <!-- Generated by Aspose.Words for Java 20.4 -->
  <w:body>
    <w:p w:rsidR="00B2512C" w14:paraId="0D3BC047" w14:textId="77777777">
      <w:pPr>
        <w:widowControl/>
        <w:rPr>
          <w:rFonts w:ascii="黑体" w:eastAsia="黑体" w:hAnsi="黑体" w:hint="eastAsia"/>
          <w:sz w:val="32"/>
          <w:szCs w:val="32"/>
        </w:rPr>
      </w:pPr>
    </w:p>
    <w:p w:rsidR="00B2512C" w14:paraId="484C1CE3" w14:textId="77777777">
      <w:pPr>
        <w:widowControl/>
        <w:jc w:val="center"/>
        <w:rPr>
          <w:sz w:val="84"/>
          <w:szCs w:val="84"/>
        </w:rPr>
      </w:pPr>
    </w:p>
    <w:p w:rsidR="00B2512C" w14:paraId="2AFD1A0A" w14:textId="77777777">
      <w:pPr>
        <w:widowControl/>
        <w:jc w:val="center"/>
        <w:rPr>
          <w:sz w:val="84"/>
          <w:szCs w:val="84"/>
        </w:rPr>
      </w:pPr>
    </w:p>
    <w:p w:rsidR="00B2512C" w14:paraId="4ADCC8D9" w14:textId="77777777">
      <w:pPr>
        <w:widowControl/>
        <w:spacing w:line="960" w:lineRule="auto"/>
        <w:jc w:val="center"/>
        <w:rPr>
          <w:rFonts w:ascii="方正小标宋简体" w:eastAsia="方正小标宋简体"/>
          <w:sz w:val="72"/>
          <w:szCs w:val="72"/>
        </w:rPr>
      </w:pPr>
      <w:r>
        <w:rPr>
          <w:rFonts w:ascii="方正小标宋简体" w:eastAsia="方正小标宋简体" w:hint="eastAsia"/>
          <w:sz w:val="72"/>
          <w:szCs w:val="72"/>
        </w:rPr>
        <w:t>2025年度</w:t>
      </w:r>
    </w:p>
    <w:p w:rsidR="00B2512C" w14:paraId="13121729" w14:textId="77777777">
      <w:pPr>
        <w:widowControl/>
        <w:spacing w:line="960" w:lineRule="auto"/>
        <w:jc w:val="center"/>
        <w:rPr>
          <w:rFonts w:asciiTheme="minorEastAsia" w:hAnsiTheme="minorEastAsia" w:hint="eastAsia"/>
          <w:sz w:val="72"/>
          <w:szCs w:val="72"/>
        </w:rPr>
      </w:pPr>
      <w:r>
        <w:rPr>
          <w:rFonts w:ascii="方正小标宋简体" w:eastAsia="方正小标宋简体" w:hint="eastAsia"/>
          <w:sz w:val="72"/>
          <w:szCs w:val="72"/>
        </w:rPr>
        <w:t>南安市林业局</w:t>
      </w:r>
    </w:p>
    <w:p w:rsidR="00B2512C" w14:paraId="380F29B5" w14:textId="5A84427B">
      <w:pPr>
        <w:widowControl/>
        <w:spacing w:line="960" w:lineRule="auto"/>
        <w:jc w:val="center"/>
        <w:rPr>
          <w:rFonts w:ascii="方正小标宋简体" w:eastAsia="方正小标宋简体"/>
          <w:sz w:val="72"/>
          <w:szCs w:val="72"/>
        </w:rPr>
      </w:pPr>
      <w:r>
        <w:rPr>
          <w:rFonts w:ascii="方正小标宋简体" w:eastAsia="方正小标宋简体" w:hint="eastAsia"/>
          <w:sz w:val="72"/>
          <w:szCs w:val="72"/>
        </w:rPr>
        <w:t>部门决算</w:t>
      </w:r>
    </w:p>
    <w:p w:rsidR="00B2512C" w14:paraId="38BFC5DE" w14:textId="77777777">
      <w:pPr>
        <w:widowControl/>
        <w:rPr>
          <w:sz w:val="84"/>
          <w:szCs w:val="84"/>
        </w:rPr>
        <w:sectPr>
          <w:headerReference w:type="default" r:id="rId6"/>
          <w:pgSz w:w="11906" w:h="16838"/>
          <w:pgMar w:top="1702" w:right="283" w:bottom="1843" w:left="283" w:header="851" w:footer="992" w:gutter="0"/>
          <w:cols w:space="425"/>
          <w:docGrid w:type="lines" w:linePitch="312"/>
        </w:sectPr>
      </w:pPr>
      <w:r>
        <w:rPr>
          <w:sz w:val="84"/>
          <w:szCs w:val="84"/>
        </w:rPr>
        <w:br w:type="page"/>
      </w:r>
    </w:p>
    <w:p w:rsidR="00B2512C" w14:paraId="3016A992" w14:textId="77777777">
      <w:pPr>
        <w:spacing w:line="240" w:lineRule="auto"/>
        <w:jc w:val="center"/>
        <w:rPr>
          <w:rFonts w:ascii="宋体" w:eastAsia="宋体" w:hAnsi="宋体" w:cs="宋体" w:hint="eastAsia"/>
          <w:sz w:val="44"/>
          <w:szCs w:val="44"/>
        </w:rPr>
      </w:pPr>
      <w:r>
        <w:rPr>
          <w:rFonts w:ascii="宋体" w:eastAsia="宋体" w:hAnsi="宋体" w:cs="宋体" w:hint="eastAsia"/>
          <w:sz w:val="44"/>
          <w:szCs w:val="44"/>
        </w:rPr>
        <w:t>目 录</w:t>
      </w:r>
    </w:p>
    <w:p w:rsidR="00AF3C55" w14:paraId="70740A4C" w14:textId="77777777">
      <w:pPr>
        <w:pStyle w:val="TOC1"/>
        <w:tabs>
          <w:tab w:val="right" w:leader="dot" w:pos="9062"/>
        </w:tabs>
        <w:rPr>
          <w:noProof/>
          <w14:ligatures w14:val="standardContextual"/>
        </w:rPr>
      </w:pPr>
      <w:r>
        <w:rPr>
          <w:rFonts w:ascii="仿宋" w:eastAsia="仿宋" w:hAnsi="仿宋" w:cs="仿宋" w:hint="eastAsia"/>
          <w:sz w:val="30"/>
          <w:szCs w:val="30"/>
        </w:rPr>
        <w:fldChar w:fldCharType="begin"/>
      </w:r>
      <w:r>
        <w:rPr>
          <w:rFonts w:ascii="仿宋" w:eastAsia="仿宋" w:hAnsi="仿宋" w:cs="仿宋" w:hint="eastAsia"/>
          <w:sz w:val="30"/>
          <w:szCs w:val="30"/>
        </w:rPr>
        <w:instrText xml:space="preserve">TOC \o "1-2" \h \u </w:instrText>
      </w:r>
      <w:r>
        <w:rPr>
          <w:rFonts w:ascii="仿宋" w:eastAsia="仿宋" w:hAnsi="仿宋" w:cs="仿宋" w:hint="eastAsia"/>
          <w:sz w:val="30"/>
          <w:szCs w:val="30"/>
        </w:rPr>
        <w:fldChar w:fldCharType="separate"/>
      </w:r>
      <w:hyperlink w:anchor="_Toc141520062" w:history="1">
        <w:r w:rsidRPr="00AF3C55">
          <w:rPr>
            <w:rFonts w:ascii="仿宋" w:eastAsia="仿宋" w:hAnsi="仿宋" w:cs="仿宋"/>
            <w:b/>
            <w:bCs/>
            <w:noProof/>
            <w:sz w:val="30"/>
            <w:szCs w:val="30"/>
          </w:rPr>
          <w:t>第一部分 部门概况</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_Toc141520062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1</w:t>
        </w:r>
        <w:r w:rsidRPr="00AF3C55">
          <w:rPr>
            <w:rFonts w:ascii="仿宋" w:eastAsia="仿宋" w:hAnsi="仿宋" w:cs="仿宋"/>
            <w:b/>
            <w:bCs/>
            <w:noProof/>
            <w:sz w:val="30"/>
            <w:szCs w:val="30"/>
          </w:rPr>
          <w:fldChar w:fldCharType="end"/>
        </w:r>
      </w:hyperlink>
    </w:p>
    <w:p w:rsidR="00AF3C55" w:rsidRPr="00C5049F" w:rsidP="00A55D50" w14:paraId="2EBBF1A8" w14:textId="77777777">
      <w:pPr>
        <w:pStyle w:val="TOC2"/>
        <w:tabs>
          <w:tab w:val="right" w:leader="dot" w:pos="9062"/>
        </w:tabs>
        <w:ind w:left="0" w:leftChars="0"/>
        <w:rPr>
          <w:rFonts w:ascii="仿宋" w:eastAsia="仿宋" w:hAnsi="仿宋" w:cs="仿宋" w:hint="eastAsia"/>
          <w:noProof/>
          <w:sz w:val="30"/>
          <w:szCs w:val="30"/>
        </w:rPr>
      </w:pPr>
      <w:hyperlink w:anchor="_Toc141520063" w:history="1">
        <w:r w:rsidRPr="00C5049F">
          <w:rPr>
            <w:rFonts w:ascii="仿宋" w:eastAsia="仿宋" w:hAnsi="仿宋" w:cs="仿宋"/>
            <w:noProof/>
            <w:sz w:val="30"/>
            <w:szCs w:val="30"/>
          </w:rPr>
          <w:t>一、部门主要职责</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_Toc141520063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w:t>
        </w:r>
        <w:r w:rsidRPr="00C5049F">
          <w:rPr>
            <w:rFonts w:ascii="仿宋" w:eastAsia="仿宋" w:hAnsi="仿宋" w:cs="仿宋"/>
            <w:noProof/>
            <w:sz w:val="30"/>
            <w:szCs w:val="30"/>
          </w:rPr>
          <w:fldChar w:fldCharType="end"/>
        </w:r>
      </w:hyperlink>
    </w:p>
    <w:p w:rsidR="00AF3C55" w:rsidRPr="00C5049F" w:rsidP="00A55D50" w14:paraId="7B32912B" w14:textId="77777777">
      <w:pPr>
        <w:pStyle w:val="TOC2"/>
        <w:tabs>
          <w:tab w:val="right" w:leader="dot" w:pos="9062"/>
        </w:tabs>
        <w:ind w:left="0" w:leftChars="0"/>
        <w:rPr>
          <w:rFonts w:ascii="仿宋" w:eastAsia="仿宋" w:hAnsi="仿宋" w:cs="仿宋" w:hint="eastAsia"/>
          <w:noProof/>
          <w:sz w:val="30"/>
          <w:szCs w:val="30"/>
        </w:rPr>
      </w:pPr>
      <w:hyperlink w:anchor="_Toc141520064" w:history="1">
        <w:r w:rsidRPr="00C5049F">
          <w:rPr>
            <w:rFonts w:ascii="仿宋" w:eastAsia="仿宋" w:hAnsi="仿宋" w:cs="仿宋"/>
            <w:noProof/>
            <w:sz w:val="30"/>
            <w:szCs w:val="30"/>
          </w:rPr>
          <w:t>二、部门决算单位基本情况</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_Toc141520064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4</w:t>
        </w:r>
        <w:r w:rsidRPr="00C5049F">
          <w:rPr>
            <w:rFonts w:ascii="仿宋" w:eastAsia="仿宋" w:hAnsi="仿宋" w:cs="仿宋"/>
            <w:noProof/>
            <w:sz w:val="30"/>
            <w:szCs w:val="30"/>
          </w:rPr>
          <w:fldChar w:fldCharType="end"/>
        </w:r>
      </w:hyperlink>
    </w:p>
    <w:p w:rsidR="00AF3C55" w:rsidRPr="00C5049F" w:rsidP="00A55D50" w14:paraId="5DF82856" w14:textId="77777777">
      <w:pPr>
        <w:pStyle w:val="TOC2"/>
        <w:tabs>
          <w:tab w:val="right" w:leader="dot" w:pos="9062"/>
        </w:tabs>
        <w:ind w:left="0" w:leftChars="0"/>
        <w:rPr>
          <w:rFonts w:ascii="仿宋" w:eastAsia="仿宋" w:hAnsi="仿宋" w:cs="仿宋" w:hint="eastAsia"/>
          <w:noProof/>
          <w:sz w:val="30"/>
          <w:szCs w:val="30"/>
        </w:rPr>
      </w:pPr>
      <w:hyperlink w:anchor="_Toc141520065" w:history="1">
        <w:r w:rsidRPr="00C5049F">
          <w:rPr>
            <w:rFonts w:ascii="仿宋" w:eastAsia="仿宋" w:hAnsi="仿宋" w:cs="仿宋"/>
            <w:noProof/>
            <w:sz w:val="30"/>
            <w:szCs w:val="30"/>
          </w:rPr>
          <w:t>三、部门主要工作总结</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_Toc141520065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4</w:t>
        </w:r>
        <w:r w:rsidRPr="00C5049F">
          <w:rPr>
            <w:rFonts w:ascii="仿宋" w:eastAsia="仿宋" w:hAnsi="仿宋" w:cs="仿宋"/>
            <w:noProof/>
            <w:sz w:val="30"/>
            <w:szCs w:val="30"/>
          </w:rPr>
          <w:fldChar w:fldCharType="end"/>
        </w:r>
      </w:hyperlink>
    </w:p>
    <w:p w:rsidR="00AF3C55" w:rsidRPr="00AF3C55" w14:paraId="1430660D" w14:textId="077D8A61">
      <w:pPr>
        <w:pStyle w:val="TOC1"/>
        <w:tabs>
          <w:tab w:val="right" w:leader="dot" w:pos="9062"/>
        </w:tabs>
        <w:rPr>
          <w:rFonts w:ascii="仿宋" w:eastAsia="仿宋" w:hAnsi="仿宋" w:cs="仿宋" w:hint="eastAsia"/>
          <w:b/>
          <w:bCs/>
          <w:noProof/>
          <w:sz w:val="30"/>
          <w:szCs w:val="30"/>
        </w:rPr>
      </w:pPr>
      <w:hyperlink w:anchor="_Toc141520066" w:history="1">
        <w:r w:rsidRPr="00AF3C55">
          <w:rPr>
            <w:rFonts w:ascii="仿宋" w:eastAsia="仿宋" w:hAnsi="仿宋" w:cs="仿宋"/>
            <w:b/>
            <w:bCs/>
            <w:noProof/>
            <w:sz w:val="30"/>
            <w:szCs w:val="30"/>
          </w:rPr>
          <w:t xml:space="preserve">第二部分 </w:t>
        </w:r>
        <w:r>
          <w:rPr>
            <w:rFonts w:ascii="仿宋" w:eastAsia="仿宋" w:hAnsi="仿宋" w:cs="仿宋"/>
            <w:b/>
            <w:bCs/>
            <w:noProof/>
            <w:sz w:val="30"/>
            <w:szCs w:val="30"/>
          </w:rPr>
          <w:t>202</w:t>
        </w:r>
        <w:r w:rsidR="00BE79F2">
          <w:rPr>
            <w:rFonts w:ascii="仿宋" w:eastAsia="仿宋" w:hAnsi="仿宋" w:cs="仿宋" w:hint="eastAsia"/>
            <w:b/>
            <w:bCs/>
            <w:noProof/>
            <w:sz w:val="30"/>
            <w:szCs w:val="30"/>
          </w:rPr>
          <w:t>5</w:t>
        </w:r>
        <w:r w:rsidRPr="00AF3C55">
          <w:rPr>
            <w:rFonts w:ascii="仿宋" w:eastAsia="仿宋" w:hAnsi="仿宋" w:cs="仿宋"/>
            <w:b/>
            <w:bCs/>
            <w:noProof/>
            <w:sz w:val="30"/>
            <w:szCs w:val="30"/>
          </w:rPr>
          <w:t>年度</w:t>
        </w:r>
        <w:r w:rsidRPr="007D14BA">
          <w:rPr>
            <w:rFonts w:ascii="仿宋" w:eastAsia="仿宋" w:hAnsi="仿宋" w:cs="仿宋"/>
            <w:b/>
            <w:bCs/>
            <w:noProof/>
            <w:sz w:val="30"/>
            <w:szCs w:val="30"/>
          </w:rPr>
          <w:t>部门</w:t>
        </w:r>
        <w:r w:rsidRPr="00AF3C55">
          <w:rPr>
            <w:rFonts w:ascii="仿宋" w:eastAsia="仿宋" w:hAnsi="仿宋" w:cs="仿宋"/>
            <w:b/>
            <w:bCs/>
            <w:noProof/>
            <w:sz w:val="30"/>
            <w:szCs w:val="30"/>
          </w:rPr>
          <w:t>决算表</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_Toc141520066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10</w:t>
        </w:r>
        <w:r w:rsidRPr="00AF3C55">
          <w:rPr>
            <w:rFonts w:ascii="仿宋" w:eastAsia="仿宋" w:hAnsi="仿宋" w:cs="仿宋"/>
            <w:b/>
            <w:bCs/>
            <w:noProof/>
            <w:sz w:val="30"/>
            <w:szCs w:val="30"/>
          </w:rPr>
          <w:fldChar w:fldCharType="end"/>
        </w:r>
      </w:hyperlink>
    </w:p>
    <w:p w:rsidR="00AF3C55" w:rsidRPr="00C5049F" w:rsidP="00A55D50" w14:paraId="1FC7CF66" w14:textId="77777777">
      <w:pPr>
        <w:pStyle w:val="TOC2"/>
        <w:tabs>
          <w:tab w:val="right" w:leader="dot" w:pos="9062"/>
        </w:tabs>
        <w:ind w:left="0" w:leftChars="0"/>
        <w:rPr>
          <w:rFonts w:ascii="仿宋" w:eastAsia="仿宋" w:hAnsi="仿宋" w:cs="仿宋" w:hint="eastAsia"/>
          <w:noProof/>
          <w:sz w:val="30"/>
          <w:szCs w:val="30"/>
        </w:rPr>
      </w:pPr>
      <w:hyperlink w:anchor="_Toc141520067" w:history="1">
        <w:r w:rsidRPr="00C5049F">
          <w:rPr>
            <w:rFonts w:ascii="仿宋" w:eastAsia="仿宋" w:hAnsi="仿宋" w:cs="仿宋"/>
            <w:noProof/>
            <w:sz w:val="30"/>
            <w:szCs w:val="30"/>
          </w:rPr>
          <w:t>一、收入支出决算总表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_Toc141520067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11</w:t>
        </w:r>
        <w:r w:rsidRPr="00C5049F">
          <w:rPr>
            <w:rFonts w:ascii="仿宋" w:eastAsia="仿宋" w:hAnsi="仿宋" w:cs="仿宋"/>
            <w:noProof/>
            <w:sz w:val="30"/>
            <w:szCs w:val="30"/>
          </w:rPr>
          <w:fldChar w:fldCharType="end"/>
        </w:r>
      </w:hyperlink>
    </w:p>
    <w:p w:rsidR="00AF3C55" w:rsidRPr="00C5049F" w:rsidP="00A55D50" w14:paraId="4F6C4B41" w14:textId="77777777">
      <w:pPr>
        <w:pStyle w:val="TOC2"/>
        <w:tabs>
          <w:tab w:val="right" w:leader="dot" w:pos="9062"/>
        </w:tabs>
        <w:ind w:left="0" w:leftChars="0"/>
        <w:rPr>
          <w:rFonts w:ascii="仿宋" w:eastAsia="仿宋" w:hAnsi="仿宋" w:cs="仿宋" w:hint="eastAsia"/>
          <w:noProof/>
          <w:sz w:val="30"/>
          <w:szCs w:val="30"/>
        </w:rPr>
      </w:pPr>
      <w:hyperlink w:anchor="_Toc141520068" w:history="1">
        <w:r w:rsidRPr="00C5049F">
          <w:rPr>
            <w:rFonts w:ascii="仿宋" w:eastAsia="仿宋" w:hAnsi="仿宋" w:cs="仿宋"/>
            <w:noProof/>
            <w:sz w:val="30"/>
            <w:szCs w:val="30"/>
          </w:rPr>
          <w:t>二、收入决算表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_Toc141520068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12</w:t>
        </w:r>
        <w:r w:rsidRPr="00C5049F">
          <w:rPr>
            <w:rFonts w:ascii="仿宋" w:eastAsia="仿宋" w:hAnsi="仿宋" w:cs="仿宋"/>
            <w:noProof/>
            <w:sz w:val="30"/>
            <w:szCs w:val="30"/>
          </w:rPr>
          <w:fldChar w:fldCharType="end"/>
        </w:r>
      </w:hyperlink>
    </w:p>
    <w:p w:rsidR="00AF3C55" w:rsidRPr="00C5049F" w:rsidP="00A55D50" w14:paraId="088FD63B" w14:textId="77777777">
      <w:pPr>
        <w:pStyle w:val="TOC2"/>
        <w:tabs>
          <w:tab w:val="right" w:leader="dot" w:pos="9062"/>
        </w:tabs>
        <w:ind w:left="0" w:leftChars="0"/>
        <w:rPr>
          <w:rFonts w:ascii="仿宋" w:eastAsia="仿宋" w:hAnsi="仿宋" w:cs="仿宋" w:hint="eastAsia"/>
          <w:noProof/>
          <w:sz w:val="30"/>
          <w:szCs w:val="30"/>
        </w:rPr>
      </w:pPr>
      <w:hyperlink w:anchor="_Toc141520069" w:history="1">
        <w:r w:rsidRPr="00C5049F">
          <w:rPr>
            <w:rFonts w:ascii="仿宋" w:eastAsia="仿宋" w:hAnsi="仿宋" w:cs="仿宋"/>
            <w:noProof/>
            <w:sz w:val="30"/>
            <w:szCs w:val="30"/>
          </w:rPr>
          <w:t>三、支出决算表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_Toc141520069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14</w:t>
        </w:r>
        <w:r w:rsidRPr="00C5049F">
          <w:rPr>
            <w:rFonts w:ascii="仿宋" w:eastAsia="仿宋" w:hAnsi="仿宋" w:cs="仿宋"/>
            <w:noProof/>
            <w:sz w:val="30"/>
            <w:szCs w:val="30"/>
          </w:rPr>
          <w:fldChar w:fldCharType="end"/>
        </w:r>
      </w:hyperlink>
    </w:p>
    <w:p w:rsidR="00AF3C55" w:rsidRPr="00C5049F" w:rsidP="00A55D50" w14:paraId="111A5234" w14:textId="77777777">
      <w:pPr>
        <w:pStyle w:val="TOC2"/>
        <w:tabs>
          <w:tab w:val="right" w:leader="dot" w:pos="9062"/>
        </w:tabs>
        <w:ind w:left="0" w:leftChars="0"/>
        <w:rPr>
          <w:rFonts w:ascii="仿宋" w:eastAsia="仿宋" w:hAnsi="仿宋" w:cs="仿宋" w:hint="eastAsia"/>
          <w:noProof/>
          <w:sz w:val="30"/>
          <w:szCs w:val="30"/>
        </w:rPr>
      </w:pPr>
      <w:hyperlink w:anchor="_Toc141520070" w:history="1">
        <w:r w:rsidRPr="00C5049F">
          <w:rPr>
            <w:rFonts w:ascii="仿宋" w:eastAsia="仿宋" w:hAnsi="仿宋" w:cs="仿宋"/>
            <w:noProof/>
            <w:sz w:val="30"/>
            <w:szCs w:val="30"/>
          </w:rPr>
          <w:t>四、财政拨款收入支出决算总表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_Toc141520070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16</w:t>
        </w:r>
        <w:r w:rsidRPr="00C5049F">
          <w:rPr>
            <w:rFonts w:ascii="仿宋" w:eastAsia="仿宋" w:hAnsi="仿宋" w:cs="仿宋"/>
            <w:noProof/>
            <w:sz w:val="30"/>
            <w:szCs w:val="30"/>
          </w:rPr>
          <w:fldChar w:fldCharType="end"/>
        </w:r>
      </w:hyperlink>
    </w:p>
    <w:p w:rsidR="00AF3C55" w:rsidRPr="00C5049F" w:rsidP="00A55D50" w14:paraId="39D05448" w14:textId="77777777">
      <w:pPr>
        <w:pStyle w:val="TOC2"/>
        <w:tabs>
          <w:tab w:val="right" w:leader="dot" w:pos="9062"/>
        </w:tabs>
        <w:ind w:left="0" w:leftChars="0"/>
        <w:rPr>
          <w:rFonts w:ascii="仿宋" w:eastAsia="仿宋" w:hAnsi="仿宋" w:cs="仿宋" w:hint="eastAsia"/>
          <w:noProof/>
          <w:sz w:val="30"/>
          <w:szCs w:val="30"/>
        </w:rPr>
      </w:pPr>
      <w:hyperlink w:anchor="_Toc141520071" w:history="1">
        <w:r w:rsidRPr="00C5049F">
          <w:rPr>
            <w:rFonts w:ascii="仿宋" w:eastAsia="仿宋" w:hAnsi="仿宋" w:cs="仿宋"/>
            <w:noProof/>
            <w:sz w:val="30"/>
            <w:szCs w:val="30"/>
          </w:rPr>
          <w:t>五、一般公共预算财政拨款支出决算表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_Toc141520071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18</w:t>
        </w:r>
        <w:r w:rsidRPr="00C5049F">
          <w:rPr>
            <w:rFonts w:ascii="仿宋" w:eastAsia="仿宋" w:hAnsi="仿宋" w:cs="仿宋"/>
            <w:noProof/>
            <w:sz w:val="30"/>
            <w:szCs w:val="30"/>
          </w:rPr>
          <w:fldChar w:fldCharType="end"/>
        </w:r>
      </w:hyperlink>
    </w:p>
    <w:p w:rsidR="00AF3C55" w:rsidRPr="00C5049F" w:rsidP="00A55D50" w14:paraId="083E1B43" w14:textId="77777777">
      <w:pPr>
        <w:pStyle w:val="TOC2"/>
        <w:tabs>
          <w:tab w:val="right" w:leader="dot" w:pos="9062"/>
        </w:tabs>
        <w:ind w:left="0" w:leftChars="0"/>
        <w:rPr>
          <w:rFonts w:ascii="仿宋" w:eastAsia="仿宋" w:hAnsi="仿宋" w:cs="仿宋" w:hint="eastAsia"/>
          <w:noProof/>
          <w:sz w:val="30"/>
          <w:szCs w:val="30"/>
        </w:rPr>
      </w:pPr>
      <w:hyperlink w:anchor="_Toc141520072" w:history="1">
        <w:r w:rsidRPr="00C5049F">
          <w:rPr>
            <w:rFonts w:ascii="仿宋" w:eastAsia="仿宋" w:hAnsi="仿宋" w:cs="仿宋"/>
            <w:noProof/>
            <w:sz w:val="30"/>
            <w:szCs w:val="30"/>
          </w:rPr>
          <w:t>六、一般公共预算财政拨款基本支出决算表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_Toc141520072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19</w:t>
        </w:r>
        <w:r w:rsidRPr="00C5049F">
          <w:rPr>
            <w:rFonts w:ascii="仿宋" w:eastAsia="仿宋" w:hAnsi="仿宋" w:cs="仿宋"/>
            <w:noProof/>
            <w:sz w:val="30"/>
            <w:szCs w:val="30"/>
          </w:rPr>
          <w:fldChar w:fldCharType="end"/>
        </w:r>
      </w:hyperlink>
    </w:p>
    <w:p w:rsidR="00AF3C55" w:rsidRPr="00C5049F" w:rsidP="00A55D50" w14:paraId="51A8894B" w14:textId="77777777">
      <w:pPr>
        <w:pStyle w:val="TOC2"/>
        <w:tabs>
          <w:tab w:val="right" w:leader="dot" w:pos="9062"/>
        </w:tabs>
        <w:ind w:left="0" w:leftChars="0"/>
        <w:rPr>
          <w:rFonts w:ascii="仿宋" w:eastAsia="仿宋" w:hAnsi="仿宋" w:cs="仿宋" w:hint="eastAsia"/>
          <w:noProof/>
          <w:sz w:val="30"/>
          <w:szCs w:val="30"/>
        </w:rPr>
      </w:pPr>
      <w:hyperlink w:anchor="_Toc141520073" w:history="1">
        <w:r w:rsidRPr="00C5049F">
          <w:rPr>
            <w:rFonts w:ascii="仿宋" w:eastAsia="仿宋" w:hAnsi="仿宋" w:cs="仿宋"/>
            <w:noProof/>
            <w:sz w:val="30"/>
            <w:szCs w:val="30"/>
          </w:rPr>
          <w:t>七、一般公共预算财政拨款“三公”经费支出决算表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_Toc141520073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21</w:t>
        </w:r>
        <w:r w:rsidRPr="00C5049F">
          <w:rPr>
            <w:rFonts w:ascii="仿宋" w:eastAsia="仿宋" w:hAnsi="仿宋" w:cs="仿宋"/>
            <w:noProof/>
            <w:sz w:val="30"/>
            <w:szCs w:val="30"/>
          </w:rPr>
          <w:fldChar w:fldCharType="end"/>
        </w:r>
      </w:hyperlink>
    </w:p>
    <w:p w:rsidR="00AF3C55" w:rsidRPr="00C5049F" w:rsidP="00A55D50" w14:paraId="49A7E5AD" w14:textId="77777777">
      <w:pPr>
        <w:pStyle w:val="TOC2"/>
        <w:tabs>
          <w:tab w:val="right" w:leader="dot" w:pos="9062"/>
        </w:tabs>
        <w:ind w:left="0" w:leftChars="0"/>
        <w:rPr>
          <w:rFonts w:ascii="仿宋" w:eastAsia="仿宋" w:hAnsi="仿宋" w:cs="仿宋" w:hint="eastAsia"/>
          <w:noProof/>
          <w:sz w:val="30"/>
          <w:szCs w:val="30"/>
        </w:rPr>
      </w:pPr>
      <w:hyperlink w:anchor="_Toc141520074" w:history="1">
        <w:r w:rsidRPr="00C5049F">
          <w:rPr>
            <w:rFonts w:ascii="仿宋" w:eastAsia="仿宋" w:hAnsi="仿宋" w:cs="仿宋"/>
            <w:noProof/>
            <w:sz w:val="30"/>
            <w:szCs w:val="30"/>
          </w:rPr>
          <w:t>八、政府性基金预算财政拨款收入支出决算表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_Toc141520074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22</w:t>
        </w:r>
        <w:r w:rsidRPr="00C5049F">
          <w:rPr>
            <w:rFonts w:ascii="仿宋" w:eastAsia="仿宋" w:hAnsi="仿宋" w:cs="仿宋"/>
            <w:noProof/>
            <w:sz w:val="30"/>
            <w:szCs w:val="30"/>
          </w:rPr>
          <w:fldChar w:fldCharType="end"/>
        </w:r>
      </w:hyperlink>
    </w:p>
    <w:p w:rsidR="00AF3C55" w:rsidRPr="00C5049F" w:rsidP="00A55D50" w14:paraId="4922F91C" w14:textId="77777777">
      <w:pPr>
        <w:pStyle w:val="TOC2"/>
        <w:tabs>
          <w:tab w:val="right" w:leader="dot" w:pos="9062"/>
        </w:tabs>
        <w:ind w:left="0" w:leftChars="0"/>
        <w:rPr>
          <w:rFonts w:ascii="仿宋" w:eastAsia="仿宋" w:hAnsi="仿宋" w:cs="仿宋" w:hint="eastAsia"/>
          <w:noProof/>
          <w:sz w:val="30"/>
          <w:szCs w:val="30"/>
        </w:rPr>
      </w:pPr>
      <w:hyperlink w:anchor="_Toc141520075" w:history="1">
        <w:r w:rsidRPr="00C5049F">
          <w:rPr>
            <w:rFonts w:ascii="仿宋" w:eastAsia="仿宋" w:hAnsi="仿宋" w:cs="仿宋"/>
            <w:noProof/>
            <w:sz w:val="30"/>
            <w:szCs w:val="30"/>
          </w:rPr>
          <w:t>九、国有资本经营预算财政拨款支出决算表</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_Toc141520075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23</w:t>
        </w:r>
        <w:r w:rsidRPr="00C5049F">
          <w:rPr>
            <w:rFonts w:ascii="仿宋" w:eastAsia="仿宋" w:hAnsi="仿宋" w:cs="仿宋"/>
            <w:noProof/>
            <w:sz w:val="30"/>
            <w:szCs w:val="30"/>
          </w:rPr>
          <w:fldChar w:fldCharType="end"/>
        </w:r>
      </w:hyperlink>
    </w:p>
    <w:p w:rsidR="00AF3C55" w:rsidRPr="00AF3C55" w14:paraId="5DBB8A27" w14:textId="0839E3B2">
      <w:pPr>
        <w:pStyle w:val="TOC1"/>
        <w:tabs>
          <w:tab w:val="right" w:leader="dot" w:pos="9062"/>
        </w:tabs>
        <w:rPr>
          <w:rFonts w:ascii="仿宋" w:eastAsia="仿宋" w:hAnsi="仿宋" w:cs="仿宋" w:hint="eastAsia"/>
          <w:b/>
          <w:bCs/>
          <w:noProof/>
          <w:sz w:val="30"/>
          <w:szCs w:val="30"/>
        </w:rPr>
      </w:pPr>
      <w:hyperlink w:anchor="_Toc141520076" w:history="1">
        <w:r w:rsidRPr="00AF3C55">
          <w:rPr>
            <w:rFonts w:ascii="仿宋" w:eastAsia="仿宋" w:hAnsi="仿宋" w:cs="仿宋"/>
            <w:b/>
            <w:bCs/>
            <w:noProof/>
            <w:sz w:val="30"/>
            <w:szCs w:val="30"/>
          </w:rPr>
          <w:t xml:space="preserve">第三部分 </w:t>
        </w:r>
        <w:r>
          <w:rPr>
            <w:rFonts w:ascii="仿宋" w:eastAsia="仿宋" w:hAnsi="仿宋" w:cs="仿宋"/>
            <w:b/>
            <w:bCs/>
            <w:noProof/>
            <w:sz w:val="30"/>
            <w:szCs w:val="30"/>
          </w:rPr>
          <w:t>202</w:t>
        </w:r>
        <w:r w:rsidR="00BE79F2">
          <w:rPr>
            <w:rFonts w:ascii="仿宋" w:eastAsia="仿宋" w:hAnsi="仿宋" w:cs="仿宋" w:hint="eastAsia"/>
            <w:b/>
            <w:bCs/>
            <w:noProof/>
            <w:sz w:val="30"/>
            <w:szCs w:val="30"/>
          </w:rPr>
          <w:t>5</w:t>
        </w:r>
        <w:r w:rsidRPr="00AF3C55">
          <w:rPr>
            <w:rFonts w:ascii="仿宋" w:eastAsia="仿宋" w:hAnsi="仿宋" w:cs="仿宋"/>
            <w:b/>
            <w:bCs/>
            <w:noProof/>
            <w:sz w:val="30"/>
            <w:szCs w:val="30"/>
          </w:rPr>
          <w:t>年度</w:t>
        </w:r>
        <w:r w:rsidRPr="00566725">
          <w:rPr>
            <w:rFonts w:ascii="仿宋" w:eastAsia="仿宋" w:hAnsi="仿宋" w:cs="仿宋"/>
            <w:b/>
            <w:bCs/>
            <w:noProof/>
            <w:sz w:val="30"/>
            <w:szCs w:val="30"/>
          </w:rPr>
          <w:t>部门</w:t>
        </w:r>
        <w:r w:rsidRPr="00AF3C55">
          <w:rPr>
            <w:rFonts w:ascii="仿宋" w:eastAsia="仿宋" w:hAnsi="仿宋" w:cs="仿宋"/>
            <w:b/>
            <w:bCs/>
            <w:noProof/>
            <w:sz w:val="30"/>
            <w:szCs w:val="30"/>
          </w:rPr>
          <w:t>决算情况说明</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_Toc141520076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24</w:t>
        </w:r>
        <w:r w:rsidRPr="00AF3C55">
          <w:rPr>
            <w:rFonts w:ascii="仿宋" w:eastAsia="仿宋" w:hAnsi="仿宋" w:cs="仿宋"/>
            <w:b/>
            <w:bCs/>
            <w:noProof/>
            <w:sz w:val="30"/>
            <w:szCs w:val="30"/>
          </w:rPr>
          <w:fldChar w:fldCharType="end"/>
        </w:r>
      </w:hyperlink>
    </w:p>
    <w:p w:rsidR="00AF3C55" w:rsidRPr="00C5049F" w:rsidP="00A55D50" w14:paraId="7EAFD1FB" w14:textId="77777777">
      <w:pPr>
        <w:pStyle w:val="TOC2"/>
        <w:tabs>
          <w:tab w:val="right" w:leader="dot" w:pos="9062"/>
        </w:tabs>
        <w:ind w:left="0" w:leftChars="0"/>
        <w:rPr>
          <w:rFonts w:ascii="仿宋" w:eastAsia="仿宋" w:hAnsi="仿宋" w:cs="仿宋" w:hint="eastAsia"/>
          <w:noProof/>
          <w:sz w:val="30"/>
          <w:szCs w:val="30"/>
        </w:rPr>
      </w:pPr>
      <w:hyperlink w:anchor="_Toc141520077" w:history="1">
        <w:r w:rsidRPr="00C5049F">
          <w:rPr>
            <w:rFonts w:ascii="仿宋" w:eastAsia="仿宋" w:hAnsi="仿宋" w:cs="仿宋"/>
            <w:noProof/>
            <w:sz w:val="30"/>
            <w:szCs w:val="30"/>
          </w:rPr>
          <w:t>一、收入支出决算总体情况说明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_Toc141520077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25</w:t>
        </w:r>
        <w:r w:rsidRPr="00C5049F">
          <w:rPr>
            <w:rFonts w:ascii="仿宋" w:eastAsia="仿宋" w:hAnsi="仿宋" w:cs="仿宋"/>
            <w:noProof/>
            <w:sz w:val="30"/>
            <w:szCs w:val="30"/>
          </w:rPr>
          <w:fldChar w:fldCharType="end"/>
        </w:r>
      </w:hyperlink>
    </w:p>
    <w:p w:rsidR="00AF3C55" w:rsidRPr="00C5049F" w:rsidP="00A55D50" w14:paraId="3A1785E4" w14:textId="77777777">
      <w:pPr>
        <w:pStyle w:val="TOC2"/>
        <w:tabs>
          <w:tab w:val="right" w:leader="dot" w:pos="9062"/>
        </w:tabs>
        <w:ind w:left="0" w:leftChars="0"/>
        <w:rPr>
          <w:rFonts w:ascii="仿宋" w:eastAsia="仿宋" w:hAnsi="仿宋" w:cs="仿宋" w:hint="eastAsia"/>
          <w:noProof/>
          <w:sz w:val="30"/>
          <w:szCs w:val="30"/>
        </w:rPr>
      </w:pPr>
      <w:hyperlink w:anchor="_Toc141520078" w:history="1">
        <w:r w:rsidRPr="00C5049F">
          <w:rPr>
            <w:rFonts w:ascii="仿宋" w:eastAsia="仿宋" w:hAnsi="仿宋" w:cs="仿宋"/>
            <w:noProof/>
            <w:sz w:val="30"/>
            <w:szCs w:val="30"/>
          </w:rPr>
          <w:t>二、财政拨款收入支出决算</w:t>
        </w:r>
        <w:r w:rsidRPr="00486387">
          <w:rPr>
            <w:rFonts w:ascii="仿宋" w:eastAsia="仿宋" w:hAnsi="仿宋" w:cs="仿宋" w:hint="eastAsia"/>
            <w:noProof/>
            <w:sz w:val="30"/>
            <w:szCs w:val="30"/>
          </w:rPr>
          <w:t>总体</w:t>
        </w:r>
        <w:r w:rsidRPr="00C5049F">
          <w:rPr>
            <w:rFonts w:ascii="仿宋" w:eastAsia="仿宋" w:hAnsi="仿宋" w:cs="仿宋"/>
            <w:noProof/>
            <w:sz w:val="30"/>
            <w:szCs w:val="30"/>
          </w:rPr>
          <w:t>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_Toc141520078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26</w:t>
        </w:r>
        <w:r w:rsidRPr="00C5049F">
          <w:rPr>
            <w:rFonts w:ascii="仿宋" w:eastAsia="仿宋" w:hAnsi="仿宋" w:cs="仿宋"/>
            <w:noProof/>
            <w:sz w:val="30"/>
            <w:szCs w:val="30"/>
          </w:rPr>
          <w:fldChar w:fldCharType="end"/>
        </w:r>
      </w:hyperlink>
    </w:p>
    <w:p w:rsidR="00AF3C55" w:rsidRPr="00C5049F" w:rsidP="00A55D50" w14:paraId="33785179" w14:textId="77777777">
      <w:pPr>
        <w:pStyle w:val="TOC2"/>
        <w:tabs>
          <w:tab w:val="right" w:leader="dot" w:pos="9062"/>
        </w:tabs>
        <w:ind w:left="0" w:leftChars="0"/>
        <w:rPr>
          <w:rFonts w:ascii="仿宋" w:eastAsia="仿宋" w:hAnsi="仿宋" w:cs="仿宋" w:hint="eastAsia"/>
          <w:noProof/>
          <w:sz w:val="30"/>
          <w:szCs w:val="30"/>
        </w:rPr>
      </w:pPr>
      <w:hyperlink w:anchor="_Toc141520079" w:history="1">
        <w:r w:rsidRPr="00C5049F">
          <w:rPr>
            <w:rFonts w:ascii="仿宋" w:eastAsia="仿宋" w:hAnsi="仿宋" w:cs="仿宋"/>
            <w:noProof/>
            <w:sz w:val="30"/>
            <w:szCs w:val="30"/>
          </w:rPr>
          <w:t>三、一般公共预算</w:t>
        </w:r>
        <w:r>
          <w:rPr>
            <w:rFonts w:ascii="仿宋" w:eastAsia="仿宋" w:hAnsi="仿宋" w:cs="仿宋" w:hint="eastAsia"/>
            <w:noProof/>
            <w:sz w:val="30"/>
            <w:szCs w:val="30"/>
          </w:rPr>
          <w:t>财政</w:t>
        </w:r>
        <w:r w:rsidRPr="00C5049F">
          <w:rPr>
            <w:rFonts w:ascii="仿宋" w:eastAsia="仿宋" w:hAnsi="仿宋" w:cs="仿宋"/>
            <w:noProof/>
            <w:sz w:val="30"/>
            <w:szCs w:val="30"/>
          </w:rPr>
          <w:t>拨款支出决算情况说明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_Toc141520079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26</w:t>
        </w:r>
        <w:r w:rsidRPr="00C5049F">
          <w:rPr>
            <w:rFonts w:ascii="仿宋" w:eastAsia="仿宋" w:hAnsi="仿宋" w:cs="仿宋"/>
            <w:noProof/>
            <w:sz w:val="30"/>
            <w:szCs w:val="30"/>
          </w:rPr>
          <w:fldChar w:fldCharType="end"/>
        </w:r>
      </w:hyperlink>
    </w:p>
    <w:p w:rsidR="00AF3C55" w:rsidRPr="00C5049F" w:rsidP="00A55D50" w14:paraId="29DA5A09" w14:textId="77777777">
      <w:pPr>
        <w:pStyle w:val="TOC2"/>
        <w:tabs>
          <w:tab w:val="right" w:leader="dot" w:pos="9062"/>
        </w:tabs>
        <w:ind w:left="0" w:leftChars="0"/>
        <w:rPr>
          <w:rFonts w:ascii="仿宋" w:eastAsia="仿宋" w:hAnsi="仿宋" w:cs="仿宋" w:hint="eastAsia"/>
          <w:noProof/>
          <w:sz w:val="30"/>
          <w:szCs w:val="30"/>
        </w:rPr>
      </w:pPr>
      <w:hyperlink w:anchor="_Toc141520080" w:history="1">
        <w:r w:rsidRPr="00C5049F">
          <w:rPr>
            <w:rFonts w:ascii="仿宋" w:eastAsia="仿宋" w:hAnsi="仿宋" w:cs="仿宋"/>
            <w:noProof/>
            <w:sz w:val="30"/>
            <w:szCs w:val="30"/>
          </w:rPr>
          <w:t>四、政府性基金预算财政拨款支出决算情况说明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_Toc141520080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29</w:t>
        </w:r>
        <w:r w:rsidRPr="00C5049F">
          <w:rPr>
            <w:rFonts w:ascii="仿宋" w:eastAsia="仿宋" w:hAnsi="仿宋" w:cs="仿宋"/>
            <w:noProof/>
            <w:sz w:val="30"/>
            <w:szCs w:val="30"/>
          </w:rPr>
          <w:fldChar w:fldCharType="end"/>
        </w:r>
      </w:hyperlink>
    </w:p>
    <w:p w:rsidR="00AF3C55" w:rsidRPr="00C5049F" w:rsidP="00A55D50" w14:paraId="38BCE542" w14:textId="77777777">
      <w:pPr>
        <w:pStyle w:val="TOC2"/>
        <w:tabs>
          <w:tab w:val="right" w:leader="dot" w:pos="9062"/>
        </w:tabs>
        <w:ind w:left="0" w:leftChars="0"/>
        <w:rPr>
          <w:rFonts w:ascii="仿宋" w:eastAsia="仿宋" w:hAnsi="仿宋" w:cs="仿宋" w:hint="eastAsia"/>
          <w:noProof/>
          <w:sz w:val="30"/>
          <w:szCs w:val="30"/>
        </w:rPr>
      </w:pPr>
      <w:hyperlink w:anchor="_Toc141520081" w:history="1">
        <w:r w:rsidRPr="00C5049F">
          <w:rPr>
            <w:rFonts w:ascii="仿宋" w:eastAsia="仿宋" w:hAnsi="仿宋" w:cs="仿宋"/>
            <w:noProof/>
            <w:sz w:val="30"/>
            <w:szCs w:val="30"/>
          </w:rPr>
          <w:t>五、国有资本经营预算财政拨款支出决算情况说明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_Toc141520081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30</w:t>
        </w:r>
        <w:r w:rsidRPr="00C5049F">
          <w:rPr>
            <w:rFonts w:ascii="仿宋" w:eastAsia="仿宋" w:hAnsi="仿宋" w:cs="仿宋"/>
            <w:noProof/>
            <w:sz w:val="30"/>
            <w:szCs w:val="30"/>
          </w:rPr>
          <w:fldChar w:fldCharType="end"/>
        </w:r>
      </w:hyperlink>
    </w:p>
    <w:p w:rsidR="00AF3C55" w:rsidRPr="00C5049F" w:rsidP="00A55D50" w14:paraId="41B3F496" w14:textId="77777777">
      <w:pPr>
        <w:pStyle w:val="TOC2"/>
        <w:tabs>
          <w:tab w:val="right" w:leader="dot" w:pos="9062"/>
        </w:tabs>
        <w:ind w:left="0" w:leftChars="0"/>
        <w:rPr>
          <w:rFonts w:ascii="仿宋" w:eastAsia="仿宋" w:hAnsi="仿宋" w:cs="仿宋" w:hint="eastAsia"/>
          <w:noProof/>
          <w:sz w:val="30"/>
          <w:szCs w:val="30"/>
        </w:rPr>
      </w:pPr>
      <w:hyperlink w:anchor="_Toc141520082" w:history="1">
        <w:r w:rsidRPr="00C5049F">
          <w:rPr>
            <w:rFonts w:ascii="仿宋" w:eastAsia="仿宋" w:hAnsi="仿宋" w:cs="仿宋"/>
            <w:noProof/>
            <w:sz w:val="30"/>
            <w:szCs w:val="30"/>
          </w:rPr>
          <w:t>六、一般公共预算财政拨款基本支出决算情况说明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_Toc141520082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30</w:t>
        </w:r>
        <w:r w:rsidRPr="00C5049F">
          <w:rPr>
            <w:rFonts w:ascii="仿宋" w:eastAsia="仿宋" w:hAnsi="仿宋" w:cs="仿宋"/>
            <w:noProof/>
            <w:sz w:val="30"/>
            <w:szCs w:val="30"/>
          </w:rPr>
          <w:fldChar w:fldCharType="end"/>
        </w:r>
      </w:hyperlink>
    </w:p>
    <w:p w:rsidR="00AF3C55" w:rsidRPr="00C5049F" w:rsidP="00A55D50" w14:paraId="2FBAEFA4" w14:textId="77777777">
      <w:pPr>
        <w:pStyle w:val="TOC2"/>
        <w:tabs>
          <w:tab w:val="right" w:leader="dot" w:pos="9062"/>
        </w:tabs>
        <w:ind w:left="0" w:leftChars="0"/>
        <w:rPr>
          <w:rFonts w:ascii="仿宋" w:eastAsia="仿宋" w:hAnsi="仿宋" w:cs="仿宋" w:hint="eastAsia"/>
          <w:noProof/>
          <w:sz w:val="30"/>
          <w:szCs w:val="30"/>
        </w:rPr>
      </w:pPr>
      <w:hyperlink w:anchor="_Toc141520083" w:history="1">
        <w:r w:rsidRPr="00C5049F">
          <w:rPr>
            <w:rFonts w:ascii="仿宋" w:eastAsia="仿宋" w:hAnsi="仿宋" w:cs="仿宋"/>
            <w:noProof/>
            <w:sz w:val="30"/>
            <w:szCs w:val="30"/>
          </w:rPr>
          <w:t>七、一般公共预算财政拨款“三公”经费支出决算情况说明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_Toc141520083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31</w:t>
        </w:r>
        <w:r w:rsidRPr="00C5049F">
          <w:rPr>
            <w:rFonts w:ascii="仿宋" w:eastAsia="仿宋" w:hAnsi="仿宋" w:cs="仿宋"/>
            <w:noProof/>
            <w:sz w:val="30"/>
            <w:szCs w:val="30"/>
          </w:rPr>
          <w:fldChar w:fldCharType="end"/>
        </w:r>
      </w:hyperlink>
    </w:p>
    <w:p w:rsidR="00AF3C55" w:rsidRPr="00C5049F" w:rsidP="00A55D50" w14:paraId="3188358E" w14:textId="77777777">
      <w:pPr>
        <w:pStyle w:val="TOC2"/>
        <w:tabs>
          <w:tab w:val="right" w:leader="dot" w:pos="9062"/>
        </w:tabs>
        <w:ind w:left="0" w:leftChars="0"/>
        <w:rPr>
          <w:rFonts w:ascii="仿宋" w:eastAsia="仿宋" w:hAnsi="仿宋" w:cs="仿宋" w:hint="eastAsia"/>
          <w:noProof/>
          <w:sz w:val="30"/>
          <w:szCs w:val="30"/>
        </w:rPr>
      </w:pPr>
      <w:hyperlink w:anchor="_Toc141520084" w:history="1">
        <w:r w:rsidRPr="00C5049F">
          <w:rPr>
            <w:rFonts w:ascii="仿宋" w:eastAsia="仿宋" w:hAnsi="仿宋" w:cs="仿宋"/>
            <w:noProof/>
            <w:sz w:val="30"/>
            <w:szCs w:val="30"/>
          </w:rPr>
          <w:t>八、预算绩效情况说明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_Toc141520084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32</w:t>
        </w:r>
        <w:r w:rsidRPr="00C5049F">
          <w:rPr>
            <w:rFonts w:ascii="仿宋" w:eastAsia="仿宋" w:hAnsi="仿宋" w:cs="仿宋"/>
            <w:noProof/>
            <w:sz w:val="30"/>
            <w:szCs w:val="30"/>
          </w:rPr>
          <w:fldChar w:fldCharType="end"/>
        </w:r>
      </w:hyperlink>
    </w:p>
    <w:p w:rsidR="00AF3C55" w:rsidRPr="00C5049F" w:rsidP="00A55D50" w14:paraId="517B4D4B" w14:textId="77777777">
      <w:pPr>
        <w:pStyle w:val="TOC2"/>
        <w:tabs>
          <w:tab w:val="right" w:leader="dot" w:pos="9062"/>
        </w:tabs>
        <w:ind w:left="0" w:leftChars="0"/>
        <w:rPr>
          <w:rFonts w:ascii="仿宋" w:eastAsia="仿宋" w:hAnsi="仿宋" w:cs="仿宋" w:hint="eastAsia"/>
          <w:noProof/>
          <w:sz w:val="30"/>
          <w:szCs w:val="30"/>
        </w:rPr>
      </w:pPr>
      <w:hyperlink w:anchor="_Toc141520085" w:history="1">
        <w:r w:rsidRPr="00C5049F">
          <w:rPr>
            <w:rFonts w:ascii="仿宋" w:eastAsia="仿宋" w:hAnsi="仿宋" w:cs="仿宋"/>
            <w:noProof/>
            <w:sz w:val="30"/>
            <w:szCs w:val="30"/>
          </w:rPr>
          <w:t>九、其他重要事项</w:t>
        </w:r>
        <w:r>
          <w:rPr>
            <w:rFonts w:ascii="仿宋" w:eastAsia="仿宋" w:hAnsi="仿宋" w:cs="仿宋" w:hint="eastAsia"/>
            <w:noProof/>
            <w:sz w:val="30"/>
            <w:szCs w:val="30"/>
          </w:rPr>
          <w:t>情况</w:t>
        </w:r>
        <w:r w:rsidRPr="00C5049F">
          <w:rPr>
            <w:rFonts w:ascii="仿宋" w:eastAsia="仿宋" w:hAnsi="仿宋" w:cs="仿宋"/>
            <w:noProof/>
            <w:sz w:val="30"/>
            <w:szCs w:val="30"/>
          </w:rPr>
          <w:t>说明</w:t>
        </w:r>
        <w:r w:rsidRPr="00C5049F">
          <w:rPr>
            <w:rFonts w:ascii="仿宋" w:eastAsia="仿宋" w:hAnsi="仿宋" w:cs="仿宋"/>
            <w:noProof/>
            <w:sz w:val="30"/>
            <w:szCs w:val="30"/>
          </w:rPr>
          <w:tab/>
        </w:r>
        <w:r w:rsidRPr="00C5049F">
          <w:rPr>
            <w:rFonts w:ascii="仿宋" w:eastAsia="仿宋" w:hAnsi="仿宋" w:cs="仿宋"/>
            <w:noProof/>
            <w:sz w:val="30"/>
            <w:szCs w:val="30"/>
          </w:rPr>
          <w:fldChar w:fldCharType="begin"/>
        </w:r>
        <w:r w:rsidRPr="00C5049F">
          <w:rPr>
            <w:rFonts w:ascii="仿宋" w:eastAsia="仿宋" w:hAnsi="仿宋" w:cs="仿宋"/>
            <w:noProof/>
            <w:sz w:val="30"/>
            <w:szCs w:val="30"/>
          </w:rPr>
          <w:instrText xml:space="preserve"> PAGEREF _Toc141520085 \h </w:instrText>
        </w:r>
        <w:r w:rsidRPr="00C5049F">
          <w:rPr>
            <w:rFonts w:ascii="仿宋" w:eastAsia="仿宋" w:hAnsi="仿宋" w:cs="仿宋"/>
            <w:noProof/>
            <w:sz w:val="30"/>
            <w:szCs w:val="30"/>
          </w:rPr>
          <w:fldChar w:fldCharType="separate"/>
        </w:r>
        <w:r w:rsidRPr="00C5049F">
          <w:rPr>
            <w:rFonts w:ascii="仿宋" w:eastAsia="仿宋" w:hAnsi="仿宋" w:cs="仿宋"/>
            <w:noProof/>
            <w:sz w:val="30"/>
            <w:szCs w:val="30"/>
          </w:rPr>
          <w:t>33</w:t>
        </w:r>
        <w:r w:rsidRPr="00C5049F">
          <w:rPr>
            <w:rFonts w:ascii="仿宋" w:eastAsia="仿宋" w:hAnsi="仿宋" w:cs="仿宋"/>
            <w:noProof/>
            <w:sz w:val="30"/>
            <w:szCs w:val="30"/>
          </w:rPr>
          <w:fldChar w:fldCharType="end"/>
        </w:r>
      </w:hyperlink>
    </w:p>
    <w:p w:rsidR="00AF3C55" w:rsidRPr="00AF3C55" w14:paraId="025125BE" w14:textId="77777777">
      <w:pPr>
        <w:pStyle w:val="TOC1"/>
        <w:tabs>
          <w:tab w:val="right" w:leader="dot" w:pos="9062"/>
        </w:tabs>
        <w:rPr>
          <w:rFonts w:ascii="仿宋" w:eastAsia="仿宋" w:hAnsi="仿宋" w:cs="仿宋" w:hint="eastAsia"/>
          <w:b/>
          <w:bCs/>
          <w:noProof/>
          <w:sz w:val="30"/>
          <w:szCs w:val="30"/>
        </w:rPr>
      </w:pPr>
      <w:hyperlink w:anchor="_Toc141520086" w:history="1">
        <w:r w:rsidRPr="00AF3C55">
          <w:rPr>
            <w:rFonts w:ascii="仿宋" w:eastAsia="仿宋" w:hAnsi="仿宋" w:cs="仿宋"/>
            <w:b/>
            <w:bCs/>
            <w:noProof/>
            <w:sz w:val="30"/>
            <w:szCs w:val="30"/>
          </w:rPr>
          <w:t>第四部分 名词解释</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_Toc141520086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35</w:t>
        </w:r>
        <w:r w:rsidRPr="00AF3C55">
          <w:rPr>
            <w:rFonts w:ascii="仿宋" w:eastAsia="仿宋" w:hAnsi="仿宋" w:cs="仿宋"/>
            <w:b/>
            <w:bCs/>
            <w:noProof/>
            <w:sz w:val="30"/>
            <w:szCs w:val="30"/>
          </w:rPr>
          <w:fldChar w:fldCharType="end"/>
        </w:r>
      </w:hyperlink>
    </w:p>
    <w:p w:rsidR="00AF3C55" w:rsidRPr="00AF3C55" w14:paraId="7E21A849" w14:textId="77777777">
      <w:pPr>
        <w:pStyle w:val="TOC1"/>
        <w:tabs>
          <w:tab w:val="right" w:leader="dot" w:pos="9062"/>
        </w:tabs>
        <w:rPr>
          <w:rFonts w:ascii="仿宋" w:eastAsia="仿宋" w:hAnsi="仿宋" w:cs="仿宋" w:hint="eastAsia"/>
          <w:b/>
          <w:bCs/>
          <w:noProof/>
          <w:sz w:val="30"/>
          <w:szCs w:val="30"/>
        </w:rPr>
      </w:pPr>
      <w:hyperlink w:anchor="_Toc141520087" w:history="1">
        <w:r w:rsidRPr="00AF3C55">
          <w:rPr>
            <w:rFonts w:ascii="仿宋" w:eastAsia="仿宋" w:hAnsi="仿宋" w:cs="仿宋"/>
            <w:b/>
            <w:bCs/>
            <w:noProof/>
            <w:sz w:val="30"/>
            <w:szCs w:val="30"/>
          </w:rPr>
          <w:t>第五部分 附件</w:t>
        </w:r>
        <w:r w:rsidRPr="00AF3C55">
          <w:rPr>
            <w:rFonts w:ascii="仿宋" w:eastAsia="仿宋" w:hAnsi="仿宋" w:cs="仿宋"/>
            <w:b/>
            <w:bCs/>
            <w:noProof/>
            <w:sz w:val="30"/>
            <w:szCs w:val="30"/>
          </w:rPr>
          <w:tab/>
        </w:r>
        <w:r w:rsidRPr="00AF3C55">
          <w:rPr>
            <w:rFonts w:ascii="仿宋" w:eastAsia="仿宋" w:hAnsi="仿宋" w:cs="仿宋"/>
            <w:b/>
            <w:bCs/>
            <w:noProof/>
            <w:sz w:val="30"/>
            <w:szCs w:val="30"/>
          </w:rPr>
          <w:fldChar w:fldCharType="begin"/>
        </w:r>
        <w:r w:rsidRPr="00AF3C55">
          <w:rPr>
            <w:rFonts w:ascii="仿宋" w:eastAsia="仿宋" w:hAnsi="仿宋" w:cs="仿宋"/>
            <w:b/>
            <w:bCs/>
            <w:noProof/>
            <w:sz w:val="30"/>
            <w:szCs w:val="30"/>
          </w:rPr>
          <w:instrText xml:space="preserve"> PAGEREF _Toc141520087 \h </w:instrText>
        </w:r>
        <w:r w:rsidRPr="00AF3C55">
          <w:rPr>
            <w:rFonts w:ascii="仿宋" w:eastAsia="仿宋" w:hAnsi="仿宋" w:cs="仿宋"/>
            <w:b/>
            <w:bCs/>
            <w:noProof/>
            <w:sz w:val="30"/>
            <w:szCs w:val="30"/>
          </w:rPr>
          <w:fldChar w:fldCharType="separate"/>
        </w:r>
        <w:r w:rsidRPr="00AF3C55">
          <w:rPr>
            <w:rFonts w:ascii="仿宋" w:eastAsia="仿宋" w:hAnsi="仿宋" w:cs="仿宋"/>
            <w:b/>
            <w:bCs/>
            <w:noProof/>
            <w:sz w:val="30"/>
            <w:szCs w:val="30"/>
          </w:rPr>
          <w:t>38</w:t>
        </w:r>
        <w:r w:rsidRPr="00AF3C55">
          <w:rPr>
            <w:rFonts w:ascii="仿宋" w:eastAsia="仿宋" w:hAnsi="仿宋" w:cs="仿宋"/>
            <w:b/>
            <w:bCs/>
            <w:noProof/>
            <w:sz w:val="30"/>
            <w:szCs w:val="30"/>
          </w:rPr>
          <w:fldChar w:fldCharType="end"/>
        </w:r>
      </w:hyperlink>
    </w:p>
    <w:p w:rsidR="00B2512C" w:rsidP="00D52987" w14:paraId="6C41F68D" w14:textId="77777777">
      <w:pPr>
        <w:pStyle w:val="TOC2"/>
        <w:tabs>
          <w:tab w:val="right" w:leader="dot" w:pos="9072"/>
        </w:tabs>
        <w:ind w:left="0" w:leftChars="0"/>
        <w:rPr>
          <w:rFonts w:ascii="仿宋" w:eastAsia="仿宋" w:hAnsi="仿宋" w:cs="仿宋" w:hint="eastAsia"/>
          <w:b/>
          <w:sz w:val="32"/>
          <w:szCs w:val="32"/>
        </w:rPr>
        <w:sectPr>
          <w:pgSz w:w="11906" w:h="16838"/>
          <w:pgMar w:top="1702" w:right="1417" w:bottom="1843" w:left="1417" w:header="851" w:footer="992" w:gutter="0"/>
          <w:cols w:space="425"/>
          <w:docGrid w:type="lines" w:linePitch="312"/>
        </w:sectPr>
      </w:pPr>
      <w:r>
        <w:rPr>
          <w:rFonts w:ascii="仿宋" w:eastAsia="仿宋" w:hAnsi="仿宋" w:cs="仿宋" w:hint="eastAsia"/>
          <w:sz w:val="30"/>
          <w:szCs w:val="30"/>
        </w:rPr>
        <w:fldChar w:fldCharType="end"/>
      </w:r>
    </w:p>
    <w:p w:rsidR="00B2512C" w14:paraId="399C5DB5" w14:textId="77777777">
      <w:pPr>
        <w:pStyle w:val="WPSOffice1"/>
        <w:tabs>
          <w:tab w:val="right" w:leader="dot" w:pos="8306"/>
        </w:tabs>
      </w:pPr>
    </w:p>
    <w:p w:rsidR="00380D33" w14:paraId="3EC3C48B" w14:textId="77777777">
      <w:pPr>
        <w:pStyle w:val="Heading1"/>
        <w:rPr>
          <w:rFonts w:ascii="黑体" w:hAnsi="黑体" w:hint="eastAsia"/>
          <w:sz w:val="56"/>
          <w:szCs w:val="56"/>
        </w:rPr>
      </w:pPr>
      <w:bookmarkStart w:id="0" w:name="_Toc662"/>
      <w:bookmarkStart w:id="1" w:name="_Toc141520062"/>
    </w:p>
    <w:p w:rsidR="00380D33" w14:paraId="7757CF86" w14:textId="77777777">
      <w:pPr>
        <w:pStyle w:val="Heading1"/>
        <w:rPr>
          <w:rFonts w:ascii="黑体" w:hAnsi="黑体" w:hint="eastAsia"/>
          <w:sz w:val="56"/>
          <w:szCs w:val="56"/>
        </w:rPr>
      </w:pPr>
    </w:p>
    <w:p w:rsidR="00380D33" w14:paraId="7EC14F5F" w14:textId="77777777">
      <w:pPr>
        <w:pStyle w:val="Heading1"/>
        <w:rPr>
          <w:rFonts w:ascii="黑体" w:hAnsi="黑体" w:hint="eastAsia"/>
          <w:sz w:val="56"/>
          <w:szCs w:val="56"/>
        </w:rPr>
      </w:pPr>
    </w:p>
    <w:p w:rsidR="00380D33" w:rsidP="00380D33" w14:paraId="590EEDEA" w14:textId="77777777">
      <w:pPr>
        <w:pStyle w:val="Heading1"/>
        <w:jc w:val="both"/>
        <w:rPr>
          <w:rFonts w:ascii="黑体" w:hAnsi="黑体" w:hint="eastAsia"/>
          <w:sz w:val="56"/>
          <w:szCs w:val="56"/>
        </w:rPr>
      </w:pPr>
    </w:p>
    <w:p w:rsidR="00380D33" w:rsidP="00380D33" w14:paraId="2CCA1455" w14:textId="77777777">
      <w:pPr>
        <w:pStyle w:val="Heading1"/>
        <w:jc w:val="left"/>
        <w:rPr>
          <w:rFonts w:ascii="黑体" w:hAnsi="黑体" w:hint="eastAsia"/>
          <w:sz w:val="56"/>
          <w:szCs w:val="56"/>
        </w:rPr>
      </w:pPr>
      <w:r w:rsidRPr="00380D33">
        <w:rPr>
          <w:rFonts w:ascii="黑体" w:hAnsi="黑体" w:hint="eastAsia"/>
          <w:sz w:val="56"/>
          <w:szCs w:val="56"/>
        </w:rPr>
        <w:t xml:space="preserve">第一部分 </w:t>
      </w:r>
    </w:p>
    <w:p w:rsidR="00380D33" w:rsidRPr="00380D33" w:rsidP="00380D33" w14:paraId="5F7AD10D" w14:textId="77777777">
      <w:pPr>
        <w:pStyle w:val="Heading1"/>
        <w:rPr>
          <w:rFonts w:ascii="黑体" w:hAnsi="黑体" w:hint="eastAsia"/>
          <w:sz w:val="56"/>
          <w:szCs w:val="56"/>
        </w:rPr>
      </w:pPr>
      <w:r w:rsidRPr="00380D33">
        <w:rPr>
          <w:rFonts w:ascii="黑体" w:hAnsi="黑体" w:hint="eastAsia"/>
          <w:sz w:val="56"/>
          <w:szCs w:val="56"/>
        </w:rPr>
        <w:t>部门概况</w:t>
      </w:r>
      <w:bookmarkEnd w:id="0"/>
      <w:bookmarkEnd w:id="1"/>
    </w:p>
    <w:p w:rsidR="00380D33" w14:paraId="05B2C734" w14:textId="77777777">
      <w:pPr>
        <w:widowControl/>
        <w:spacing w:line="240" w:lineRule="auto"/>
        <w:jc w:val="left"/>
        <w:rPr>
          <w:rFonts w:eastAsia="黑体"/>
          <w:b/>
          <w:kern w:val="44"/>
          <w:sz w:val="36"/>
        </w:rPr>
      </w:pPr>
      <w:r>
        <w:br w:type="page"/>
      </w:r>
    </w:p>
    <w:p w:rsidR="00B2512C" w:rsidRPr="00380D33" w14:paraId="3690C373" w14:textId="77777777">
      <w:pPr>
        <w:pStyle w:val="Heading1"/>
      </w:pPr>
    </w:p>
    <w:p w:rsidR="00B2512C" w14:paraId="6AA6D709" w14:textId="77777777">
      <w:pPr>
        <w:pStyle w:val="Heading2"/>
      </w:pPr>
      <w:bookmarkStart w:id="2" w:name="_Toc21655"/>
      <w:bookmarkStart w:id="3" w:name="_Toc141520063"/>
      <w:r>
        <w:rPr>
          <w:rFonts w:hint="eastAsia"/>
        </w:rPr>
        <w:t>一、部门主要职责</w:t>
      </w:r>
      <w:bookmarkEnd w:id="2"/>
      <w:bookmarkEnd w:id="3"/>
    </w:p>
    <w:p w:rsidR="00B2512C" w14:paraId="1D946052" w14:textId="77777777">
      <w:pPr>
        <w:spacing w:line="600" w:lineRule="exact"/>
        <w:ind w:firstLine="640" w:firstLineChars="200"/>
        <w:jc w:val="left"/>
        <w:rPr>
          <w:rFonts w:ascii="仿宋" w:eastAsia="仿宋" w:hAnsi="仿宋" w:cs="仿宋_GB2312" w:hint="eastAsia"/>
          <w:sz w:val="32"/>
          <w:szCs w:val="32"/>
        </w:rPr>
      </w:pPr>
      <w:r>
        <w:rPr>
          <w:rFonts w:ascii="仿宋" w:eastAsia="仿宋" w:hAnsi="仿宋" w:hint="eastAsia"/>
          <w:sz w:val="32"/>
          <w:szCs w:val="32"/>
        </w:rPr>
        <w:t>南安市林业局部门的主要职责是：</w:t>
        <w:br/>
        <w:t xml:space="preserve">    （一）贯彻执行林业发展的方针、政策、法律、法规和规章；研究、拟定全市林业发展战略、中长期规划和计划，依法检查监督贯彻执行情况；拟定并组织实施林业用地使用规划；指导全市林业经济体制改革。</w:t>
        <w:br/>
        <w:t xml:space="preserve">    （二）组织、指导国土绿化和植树造林、封山育林、治沙、种草、天然林保护等林业生态环境建设；组织、指导森林、湿地和陆生野生动植物类型自然保护区、森林公园、流域森林生态系统、沿海防护林体系的建设和管理；组织、指导除城市规划区以外的古树名木保护工作。</w:t>
        <w:br/>
        <w:t xml:space="preserve">    （三）组织、指导全市陆生野生动植物资源的保护与合理开发；负责陆生濒危物种及国家、省保护的陆生野生动植物及其产品进出口的审核工作；组织、协调全市湿地保护工作。</w:t>
        <w:br/>
        <w:t xml:space="preserve">    （四）组织、指导全市林木种苗生产、管理及各类商品林（包括用材林、经济林、薪炭林、药用林、竹林）、特种用途林、工业原料林基地建设与管理；对包括木竹生产及加工、林产化工、木片生产、木浆造纸、森林旅游、药材、花卉、陆生野生动植物种、养、加工业在内的林产业实行行业管理；指导林业企业的改革与发展和林产品市场体系规划。</w:t>
        <w:br/>
        <w:t xml:space="preserve">    （五）组织、指导全市森林资源（含经济林、薪炭林、热带林作物、红树林及其他特种用途林）的管理和资源调查规划、设计、动态监测、评估与统计；审核并监督森林资源的使用；组织森林经营方案和森林采伐限额的编制及批准后的实施监督；依法监督凭证采伐（狩猎）、运输、经营加工木竹及陆生野生动植物；负责林地、林木权属管理和征用、占用林地的审核。</w:t>
        <w:br/>
        <w:t xml:space="preserve">    （六）管理市级林业各项资金，监督全市林业基金的管理和使用；指导林业基本建设；负责林业重点基本建设和技术改造项目的审核，提出林业发展的经济调节意见；组织、指导全市林业统计工作。</w:t>
        <w:br/>
        <w:t xml:space="preserve">    （七）指导、协调、监督查处破坏森林资源和陆生野生动植物资源的案件；组织、指导全市森林病虫害的预测预报、防治和森林植物检疫工作。</w:t>
        <w:br/>
        <w:t xml:space="preserve">    （八）组织、指导林业科技创新工作，组织科研项目攻关和科研成果的推广应用；管理本行业标准化和质量管理工作，组织植物新品种保护和管理工作。</w:t>
        <w:br/>
        <w:t xml:space="preserve">    （九）组织、指导全市林业引智、信息化管理工作；指导全市林业教育、宣传工作和林业队伍建设；监督林业行业安全工作。</w:t>
        <w:br/>
        <w:t xml:space="preserve">    （十）受市政府委托，协助管理市森林防火指挥部办公室、市绿化委员会办公室、市调查处理山林纠纷工作小组办公室日常工作。</w:t>
        <w:br/>
        <w:t xml:space="preserve">    （十一）负责乡镇林业站人事、调配、工资、业务教育培训等管理工作。</w:t>
      </w:r>
    </w:p>
    <w:p w:rsidR="00B2512C" w14:paraId="603FDA6A" w14:textId="77777777">
      <w:pPr>
        <w:pStyle w:val="Heading2"/>
      </w:pPr>
      <w:bookmarkStart w:id="4" w:name="_Toc12932"/>
      <w:bookmarkStart w:id="5" w:name="_Toc141520064"/>
      <w:r>
        <w:rPr>
          <w:rFonts w:hint="eastAsia"/>
        </w:rPr>
        <w:t>二、部门决算单位基本情况</w:t>
      </w:r>
      <w:bookmarkEnd w:id="4"/>
      <w:bookmarkEnd w:id="5"/>
    </w:p>
    <w:p w:rsidR="00B2512C" w14:paraId="0CAB104B" w14:textId="77777777">
      <w:pPr>
        <w:tabs>
          <w:tab w:val="left" w:pos="7513"/>
        </w:tabs>
        <w:adjustRightInd w:val="0"/>
        <w:snapToGrid w:val="0"/>
        <w:spacing w:line="600" w:lineRule="exact"/>
        <w:ind w:firstLine="640" w:firstLineChars="200"/>
        <w:rPr>
          <w:rFonts w:ascii="仿宋" w:eastAsia="仿宋" w:hAnsi="仿宋" w:cs="Times New Roman" w:hint="eastAsia"/>
          <w:sz w:val="32"/>
          <w:szCs w:val="32"/>
        </w:rPr>
      </w:pPr>
      <w:r>
        <w:rPr>
          <w:rFonts w:ascii="仿宋" w:eastAsia="仿宋" w:hAnsi="仿宋" w:cs="仿宋_GB2312" w:hint="eastAsia"/>
          <w:sz w:val="32"/>
          <w:szCs w:val="32"/>
        </w:rPr>
        <w:t>从决算单位构成看，南安市林业局部门包括3个机关行政科室及6个下属单位，其中：列入2025年部门决算编制范围的单位详细情况见下表:</w:t>
      </w:r>
    </w:p>
    <w:tbl>
      <w:tblPr>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3"/>
        <w:gridCol w:w="6993"/>
      </w:tblGrid>
      <w:tr w14:paraId="55165E04" w14:textId="5154550E" w:rsidTr="006918DC">
        <w:tblPrEx>
          <w:tblW w:w="8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664"/>
          <w:jc w:val="center"/>
        </w:trPr>
        <w:tc>
          <w:tcPr>
            <w:tcW w:w="1523" w:type="dxa"/>
            <w:tcBorders>
              <w:top w:val="single" w:sz="4" w:space="0" w:color="auto"/>
              <w:left w:val="single" w:sz="4" w:space="0" w:color="auto"/>
              <w:bottom w:val="single" w:sz="4" w:space="0" w:color="auto"/>
              <w:right w:val="single" w:sz="4" w:space="0" w:color="auto"/>
            </w:tcBorders>
          </w:tcPr>
          <w:p w:rsidR="001F6302" w:rsidP="00912703" w14:paraId="03A6F658" w14:textId="515E101F">
            <w:pPr>
              <w:spacing w:line="600" w:lineRule="exact"/>
              <w:jc w:val="center"/>
              <w:rPr>
                <w:rFonts w:ascii="仿宋" w:eastAsia="仿宋" w:hAnsi="仿宋" w:cs="仿宋_GB2312" w:hint="eastAsia"/>
                <w:sz w:val="32"/>
                <w:szCs w:val="32"/>
              </w:rPr>
            </w:pPr>
            <w:r>
              <w:rPr>
                <w:rFonts w:ascii="仿宋" w:eastAsia="仿宋" w:hAnsi="仿宋" w:cs="仿宋_GB2312" w:hint="eastAsia"/>
                <w:sz w:val="32"/>
                <w:szCs w:val="32"/>
              </w:rPr>
              <w:t>序号</w:t>
            </w:r>
          </w:p>
        </w:tc>
        <w:tc>
          <w:tcPr>
            <w:tcW w:w="6993" w:type="dxa"/>
            <w:tcBorders>
              <w:top w:val="single" w:sz="4" w:space="0" w:color="auto"/>
              <w:left w:val="single" w:sz="4" w:space="0" w:color="auto"/>
              <w:bottom w:val="single" w:sz="4" w:space="0" w:color="auto"/>
              <w:right w:val="single" w:sz="4" w:space="0" w:color="auto"/>
            </w:tcBorders>
          </w:tcPr>
          <w:p w:rsidR="001F6302" w:rsidP="00912703" w14:paraId="4803CE83" w14:textId="195F9A16">
            <w:pPr>
              <w:spacing w:line="600" w:lineRule="exact"/>
              <w:jc w:val="center"/>
              <w:rPr>
                <w:rFonts w:ascii="仿宋" w:eastAsia="仿宋" w:hAnsi="仿宋" w:cs="仿宋_GB2312" w:hint="eastAsia"/>
                <w:sz w:val="32"/>
                <w:szCs w:val="32"/>
              </w:rPr>
            </w:pPr>
            <w:r>
              <w:rPr>
                <w:rFonts w:ascii="仿宋" w:eastAsia="仿宋" w:hAnsi="仿宋" w:cs="仿宋_GB2312" w:hint="eastAsia"/>
                <w:sz w:val="32"/>
                <w:szCs w:val="32"/>
              </w:rPr>
              <w:t>单位名称</w:t>
            </w:r>
          </w:p>
        </w:tc>
      </w:tr>
      <w:tr>
        <w:tblPrEx>
          <w:tblW w:w="8516" w:type="dxa"/>
          <w:jc w:val="center"/>
          <w:tblLayout w:type="fixed"/>
          <w:tblLook w:val="04A0"/>
        </w:tblPrEx>
        <w:trPr>
          <w:jc w:val="center"/>
        </w:trPr>
        <w:tc>
          <w:tcPr>
            <w:tcW w:w="1523" w:type="dxa"/>
            <w:tcBorders>
              <w:top w:val="single" w:sz="4" w:space="0" w:color="auto"/>
              <w:left w:val="single" w:sz="4" w:space="0" w:color="auto"/>
              <w:bottom w:val="single" w:sz="4" w:space="0" w:color="auto"/>
              <w:right w:val="single" w:sz="4" w:space="0" w:color="auto"/>
            </w:tcBorders>
          </w:tcPr>
          <w:p>
            <w:pPr>
              <w:pageBreakBefore w:val="0"/>
              <w:spacing w:line="600" w:lineRule="exact"/>
              <w:jc w:val="center"/>
              <w:textAlignment w:val="auto"/>
            </w:pPr>
            <w:r>
              <w:rPr>
                <w:rFonts w:ascii="仿宋" w:eastAsia="仿宋" w:hAnsi="仿宋"/>
                <w:b w:val="0"/>
                <w:i w:val="0"/>
                <w:strike w:val="0"/>
                <w:color w:val="auto"/>
                <w:position w:val="-1"/>
                <w:sz w:val="32"/>
                <w:u w:val="none"/>
              </w:rPr>
              <w:t>1</w:t>
            </w:r>
          </w:p>
        </w:tc>
        <w:tc>
          <w:tcPr>
            <w:tcW w:w="6993"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left"/>
              <w:textAlignment w:val="auto"/>
            </w:pPr>
            <w:r>
              <w:rPr>
                <w:rFonts w:ascii="仿宋" w:eastAsia="仿宋" w:hAnsi="仿宋"/>
                <w:b w:val="0"/>
                <w:i w:val="0"/>
                <w:strike w:val="0"/>
                <w:color w:val="auto"/>
                <w:position w:val="-1"/>
                <w:sz w:val="32"/>
                <w:u w:val="none"/>
              </w:rPr>
              <w:t>南安市林业局</w:t>
            </w:r>
          </w:p>
        </w:tc>
      </w:tr>
      <w:tr>
        <w:tblPrEx>
          <w:tblW w:w="8516" w:type="dxa"/>
          <w:jc w:val="center"/>
          <w:tblLayout w:type="fixed"/>
          <w:tblLook w:val="04A0"/>
        </w:tblPrEx>
        <w:trPr>
          <w:jc w:val="center"/>
        </w:trPr>
        <w:tc>
          <w:tcPr>
            <w:tcW w:w="1523" w:type="dxa"/>
            <w:tcBorders>
              <w:top w:val="single" w:sz="4" w:space="0" w:color="auto"/>
              <w:left w:val="single" w:sz="4" w:space="0" w:color="auto"/>
              <w:bottom w:val="single" w:sz="4" w:space="0" w:color="auto"/>
              <w:right w:val="single" w:sz="4" w:space="0" w:color="auto"/>
            </w:tcBorders>
          </w:tcPr>
          <w:p>
            <w:pPr>
              <w:pageBreakBefore w:val="0"/>
              <w:spacing w:line="600" w:lineRule="exact"/>
              <w:jc w:val="center"/>
              <w:textAlignment w:val="auto"/>
            </w:pPr>
            <w:r>
              <w:rPr>
                <w:rFonts w:ascii="仿宋" w:eastAsia="仿宋" w:hAnsi="仿宋"/>
                <w:b w:val="0"/>
                <w:i w:val="0"/>
                <w:strike w:val="0"/>
                <w:color w:val="auto"/>
                <w:position w:val="-1"/>
                <w:sz w:val="32"/>
                <w:u w:val="none"/>
              </w:rPr>
              <w:t>2</w:t>
            </w:r>
          </w:p>
        </w:tc>
        <w:tc>
          <w:tcPr>
            <w:tcW w:w="6993"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left"/>
              <w:textAlignment w:val="auto"/>
            </w:pPr>
            <w:r>
              <w:rPr>
                <w:rFonts w:ascii="仿宋" w:eastAsia="仿宋" w:hAnsi="仿宋"/>
                <w:b w:val="0"/>
                <w:i w:val="0"/>
                <w:strike w:val="0"/>
                <w:color w:val="auto"/>
                <w:position w:val="-1"/>
                <w:sz w:val="32"/>
                <w:u w:val="none"/>
              </w:rPr>
              <w:t>南安市森林病虫害防治站</w:t>
            </w:r>
          </w:p>
        </w:tc>
      </w:tr>
      <w:tr>
        <w:tblPrEx>
          <w:tblW w:w="8516" w:type="dxa"/>
          <w:jc w:val="center"/>
          <w:tblLayout w:type="fixed"/>
          <w:tblLook w:val="04A0"/>
        </w:tblPrEx>
        <w:trPr>
          <w:jc w:val="center"/>
        </w:trPr>
        <w:tc>
          <w:tcPr>
            <w:tcW w:w="1523" w:type="dxa"/>
            <w:tcBorders>
              <w:top w:val="single" w:sz="4" w:space="0" w:color="auto"/>
              <w:left w:val="single" w:sz="4" w:space="0" w:color="auto"/>
              <w:bottom w:val="single" w:sz="4" w:space="0" w:color="auto"/>
              <w:right w:val="single" w:sz="4" w:space="0" w:color="auto"/>
            </w:tcBorders>
          </w:tcPr>
          <w:p>
            <w:pPr>
              <w:pageBreakBefore w:val="0"/>
              <w:spacing w:line="600" w:lineRule="exact"/>
              <w:jc w:val="center"/>
              <w:textAlignment w:val="auto"/>
            </w:pPr>
            <w:r>
              <w:rPr>
                <w:rFonts w:ascii="仿宋" w:eastAsia="仿宋" w:hAnsi="仿宋"/>
                <w:b w:val="0"/>
                <w:i w:val="0"/>
                <w:strike w:val="0"/>
                <w:color w:val="auto"/>
                <w:position w:val="-1"/>
                <w:sz w:val="32"/>
                <w:u w:val="none"/>
              </w:rPr>
              <w:t>3</w:t>
            </w:r>
          </w:p>
        </w:tc>
        <w:tc>
          <w:tcPr>
            <w:tcW w:w="6993"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left"/>
              <w:textAlignment w:val="auto"/>
            </w:pPr>
            <w:r>
              <w:rPr>
                <w:rFonts w:ascii="仿宋" w:eastAsia="仿宋" w:hAnsi="仿宋"/>
                <w:b w:val="0"/>
                <w:i w:val="0"/>
                <w:strike w:val="0"/>
                <w:color w:val="auto"/>
                <w:position w:val="-1"/>
                <w:sz w:val="32"/>
                <w:u w:val="none"/>
              </w:rPr>
              <w:t>南安市林业基金管理站</w:t>
            </w:r>
          </w:p>
        </w:tc>
      </w:tr>
      <w:tr>
        <w:tblPrEx>
          <w:tblW w:w="8516" w:type="dxa"/>
          <w:jc w:val="center"/>
          <w:tblLayout w:type="fixed"/>
          <w:tblLook w:val="04A0"/>
        </w:tblPrEx>
        <w:trPr>
          <w:jc w:val="center"/>
        </w:trPr>
        <w:tc>
          <w:tcPr>
            <w:tcW w:w="1523" w:type="dxa"/>
            <w:tcBorders>
              <w:top w:val="single" w:sz="4" w:space="0" w:color="auto"/>
              <w:left w:val="single" w:sz="4" w:space="0" w:color="auto"/>
              <w:bottom w:val="single" w:sz="4" w:space="0" w:color="auto"/>
              <w:right w:val="single" w:sz="4" w:space="0" w:color="auto"/>
            </w:tcBorders>
          </w:tcPr>
          <w:p>
            <w:pPr>
              <w:pageBreakBefore w:val="0"/>
              <w:spacing w:line="600" w:lineRule="exact"/>
              <w:jc w:val="center"/>
              <w:textAlignment w:val="auto"/>
            </w:pPr>
            <w:r>
              <w:rPr>
                <w:rFonts w:ascii="仿宋" w:eastAsia="仿宋" w:hAnsi="仿宋"/>
                <w:b w:val="0"/>
                <w:i w:val="0"/>
                <w:strike w:val="0"/>
                <w:color w:val="auto"/>
                <w:position w:val="-1"/>
                <w:sz w:val="32"/>
                <w:u w:val="none"/>
              </w:rPr>
              <w:t>4</w:t>
            </w:r>
          </w:p>
        </w:tc>
        <w:tc>
          <w:tcPr>
            <w:tcW w:w="6993"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left"/>
              <w:textAlignment w:val="auto"/>
            </w:pPr>
            <w:r>
              <w:rPr>
                <w:rFonts w:ascii="仿宋" w:eastAsia="仿宋" w:hAnsi="仿宋"/>
                <w:b w:val="0"/>
                <w:i w:val="0"/>
                <w:strike w:val="0"/>
                <w:color w:val="auto"/>
                <w:position w:val="-1"/>
                <w:sz w:val="32"/>
                <w:u w:val="none"/>
              </w:rPr>
              <w:t>南安市森林资源管理站</w:t>
            </w:r>
          </w:p>
        </w:tc>
      </w:tr>
      <w:tr>
        <w:tblPrEx>
          <w:tblW w:w="8516" w:type="dxa"/>
          <w:jc w:val="center"/>
          <w:tblLayout w:type="fixed"/>
          <w:tblLook w:val="04A0"/>
        </w:tblPrEx>
        <w:trPr>
          <w:jc w:val="center"/>
        </w:trPr>
        <w:tc>
          <w:tcPr>
            <w:tcW w:w="1523" w:type="dxa"/>
            <w:tcBorders>
              <w:top w:val="single" w:sz="4" w:space="0" w:color="auto"/>
              <w:left w:val="single" w:sz="4" w:space="0" w:color="auto"/>
              <w:bottom w:val="single" w:sz="4" w:space="0" w:color="auto"/>
              <w:right w:val="single" w:sz="4" w:space="0" w:color="auto"/>
            </w:tcBorders>
          </w:tcPr>
          <w:p>
            <w:pPr>
              <w:pageBreakBefore w:val="0"/>
              <w:spacing w:line="600" w:lineRule="exact"/>
              <w:jc w:val="center"/>
              <w:textAlignment w:val="auto"/>
            </w:pPr>
            <w:r>
              <w:rPr>
                <w:rFonts w:ascii="仿宋" w:eastAsia="仿宋" w:hAnsi="仿宋"/>
                <w:b w:val="0"/>
                <w:i w:val="0"/>
                <w:strike w:val="0"/>
                <w:color w:val="auto"/>
                <w:position w:val="-1"/>
                <w:sz w:val="32"/>
                <w:u w:val="none"/>
              </w:rPr>
              <w:t>5</w:t>
            </w:r>
          </w:p>
        </w:tc>
        <w:tc>
          <w:tcPr>
            <w:tcW w:w="6993"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left"/>
              <w:textAlignment w:val="auto"/>
            </w:pPr>
            <w:r>
              <w:rPr>
                <w:rFonts w:ascii="仿宋" w:eastAsia="仿宋" w:hAnsi="仿宋"/>
                <w:b w:val="0"/>
                <w:i w:val="0"/>
                <w:strike w:val="0"/>
                <w:color w:val="auto"/>
                <w:position w:val="-1"/>
                <w:sz w:val="32"/>
                <w:u w:val="none"/>
              </w:rPr>
              <w:t>南安市林业局营林管理站</w:t>
            </w:r>
          </w:p>
        </w:tc>
      </w:tr>
      <w:tr>
        <w:tblPrEx>
          <w:tblW w:w="8516" w:type="dxa"/>
          <w:jc w:val="center"/>
          <w:tblLayout w:type="fixed"/>
          <w:tblLook w:val="04A0"/>
        </w:tblPrEx>
        <w:trPr>
          <w:jc w:val="center"/>
        </w:trPr>
        <w:tc>
          <w:tcPr>
            <w:tcW w:w="1523" w:type="dxa"/>
            <w:tcBorders>
              <w:top w:val="single" w:sz="4" w:space="0" w:color="auto"/>
              <w:left w:val="single" w:sz="4" w:space="0" w:color="auto"/>
              <w:bottom w:val="single" w:sz="4" w:space="0" w:color="auto"/>
              <w:right w:val="single" w:sz="4" w:space="0" w:color="auto"/>
            </w:tcBorders>
          </w:tcPr>
          <w:p>
            <w:pPr>
              <w:pageBreakBefore w:val="0"/>
              <w:spacing w:line="600" w:lineRule="exact"/>
              <w:jc w:val="center"/>
              <w:textAlignment w:val="auto"/>
            </w:pPr>
            <w:r>
              <w:rPr>
                <w:rFonts w:ascii="仿宋" w:eastAsia="仿宋" w:hAnsi="仿宋"/>
                <w:b w:val="0"/>
                <w:i w:val="0"/>
                <w:strike w:val="0"/>
                <w:color w:val="auto"/>
                <w:position w:val="-1"/>
                <w:sz w:val="32"/>
                <w:u w:val="none"/>
              </w:rPr>
              <w:t>6</w:t>
            </w:r>
          </w:p>
        </w:tc>
        <w:tc>
          <w:tcPr>
            <w:tcW w:w="6993"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left"/>
              <w:textAlignment w:val="auto"/>
            </w:pPr>
            <w:r>
              <w:rPr>
                <w:rFonts w:ascii="仿宋" w:eastAsia="仿宋" w:hAnsi="仿宋"/>
                <w:b w:val="0"/>
                <w:i w:val="0"/>
                <w:strike w:val="0"/>
                <w:color w:val="auto"/>
                <w:position w:val="-1"/>
                <w:sz w:val="32"/>
                <w:u w:val="none"/>
              </w:rPr>
              <w:t>南安市林业科技推广站</w:t>
            </w:r>
          </w:p>
        </w:tc>
      </w:tr>
      <w:tr>
        <w:tblPrEx>
          <w:tblW w:w="8516" w:type="dxa"/>
          <w:jc w:val="center"/>
          <w:tblLayout w:type="fixed"/>
          <w:tblLook w:val="04A0"/>
        </w:tblPrEx>
        <w:trPr>
          <w:jc w:val="center"/>
        </w:trPr>
        <w:tc>
          <w:tcPr>
            <w:tcW w:w="1523" w:type="dxa"/>
            <w:tcBorders>
              <w:top w:val="single" w:sz="4" w:space="0" w:color="auto"/>
              <w:left w:val="single" w:sz="4" w:space="0" w:color="auto"/>
              <w:bottom w:val="single" w:sz="4" w:space="0" w:color="auto"/>
              <w:right w:val="single" w:sz="4" w:space="0" w:color="auto"/>
            </w:tcBorders>
          </w:tcPr>
          <w:p>
            <w:pPr>
              <w:pageBreakBefore w:val="0"/>
              <w:spacing w:line="600" w:lineRule="exact"/>
              <w:jc w:val="center"/>
              <w:textAlignment w:val="auto"/>
            </w:pPr>
            <w:r>
              <w:rPr>
                <w:rFonts w:ascii="仿宋" w:eastAsia="仿宋" w:hAnsi="仿宋"/>
                <w:b w:val="0"/>
                <w:i w:val="0"/>
                <w:strike w:val="0"/>
                <w:color w:val="auto"/>
                <w:position w:val="-1"/>
                <w:sz w:val="32"/>
                <w:u w:val="none"/>
              </w:rPr>
              <w:t>7</w:t>
            </w:r>
          </w:p>
        </w:tc>
        <w:tc>
          <w:tcPr>
            <w:tcW w:w="6993" w:type="dxa"/>
            <w:tcBorders>
              <w:top w:val="single" w:sz="4" w:space="0" w:color="auto"/>
              <w:left w:val="single" w:sz="4" w:space="0" w:color="auto"/>
              <w:bottom w:val="single" w:sz="4" w:space="0" w:color="auto"/>
              <w:right w:val="single" w:sz="4" w:space="0" w:color="auto"/>
            </w:tcBorders>
            <w:vAlign w:val="center"/>
          </w:tcPr>
          <w:p>
            <w:pPr>
              <w:pageBreakBefore w:val="0"/>
              <w:spacing w:line="600" w:lineRule="exact"/>
              <w:jc w:val="left"/>
              <w:textAlignment w:val="auto"/>
            </w:pPr>
            <w:r>
              <w:rPr>
                <w:rFonts w:ascii="仿宋" w:eastAsia="仿宋" w:hAnsi="仿宋"/>
                <w:b w:val="0"/>
                <w:i w:val="0"/>
                <w:strike w:val="0"/>
                <w:color w:val="auto"/>
                <w:position w:val="-1"/>
                <w:sz w:val="32"/>
                <w:u w:val="none"/>
              </w:rPr>
              <w:t>南安市乡镇林业工作站</w:t>
            </w:r>
          </w:p>
        </w:tc>
      </w:tr>
    </w:tbl>
    <w:p w:rsidR="00D11199" w:rsidRPr="003F3C8D" w:rsidP="005416B2" w14:paraId="4F2F4883" w14:textId="2C831E27">
      <w:pPr>
        <w:spacing w:line="600" w:lineRule="exact"/>
        <w:jc w:val="center"/>
        <w:rPr>
          <w:rFonts w:ascii="仿宋" w:eastAsia="仿宋" w:hAnsi="仿宋" w:hint="eastAsia"/>
          <w:sz w:val="32"/>
          <w:szCs w:val="32"/>
        </w:rPr>
      </w:pPr>
      <w:bookmarkStart w:id="6" w:name="_Toc11743"/>
      <w:bookmarkStart w:id="7" w:name="_Toc141520065"/>
      <w:r>
        <w:rPr>
          <w:rFonts w:ascii="仿宋" w:eastAsia="仿宋" w:hAnsi="仿宋" w:hint="eastAsia"/>
          <w:sz w:val="32"/>
          <w:szCs w:val="32"/>
        </w:rPr>
        <w:t xml:space="preserve"> </w:t>
      </w:r>
    </w:p>
    <w:p w:rsidR="00B2512C" w14:paraId="63FD98A3" w14:textId="77777777">
      <w:pPr>
        <w:pStyle w:val="Heading2"/>
      </w:pPr>
      <w:r>
        <w:rPr>
          <w:rFonts w:hint="eastAsia"/>
        </w:rPr>
        <w:t>三、部门主要工作总结</w:t>
      </w:r>
      <w:bookmarkEnd w:id="6"/>
      <w:bookmarkEnd w:id="7"/>
    </w:p>
    <w:p w:rsidR="00B2512C" w:rsidRPr="00380D33" w:rsidP="00380D33" w14:paraId="12D59742" w14:textId="77777777">
      <w:pPr>
        <w:spacing w:line="600" w:lineRule="exact"/>
        <w:ind w:firstLine="640" w:firstLineChars="200"/>
        <w:rPr>
          <w:rFonts w:ascii="仿宋" w:eastAsia="仿宋" w:hAnsi="仿宋" w:hint="eastAsia"/>
          <w:sz w:val="32"/>
          <w:szCs w:val="32"/>
        </w:rPr>
        <w:sectPr>
          <w:headerReference w:type="default" r:id="rId7"/>
          <w:footerReference w:type="default" r:id="rId8"/>
          <w:pgSz w:w="11906" w:h="16838"/>
          <w:pgMar w:top="1702" w:right="1800" w:bottom="1843" w:left="1800" w:header="851" w:footer="992" w:gutter="0"/>
          <w:pgNumType w:start="1"/>
          <w:cols w:space="425"/>
          <w:docGrid w:type="lines" w:linePitch="312"/>
        </w:sectPr>
      </w:pPr>
      <w:r>
        <w:rPr>
          <w:rFonts w:ascii="仿宋" w:eastAsia="仿宋" w:hAnsi="仿宋" w:hint="eastAsia"/>
          <w:sz w:val="32"/>
          <w:szCs w:val="32"/>
        </w:rPr>
        <w:t>2025年，南安市林业局部门主要任务是：深入贯彻落实习近平生态文明思想及关于林业工作的重要指示批示精神，以全面推行“林长制”为总抓手，统筹推进林业生态保护、修复、改革与产业发展，为区域经济社会高质量发展提供了坚实的生态保障。围绕上述任务，重点完成了以下工作：</w:t>
        <w:br/>
        <w:t xml:space="preserve">    （一）强化责任落实，全力推进林长制工作。一是责任链条闭环压实。市委、市政府把林长制列入“一把手”工程，常委会、常务会专题研究，市级林长、副林长累计巡林12人次，组织召开专题会议10次，协调解决环保督察、森林图斑、林地保护利用规划等难题22个。二是智慧治理提档升级。市财政投入554.4万元，推行管护员“底薪+绩效+奖惩”薪酬改革，累计巡护59800天，隐患发现率、处置率同比提升。建成“天上看、空中巡、地上查”立体监管网，26个乡镇（街道）利用无人机巡航，累计巡飞1299架次，发现林木采伐、林地变化等线索215条，核查时间显著缩短。三是“林长+”协同增效。召开“林长＋警长＋检察长＋审判长+部门”联席会议8次，开展联合执法14次，查处涉林行政案件126件、刑事立案15起，侦破17起（省督3起），抓获犯罪嫌疑人17人，起诉18起19人，缴获野生动物41只、猎具27件；法院受理破坏资源刑事案件2件（危害珍贵、濒危野生动物罪和走私珍贵动物、珍贵动物制品罪各1件）；检察院逮捕3件4人、起诉4件7人，形成全链条打击声势。</w:t>
        <w:br/>
        <w:t xml:space="preserve">    （二）优化营商环境，服务效能实现新跃升。完成林业事项梳理及动态调整，行政审批和服务事项精简为32项，优化道路工程、工业项目等13种高频项目类型办事指南；实行选址联合审查，针对重点项目、招商项目，在规划阶段主动介入，核对涉林情况，出具涉林意见500份。积极争取林地定额193.8859公顷，保障东田抽水蓄能项目的用林需求。审核审批林地项目116个，面积307.2274公顷；审核审批草地项目11个，面积7.3125公顷；办理林木采伐许可证793份、面积2056.16公顷、蓄积量164588.74万立方米。</w:t>
        <w:br/>
        <w:t xml:space="preserve">    （三）聚焦主责主业，森林资源保护管理卓有成效。推动林改创新引领，联合8部门制定出台《南安市福林票管理办法（试行）》，推动泉州市深化集体林权制度改革工作现场推进会在南安召开，全国首个合作开发产销平台、首张湿地生态等为特色的“福林票”落地南安，首批福林票合作金额达2亿元，其中认购金额5100万元。加强森林草地湿地资源保护、管理和利用，建立林草湿荒联动调查监测机制，采取卫星遥感+现地验证+日常管理，全方位对全市林草湿资源开展年度调查更新；全面落实各项林业生态补偿补助惠民政策，下达林业补偿补助资金1770万；组织会商涉及一般湿地项目25个，供应项目用地2280亩；组织论证涉及湿地重点建设项目21个，涉及占用湿地708亩；开展草地分类管理认定项目43宗。坚持源头护林管林，落实基层护林员队伍绩效化管理，按季度考评乡镇管理成效，创新联合红十字会组织应急救援技能培训，培训通过率95%以上。</w:t>
        <w:br/>
        <w:t xml:space="preserve">    （四）统筹生态建设，国土绿化提质增效。全年完成植树造林14720亩，占任务的101.1%；完成森林抚育29196亩，占任务的102.4%；完成封山育林14321亩，占任务的102.3%，全市森林蓄水能力与碳汇能力显著提升。组织专业技术人员参与我市废弃矿山生态修复实施方案论证与评审，提供专业意见建议，助力我市成功申报“福建海峡西岸泉州湾地区历史遗留废弃矿山生态修复示范工程项目”，获中央财政资金支持3亿元，打造海岸带矿山修复示范样板。开展“我为南安种棵树”系列活动，吸引市民群众参与“幸福树”打卡及赠苗活动，2000株盆栽树苗被全部认养；开展认捐认养活动，营造全民参与绿化建设的良好氛围，推动全市建立镇级义务植树基地26个。打造重点区域林相改善260亩，建设乡村绿化提升和邻里绿美家园项目10个。完成18株古树的保护抢救复壮；深挖古树名木历史文化内涵，规划“千年油杉”古树生态旅游路线，实现生态、文化与经济效益有机统一。完成新造油茶林1100亩，实施低产油茶改造1710亩，开展油茶抚育470亩，配套建设机耕路3.5公里。建设林业保障性苗圃1个，新建普通温室大棚1000平方米。开展食用林产品质量监测，完成竹笋、油茶籽及其产地土壤质量安全监测22批次，检测项目结果均达标。</w:t>
        <w:br/>
        <w:t xml:space="preserve">    （五）筑牢安全底线，防灾减灾能力有效增强。全面开展排查森林火灾隐患活动，重点排查寺庙风景旅游点、加油站、电力走廊、物资存储库、易燃易爆点、军事禁区等关键节点的隐患，建立森林火灾扑救新机制，建立以生物防火林带和森林火灾预警监测系统为重点的基础设施建设和森林防火投入新机制，2025年共签订4649亩电力线路走廊置换协议。今年以来，全市没有发生重特大森林火灾或人员伤亡事故，年均出动宣传车739车次，分发宣传材料100余万份，悬挂横幅2440条。全年累计发布预测预报2期、虫情动态10期、短期预报9篇；共办理《植物检疫证书》80份，种苗产地检疫率达到100%；全年监测面积994.95万亩，实现监测覆盖率100%；完成防治面积15.48万亩，无公害防治率100%；成灾面积1185.32亩，成灾率控制在0.53‰，低于省上下达的林业有害生物成灾率指标。落实南安市互花米草除治管护监测制度，定期执行巡查任务，监测红树林生长状况，每季度执行无人机航空巡查管护，除治零星互花米草5亩，下达除治管护资金14万元。</w:t>
        <w:br/>
        <w:t xml:space="preserve">    （六）推动绿色发展，生态惠民产业稳步发展。全年新增新型林业经营主体20个，新建规模化林下经济基地30个，利用林地面积近5000亩，超额完成上级下达的目标任务；引育林下灵芝、丁香罗勒、椴木香菇等近10个示范项目，以点带面推广林菌、林药、林菜等高效种植模式。引进铁皮石斛、牛樟等种植及深加工项目，培育出“方茜芷”“爱香说”等本土特色品牌，实现产业链延伸与价值链攀升。在全省率先打造“泉林宴南安一桌菜”森林生态食材IP，整合马蹄笋、铁皮石斛等优质林下资源，推出“南安一桌菜”特色产品。不断完善品牌培育体系，共有“三品一标”产品32个、中草药商标12个，“南安蜂蜜”成功注册国家地理标志证明商标，并入选“福建省十大农产品区域公用品牌”；“九仙斛铁皮石斛”获评2025年福建省名牌农产品。</w:t>
      </w:r>
    </w:p>
    <w:p w:rsidR="00380D33" w14:paraId="271883FD" w14:textId="77777777">
      <w:pPr>
        <w:pStyle w:val="Heading1"/>
        <w:spacing w:before="0" w:after="0"/>
        <w:rPr>
          <w:rFonts w:ascii="黑体" w:hAnsi="黑体" w:hint="eastAsia"/>
          <w:sz w:val="56"/>
          <w:szCs w:val="56"/>
        </w:rPr>
      </w:pPr>
      <w:bookmarkStart w:id="8" w:name="_Toc2458"/>
      <w:bookmarkStart w:id="9" w:name="_Toc141520066"/>
    </w:p>
    <w:p w:rsidR="00380D33" w14:paraId="728C3F8C" w14:textId="77777777">
      <w:pPr>
        <w:pStyle w:val="Heading1"/>
        <w:spacing w:before="0" w:after="0"/>
        <w:rPr>
          <w:rFonts w:ascii="黑体" w:hAnsi="黑体" w:hint="eastAsia"/>
          <w:sz w:val="56"/>
          <w:szCs w:val="56"/>
        </w:rPr>
      </w:pPr>
    </w:p>
    <w:p w:rsidR="00380D33" w14:paraId="096ED85F" w14:textId="77777777">
      <w:pPr>
        <w:pStyle w:val="Heading1"/>
        <w:spacing w:before="0" w:after="0"/>
        <w:rPr>
          <w:rFonts w:ascii="黑体" w:hAnsi="黑体" w:hint="eastAsia"/>
          <w:sz w:val="56"/>
          <w:szCs w:val="56"/>
        </w:rPr>
      </w:pPr>
    </w:p>
    <w:p w:rsidR="00380D33" w14:paraId="7C6F6762" w14:textId="77777777">
      <w:pPr>
        <w:pStyle w:val="Heading1"/>
        <w:spacing w:before="0" w:after="0"/>
        <w:rPr>
          <w:rFonts w:ascii="黑体" w:hAnsi="黑体" w:hint="eastAsia"/>
          <w:sz w:val="56"/>
          <w:szCs w:val="56"/>
        </w:rPr>
      </w:pPr>
    </w:p>
    <w:p w:rsidR="00380D33" w14:paraId="58DE279E" w14:textId="77777777">
      <w:pPr>
        <w:pStyle w:val="Heading1"/>
        <w:spacing w:before="0" w:after="0"/>
        <w:rPr>
          <w:rFonts w:ascii="黑体" w:hAnsi="黑体" w:hint="eastAsia"/>
          <w:sz w:val="56"/>
          <w:szCs w:val="56"/>
        </w:rPr>
      </w:pPr>
    </w:p>
    <w:p w:rsidR="00380D33" w14:paraId="5DA2AC8B" w14:textId="77777777">
      <w:pPr>
        <w:pStyle w:val="Heading1"/>
        <w:spacing w:before="0" w:after="0"/>
        <w:rPr>
          <w:rFonts w:ascii="黑体" w:hAnsi="黑体" w:hint="eastAsia"/>
          <w:sz w:val="56"/>
          <w:szCs w:val="56"/>
        </w:rPr>
      </w:pPr>
    </w:p>
    <w:p w:rsidR="00380D33" w:rsidRPr="00380D33" w:rsidP="00380D33" w14:paraId="44C229A9" w14:textId="77777777">
      <w:pPr>
        <w:pStyle w:val="Heading1"/>
        <w:spacing w:before="0" w:after="0"/>
        <w:jc w:val="left"/>
        <w:rPr>
          <w:rFonts w:ascii="黑体" w:hAnsi="黑体" w:hint="eastAsia"/>
          <w:sz w:val="56"/>
          <w:szCs w:val="56"/>
        </w:rPr>
      </w:pPr>
      <w:r w:rsidRPr="00380D33">
        <w:rPr>
          <w:rFonts w:ascii="黑体" w:hAnsi="黑体" w:hint="eastAsia"/>
          <w:sz w:val="56"/>
          <w:szCs w:val="56"/>
        </w:rPr>
        <w:t xml:space="preserve">第二部分 </w:t>
      </w:r>
    </w:p>
    <w:p w:rsidR="00380D33" w:rsidRPr="00380D33" w14:paraId="67C51813" w14:textId="77777777">
      <w:pPr>
        <w:pStyle w:val="Heading1"/>
        <w:spacing w:before="0" w:after="0"/>
        <w:rPr>
          <w:rFonts w:ascii="黑体" w:hAnsi="黑体" w:hint="eastAsia"/>
          <w:sz w:val="56"/>
          <w:szCs w:val="56"/>
        </w:rPr>
      </w:pPr>
      <w:r w:rsidRPr="00380D33">
        <w:rPr>
          <w:rFonts w:ascii="黑体" w:hAnsi="黑体" w:hint="eastAsia"/>
          <w:sz w:val="56"/>
          <w:szCs w:val="56"/>
        </w:rPr>
        <w:t>2025年度部门决算表</w:t>
      </w:r>
      <w:bookmarkEnd w:id="8"/>
      <w:bookmarkEnd w:id="9"/>
    </w:p>
    <w:p w:rsidR="00380D33" w14:paraId="0F398F62" w14:textId="77777777">
      <w:pPr>
        <w:widowControl/>
        <w:spacing w:line="240" w:lineRule="auto"/>
        <w:jc w:val="left"/>
        <w:rPr>
          <w:rFonts w:eastAsia="黑体"/>
          <w:b/>
          <w:kern w:val="44"/>
          <w:sz w:val="36"/>
        </w:rPr>
      </w:pPr>
      <w:r>
        <w:br w:type="page"/>
      </w:r>
    </w:p>
    <w:p w:rsidR="00B2512C" w14:paraId="2E3E6D75" w14:textId="77777777">
      <w:pPr>
        <w:pStyle w:val="Heading1"/>
        <w:spacing w:before="0" w:after="0"/>
      </w:pPr>
    </w:p>
    <w:p w:rsidR="00B2512C" w14:paraId="2BF9E697" w14:textId="77777777">
      <w:pPr>
        <w:pStyle w:val="Heading2"/>
        <w:numPr>
          <w:ilvl w:val="0"/>
          <w:numId w:val="1"/>
        </w:numPr>
        <w:spacing w:before="0" w:after="0"/>
      </w:pPr>
      <w:bookmarkStart w:id="10" w:name="_Toc9591"/>
      <w:bookmarkStart w:id="11" w:name="_Toc141520067"/>
      <w:r>
        <w:rPr>
          <w:rFonts w:hint="eastAsia"/>
        </w:rPr>
        <w:t>收入支出决算总表</w:t>
      </w:r>
      <w:bookmarkEnd w:id="10"/>
      <w:bookmarkEnd w:id="11"/>
      <w:r>
        <w:rPr>
          <w:rFonts w:hint="eastAsia"/>
        </w:rPr>
        <w:t xml:space="preserve"> </w:t>
      </w:r>
    </w:p>
    <w:tbl>
      <w:tblPr>
        <w:tblW w:w="5000" w:type="pct"/>
        <w:tblLayout w:type="fixed"/>
        <w:tblLook w:val="04A0"/>
      </w:tblPr>
      <w:tblGrid>
        <w:gridCol w:w="3160"/>
        <w:gridCol w:w="1125"/>
        <w:gridCol w:w="3034"/>
        <w:gridCol w:w="1203"/>
      </w:tblGrid>
      <w:tr w14:paraId="58224941" w14:textId="77777777">
        <w:tblPrEx>
          <w:tblW w:w="5000" w:type="pct"/>
          <w:tblLayout w:type="fixed"/>
          <w:tblLook w:val="04A0"/>
        </w:tblPrEx>
        <w:trPr>
          <w:trHeight w:val="300"/>
        </w:trPr>
        <w:tc>
          <w:tcPr>
            <w:tcW w:w="5000" w:type="pct"/>
            <w:gridSpan w:val="4"/>
            <w:tcBorders>
              <w:top w:val="nil"/>
              <w:left w:val="nil"/>
              <w:bottom w:val="nil"/>
              <w:right w:val="nil"/>
            </w:tcBorders>
            <w:noWrap/>
            <w:vAlign w:val="center"/>
          </w:tcPr>
          <w:p w:rsidR="00B2512C" w14:paraId="2D0FF477" w14:textId="77777777">
            <w:pPr>
              <w:widowControl/>
              <w:spacing w:line="240" w:lineRule="auto"/>
              <w:jc w:val="center"/>
              <w:rPr>
                <w:rFonts w:ascii="宋体" w:eastAsia="宋体" w:hAnsi="宋体" w:cs="Arial" w:hint="eastAsia"/>
                <w:kern w:val="0"/>
                <w:sz w:val="20"/>
                <w:szCs w:val="20"/>
              </w:rPr>
            </w:pPr>
            <w:r>
              <w:rPr>
                <w:rFonts w:ascii="黑体" w:eastAsia="黑体" w:hAnsi="Arial" w:cs="Arial" w:hint="eastAsia"/>
                <w:color w:val="000000"/>
                <w:kern w:val="0"/>
                <w:sz w:val="36"/>
                <w:szCs w:val="36"/>
              </w:rPr>
              <w:t>收入支出决算总表</w:t>
            </w:r>
          </w:p>
        </w:tc>
      </w:tr>
      <w:tr w14:paraId="7F87E063" w14:textId="77777777">
        <w:tblPrEx>
          <w:tblW w:w="5000" w:type="pct"/>
          <w:tblLayout w:type="fixed"/>
          <w:tblLook w:val="04A0"/>
        </w:tblPrEx>
        <w:trPr>
          <w:trHeight w:val="300"/>
        </w:trPr>
        <w:tc>
          <w:tcPr>
            <w:tcW w:w="2514" w:type="pct"/>
            <w:gridSpan w:val="2"/>
            <w:tcBorders>
              <w:top w:val="nil"/>
              <w:left w:val="nil"/>
              <w:bottom w:val="nil"/>
              <w:right w:val="nil"/>
            </w:tcBorders>
            <w:noWrap/>
            <w:vAlign w:val="center"/>
          </w:tcPr>
          <w:p w:rsidR="00B2512C" w14:paraId="36611C27" w14:textId="77777777">
            <w:pPr>
              <w:widowControl/>
              <w:spacing w:line="240" w:lineRule="auto"/>
              <w:ind w:firstLine="2600" w:firstLineChars="1300"/>
              <w:jc w:val="left"/>
              <w:rPr>
                <w:rFonts w:ascii="黑体" w:eastAsia="黑体" w:hAnsi="Arial" w:cs="Arial"/>
                <w:color w:val="000000"/>
                <w:kern w:val="0"/>
                <w:sz w:val="20"/>
                <w:szCs w:val="20"/>
              </w:rPr>
            </w:pPr>
          </w:p>
        </w:tc>
        <w:tc>
          <w:tcPr>
            <w:tcW w:w="2485" w:type="pct"/>
            <w:gridSpan w:val="2"/>
            <w:tcBorders>
              <w:top w:val="nil"/>
              <w:left w:val="nil"/>
              <w:bottom w:val="nil"/>
              <w:right w:val="nil"/>
            </w:tcBorders>
            <w:noWrap/>
            <w:vAlign w:val="center"/>
          </w:tcPr>
          <w:p w:rsidR="00B2512C" w14:paraId="4681E054" w14:textId="77777777">
            <w:pPr>
              <w:widowControl/>
              <w:spacing w:line="240" w:lineRule="auto"/>
              <w:jc w:val="right"/>
              <w:rPr>
                <w:rFonts w:ascii="黑体" w:eastAsia="黑体" w:hAnsi="Arial" w:cs="Arial"/>
                <w:color w:val="000000"/>
                <w:kern w:val="0"/>
                <w:sz w:val="20"/>
                <w:szCs w:val="20"/>
              </w:rPr>
            </w:pPr>
            <w:r>
              <w:rPr>
                <w:rFonts w:ascii="黑体" w:eastAsia="黑体" w:hAnsi="Arial" w:cs="Arial" w:hint="eastAsia"/>
                <w:color w:val="000000"/>
                <w:kern w:val="0"/>
                <w:sz w:val="20"/>
                <w:szCs w:val="20"/>
              </w:rPr>
              <w:t xml:space="preserve"> </w:t>
            </w:r>
            <w:r>
              <w:rPr>
                <w:rFonts w:ascii="宋体" w:eastAsia="宋体" w:hAnsi="宋体" w:cs="Arial" w:hint="eastAsia"/>
                <w:kern w:val="0"/>
                <w:sz w:val="20"/>
                <w:szCs w:val="20"/>
              </w:rPr>
              <w:t>公开01表</w:t>
            </w:r>
          </w:p>
        </w:tc>
      </w:tr>
      <w:tr w14:paraId="2F6770C5" w14:textId="77777777">
        <w:tblPrEx>
          <w:tblW w:w="5000" w:type="pct"/>
          <w:tblLayout w:type="fixed"/>
          <w:tblLook w:val="04A0"/>
        </w:tblPrEx>
        <w:trPr>
          <w:trHeight w:val="90"/>
        </w:trPr>
        <w:tc>
          <w:tcPr>
            <w:tcW w:w="4294" w:type="pct"/>
            <w:gridSpan w:val="3"/>
            <w:tcBorders>
              <w:top w:val="nil"/>
              <w:left w:val="nil"/>
              <w:bottom w:val="single" w:sz="4" w:space="0" w:color="auto"/>
              <w:right w:val="nil"/>
            </w:tcBorders>
            <w:noWrap/>
            <w:vAlign w:val="center"/>
          </w:tcPr>
          <w:p w:rsidR="00B2512C" w14:paraId="1AB8290F" w14:textId="77777777">
            <w:pPr>
              <w:widowControl/>
              <w:spacing w:line="240" w:lineRule="auto"/>
              <w:jc w:val="left"/>
              <w:rPr>
                <w:rFonts w:ascii="宋体" w:eastAsia="宋体" w:hAnsi="宋体" w:cs="Arial" w:hint="eastAsia"/>
                <w:kern w:val="0"/>
                <w:sz w:val="20"/>
                <w:szCs w:val="20"/>
              </w:rPr>
            </w:pPr>
            <w:r>
              <w:rPr>
                <w:rFonts w:ascii="宋体" w:eastAsia="宋体" w:hAnsi="宋体" w:cs="Arial"/>
                <w:color w:val="000000"/>
                <w:kern w:val="0"/>
                <w:sz w:val="20"/>
                <w:szCs w:val="20"/>
              </w:rPr>
              <w:t>部门：南安市林业局</w:t>
            </w:r>
          </w:p>
        </w:tc>
        <w:tc>
          <w:tcPr>
            <w:tcW w:w="705" w:type="pct"/>
            <w:tcBorders>
              <w:top w:val="nil"/>
              <w:left w:val="nil"/>
              <w:bottom w:val="single" w:sz="4" w:space="0" w:color="auto"/>
              <w:right w:val="nil"/>
            </w:tcBorders>
            <w:noWrap/>
            <w:vAlign w:val="center"/>
          </w:tcPr>
          <w:p w:rsidR="00B2512C" w14:paraId="260BD7ED" w14:textId="77777777">
            <w:pPr>
              <w:widowControl/>
              <w:spacing w:line="240" w:lineRule="auto"/>
              <w:jc w:val="right"/>
              <w:rPr>
                <w:rFonts w:ascii="宋体" w:eastAsia="宋体" w:hAnsi="宋体" w:cs="Arial" w:hint="eastAsia"/>
                <w:kern w:val="0"/>
                <w:sz w:val="20"/>
                <w:szCs w:val="20"/>
              </w:rPr>
            </w:pPr>
            <w:r>
              <w:rPr>
                <w:rFonts w:ascii="宋体" w:eastAsia="宋体" w:hAnsi="宋体" w:cs="Arial" w:hint="eastAsia"/>
                <w:kern w:val="0"/>
                <w:sz w:val="20"/>
                <w:szCs w:val="20"/>
              </w:rPr>
              <w:t>单位：万元</w:t>
            </w:r>
          </w:p>
        </w:tc>
      </w:tr>
      <w:tr w14:paraId="1FFFF230" w14:textId="77777777">
        <w:tblPrEx>
          <w:tblW w:w="5000" w:type="pct"/>
          <w:tblLayout w:type="fixed"/>
          <w:tblLook w:val="04A0"/>
        </w:tblPrEx>
        <w:trPr>
          <w:trHeight w:val="308"/>
        </w:trPr>
        <w:tc>
          <w:tcPr>
            <w:tcW w:w="2514" w:type="pct"/>
            <w:gridSpan w:val="2"/>
            <w:tcBorders>
              <w:top w:val="single" w:sz="4" w:space="0" w:color="auto"/>
              <w:left w:val="single" w:sz="4" w:space="0" w:color="auto"/>
              <w:bottom w:val="single" w:sz="4" w:space="0" w:color="auto"/>
              <w:right w:val="single" w:sz="4" w:space="0" w:color="auto"/>
            </w:tcBorders>
            <w:noWrap/>
            <w:vAlign w:val="center"/>
          </w:tcPr>
          <w:p w:rsidR="00B2512C" w14:paraId="2E5E0EF5"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收入</w:t>
            </w:r>
          </w:p>
        </w:tc>
        <w:tc>
          <w:tcPr>
            <w:tcW w:w="2485" w:type="pct"/>
            <w:gridSpan w:val="2"/>
            <w:tcBorders>
              <w:top w:val="single" w:sz="4" w:space="0" w:color="auto"/>
              <w:left w:val="single" w:sz="4" w:space="0" w:color="auto"/>
              <w:bottom w:val="single" w:sz="4" w:space="0" w:color="auto"/>
              <w:right w:val="single" w:sz="4" w:space="0" w:color="auto"/>
            </w:tcBorders>
            <w:noWrap/>
            <w:vAlign w:val="center"/>
          </w:tcPr>
          <w:p w:rsidR="00B2512C" w14:paraId="69709B3A"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支出</w:t>
            </w:r>
          </w:p>
        </w:tc>
      </w:tr>
      <w:tr w14:paraId="480A7B66" w14:textId="77777777">
        <w:tblPrEx>
          <w:tblW w:w="5000" w:type="pct"/>
          <w:tblLayout w:type="fixed"/>
          <w:tblLook w:val="04A0"/>
        </w:tblPrEx>
        <w:trPr>
          <w:trHeight w:val="308"/>
        </w:trPr>
        <w:tc>
          <w:tcPr>
            <w:tcW w:w="1854" w:type="pct"/>
            <w:tcBorders>
              <w:top w:val="single" w:sz="4" w:space="0" w:color="auto"/>
              <w:left w:val="single" w:sz="4" w:space="0" w:color="auto"/>
              <w:bottom w:val="single" w:sz="4" w:space="0" w:color="auto"/>
              <w:right w:val="single" w:sz="4" w:space="0" w:color="auto"/>
            </w:tcBorders>
            <w:noWrap/>
            <w:vAlign w:val="center"/>
          </w:tcPr>
          <w:p w:rsidR="00B2512C" w14:paraId="38FAE76A"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项目</w:t>
            </w:r>
          </w:p>
        </w:tc>
        <w:tc>
          <w:tcPr>
            <w:tcW w:w="660" w:type="pct"/>
            <w:tcBorders>
              <w:top w:val="single" w:sz="4" w:space="0" w:color="auto"/>
              <w:left w:val="single" w:sz="4" w:space="0" w:color="auto"/>
              <w:bottom w:val="single" w:sz="4" w:space="0" w:color="auto"/>
              <w:right w:val="single" w:sz="4" w:space="0" w:color="auto"/>
            </w:tcBorders>
            <w:noWrap/>
            <w:vAlign w:val="center"/>
          </w:tcPr>
          <w:p w:rsidR="00B2512C" w14:paraId="0C8CAE65"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决算数</w:t>
            </w:r>
          </w:p>
        </w:tc>
        <w:tc>
          <w:tcPr>
            <w:tcW w:w="1780" w:type="pct"/>
            <w:tcBorders>
              <w:top w:val="single" w:sz="4" w:space="0" w:color="auto"/>
              <w:left w:val="single" w:sz="4" w:space="0" w:color="auto"/>
              <w:bottom w:val="single" w:sz="4" w:space="0" w:color="auto"/>
              <w:right w:val="single" w:sz="4" w:space="0" w:color="auto"/>
            </w:tcBorders>
            <w:noWrap/>
            <w:vAlign w:val="center"/>
          </w:tcPr>
          <w:p w:rsidR="00B2512C" w14:paraId="0C0B06DA"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项目(按支出功能分类)</w:t>
            </w:r>
          </w:p>
        </w:tc>
        <w:tc>
          <w:tcPr>
            <w:tcW w:w="705" w:type="pct"/>
            <w:tcBorders>
              <w:top w:val="single" w:sz="4" w:space="0" w:color="auto"/>
              <w:left w:val="single" w:sz="4" w:space="0" w:color="auto"/>
              <w:bottom w:val="single" w:sz="4" w:space="0" w:color="auto"/>
              <w:right w:val="single" w:sz="4" w:space="0" w:color="auto"/>
            </w:tcBorders>
            <w:noWrap/>
            <w:vAlign w:val="center"/>
          </w:tcPr>
          <w:p w:rsidR="00B2512C" w14:paraId="1E12887A"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决算数</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一、一般公共预算财政拨款收入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3308.64</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一、一般公共服务支出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二、政府性基金预算财政拨款收入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100.00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二、外交支出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三、国有资本经营预算财政拨款收入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三、国防支出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四、上级补助收入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四、公共安全支出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五、事业收入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五、教育支出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六、经营收入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六、科学技术支出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七、附属单位上缴收入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七、文化旅游体育与传媒支出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八、其他收入</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33.36</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八、社会保障和就业支出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239.75</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九、卫生健康支出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41.02</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十、节能环保支出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132.69</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十一、城乡社区支出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100.00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十二、农林水支出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2901.42</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十三、交通运输支出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十四、资源勘探工业信息等支出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10.99</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十五、商业服务业等支出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十六、金融支出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十七、援助其他地区支出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十八、自然资源海洋气象等支出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十九、住房保障支出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二十、粮油物资储备支出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二十一、国有资本经营预算支出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二十二、灾害防治及应急管理支出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二十三、其他支出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二十四、债务还本支出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二十五、债务付息支出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二十六、抗疫特别国债安排的支出</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center"/>
              <w:textAlignment w:val="auto"/>
            </w:pPr>
            <w:r>
              <w:rPr>
                <w:b/>
                <w:i w:val="0"/>
                <w:strike w:val="0"/>
                <w:color w:val="auto"/>
                <w:position w:val="-1"/>
                <w:sz w:val="18"/>
                <w:u w:val="none"/>
              </w:rPr>
              <w:t>本年收入合计</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3442.01</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center"/>
              <w:textAlignment w:val="auto"/>
            </w:pPr>
            <w:r>
              <w:rPr>
                <w:rFonts w:cs="Arial"/>
                <w:b/>
                <w:i w:val="0"/>
                <w:strike w:val="0"/>
                <w:color w:val="000000"/>
                <w:position w:val="-1"/>
                <w:sz w:val="18"/>
                <w:u w:val="none"/>
              </w:rPr>
              <w:t>本年支出合计</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3425.86</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使用非财政拨款结余（含专用结余）</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结余分配</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0.00</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b w:val="0"/>
                <w:i w:val="0"/>
                <w:strike w:val="0"/>
                <w:color w:val="auto"/>
                <w:position w:val="-1"/>
                <w:sz w:val="18"/>
                <w:u w:val="none"/>
              </w:rPr>
              <w:t>年初结转和结余</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5.43</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left"/>
              <w:textAlignment w:val="auto"/>
            </w:pPr>
            <w:r>
              <w:rPr>
                <w:rFonts w:cs="Arial"/>
                <w:b w:val="0"/>
                <w:i w:val="0"/>
                <w:strike w:val="0"/>
                <w:color w:val="000000"/>
                <w:position w:val="-1"/>
                <w:sz w:val="18"/>
                <w:u w:val="none"/>
              </w:rPr>
              <w:t>年末结转和结余</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21.57</w:t>
            </w:r>
          </w:p>
        </w:tc>
      </w:tr>
      <w:tr>
        <w:tblPrEx>
          <w:tblW w:w="5000" w:type="pct"/>
          <w:tblLayout w:type="fixed"/>
          <w:tblLook w:val="04A0"/>
        </w:tblPrEx>
        <w:tc>
          <w:tcPr>
            <w:tcW w:w="1854" w:type="dxa"/>
            <w:tcBorders>
              <w:top w:val="single" w:sz="4" w:space="0" w:color="auto"/>
              <w:left w:val="single" w:sz="4" w:space="0" w:color="auto"/>
              <w:bottom w:val="single" w:sz="4" w:space="0" w:color="auto"/>
              <w:right w:val="single" w:sz="4" w:space="0" w:color="auto"/>
            </w:tcBorders>
            <w:vAlign w:val="center"/>
          </w:tcPr>
          <w:p>
            <w:pPr>
              <w:pageBreakBefore w:val="0"/>
              <w:jc w:val="center"/>
              <w:textAlignment w:val="auto"/>
            </w:pPr>
            <w:r>
              <w:rPr>
                <w:b/>
                <w:i w:val="0"/>
                <w:strike w:val="0"/>
                <w:color w:val="auto"/>
                <w:position w:val="-1"/>
                <w:sz w:val="18"/>
                <w:u w:val="none"/>
              </w:rPr>
              <w:t>总计</w:t>
            </w:r>
          </w:p>
        </w:tc>
        <w:tc>
          <w:tcPr>
            <w:tcW w:w="660"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3447.44</w:t>
            </w:r>
          </w:p>
        </w:tc>
        <w:tc>
          <w:tcPr>
            <w:tcW w:w="1780" w:type="dxa"/>
            <w:tcBorders>
              <w:top w:val="single" w:sz="4" w:space="0" w:color="auto"/>
              <w:left w:val="single" w:sz="4" w:space="0" w:color="auto"/>
              <w:bottom w:val="single" w:sz="4" w:space="0" w:color="auto"/>
              <w:right w:val="single" w:sz="4" w:space="0" w:color="auto"/>
            </w:tcBorders>
            <w:vAlign w:val="center"/>
          </w:tcPr>
          <w:p>
            <w:pPr>
              <w:pageBreakBefore w:val="0"/>
              <w:jc w:val="center"/>
              <w:textAlignment w:val="auto"/>
            </w:pPr>
            <w:r>
              <w:rPr>
                <w:rFonts w:cs="Arial"/>
                <w:b/>
                <w:i w:val="0"/>
                <w:strike w:val="0"/>
                <w:color w:val="000000"/>
                <w:position w:val="-1"/>
                <w:sz w:val="18"/>
                <w:u w:val="none"/>
              </w:rPr>
              <w:t>总计</w:t>
            </w:r>
          </w:p>
        </w:tc>
        <w:tc>
          <w:tcPr>
            <w:tcW w:w="705" w:type="dxa"/>
            <w:tcBorders>
              <w:top w:val="single" w:sz="4" w:space="0" w:color="auto"/>
              <w:left w:val="single" w:sz="4" w:space="0" w:color="auto"/>
              <w:bottom w:val="single" w:sz="4" w:space="0" w:color="auto"/>
              <w:right w:val="single" w:sz="4" w:space="0" w:color="auto"/>
            </w:tcBorders>
            <w:vAlign w:val="center"/>
          </w:tcPr>
          <w:p>
            <w:pPr>
              <w:pageBreakBefore w:val="0"/>
              <w:spacing w:line="240" w:lineRule="auto"/>
              <w:jc w:val="right"/>
              <w:textAlignment w:val="auto"/>
            </w:pPr>
            <w:r>
              <w:rPr>
                <w:rFonts w:ascii="宋体" w:eastAsia="宋体" w:hAnsi="宋体" w:cs="Arial"/>
                <w:b w:val="0"/>
                <w:i w:val="0"/>
                <w:strike w:val="0"/>
                <w:color w:val="000000"/>
                <w:position w:val="-1"/>
                <w:sz w:val="18"/>
                <w:u w:val="none"/>
              </w:rPr>
              <w:t>3447.44</w:t>
            </w:r>
          </w:p>
        </w:tc>
      </w:tr>
    </w:tbl>
    <w:p w:rsidR="00B2512C" w14:paraId="0170F7D3"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注：1. 本表反映部门本年度的总收支和年末结转结余情况。</w:t>
      </w:r>
    </w:p>
    <w:p w:rsidR="00B2512C" w14:paraId="65E017EA" w14:textId="77777777">
      <w:pPr>
        <w:pStyle w:val="Default"/>
        <w:ind w:firstLine="480" w:firstLineChars="200"/>
        <w:rPr>
          <w:rFonts w:ascii="Times New Roman" w:hAnsi="Times New Roman" w:eastAsiaTheme="minorEastAsia" w:cs="Times New Roman"/>
        </w:rPr>
      </w:pPr>
      <w:r>
        <w:rPr>
          <w:rFonts w:ascii="Times New Roman" w:hAnsi="Times New Roman" w:eastAsiaTheme="minorEastAsia" w:cs="Times New Roman" w:hint="eastAsia"/>
        </w:rPr>
        <w:t>2.</w:t>
      </w:r>
      <w:r>
        <w:rPr>
          <w:rFonts w:hint="eastAsia"/>
        </w:rPr>
        <w:t xml:space="preserve"> </w:t>
      </w:r>
      <w:r>
        <w:rPr>
          <w:rFonts w:ascii="Times New Roman" w:hAnsi="Times New Roman" w:eastAsiaTheme="minorEastAsia" w:cs="Times New Roman" w:hint="eastAsia"/>
        </w:rPr>
        <w:t>本套报表金额单位转换时可能存在尾数误差。</w:t>
      </w:r>
    </w:p>
    <w:p w:rsidR="00B2512C" w14:paraId="61026A09" w14:textId="77777777">
      <w:pPr>
        <w:pStyle w:val="Default"/>
        <w:rPr>
          <w:rFonts w:ascii="Times New Roman" w:hAnsi="Times New Roman" w:eastAsiaTheme="minorEastAsia" w:cs="Times New Roman"/>
        </w:rPr>
        <w:sectPr>
          <w:pgSz w:w="11906" w:h="16838"/>
          <w:pgMar w:top="567" w:right="1800" w:bottom="567" w:left="1800" w:header="0" w:footer="454" w:gutter="0"/>
          <w:cols w:space="425"/>
          <w:docGrid w:type="lines" w:linePitch="312"/>
        </w:sectPr>
      </w:pPr>
    </w:p>
    <w:p w:rsidR="00B2512C" w14:paraId="34AAD481" w14:textId="77777777">
      <w:pPr>
        <w:pStyle w:val="Heading2"/>
        <w:numPr>
          <w:ilvl w:val="0"/>
          <w:numId w:val="1"/>
        </w:numPr>
        <w:spacing w:before="0" w:after="0"/>
      </w:pPr>
      <w:bookmarkStart w:id="12" w:name="_Toc15204"/>
      <w:bookmarkStart w:id="13" w:name="_Toc141520068"/>
      <w:r>
        <w:rPr>
          <w:rFonts w:hint="eastAsia"/>
        </w:rPr>
        <w:t>收入决算表</w:t>
      </w:r>
      <w:bookmarkEnd w:id="12"/>
      <w:bookmarkEnd w:id="13"/>
      <w:r>
        <w:rPr>
          <w:rFonts w:hint="eastAsia"/>
        </w:rPr>
        <w:t xml:space="preserve"> </w:t>
      </w:r>
    </w:p>
    <w:p w:rsidR="00B2512C" w14:paraId="18A72EA9" w14:textId="77777777">
      <w:pPr>
        <w:pStyle w:val="Default"/>
        <w:jc w:val="center"/>
        <w:rPr>
          <w:rFonts w:ascii="黑体" w:eastAsia="黑体" w:hAnsi="Arial" w:cs="Arial"/>
          <w:sz w:val="36"/>
          <w:szCs w:val="36"/>
        </w:rPr>
      </w:pPr>
      <w:r>
        <w:rPr>
          <w:rFonts w:ascii="黑体" w:eastAsia="黑体" w:hAnsi="Arial" w:cs="Arial" w:hint="eastAsia"/>
          <w:sz w:val="36"/>
          <w:szCs w:val="36"/>
        </w:rPr>
        <w:t>收入决算表</w:t>
      </w:r>
    </w:p>
    <w:p w:rsidR="00B2512C" w14:paraId="60B5BC0B" w14:textId="77777777">
      <w:pPr>
        <w:pStyle w:val="Default"/>
        <w:jc w:val="right"/>
        <w:rPr>
          <w:rFonts w:ascii="宋体" w:eastAsia="宋体" w:hAnsi="宋体" w:cs="Arial" w:hint="eastAsia"/>
          <w:sz w:val="20"/>
          <w:szCs w:val="20"/>
        </w:rPr>
      </w:pPr>
      <w:r>
        <w:rPr>
          <w:rFonts w:ascii="宋体" w:eastAsia="宋体" w:hAnsi="宋体" w:cs="Arial" w:hint="eastAsia"/>
          <w:sz w:val="20"/>
          <w:szCs w:val="20"/>
        </w:rPr>
        <w:t>公开02表</w:t>
      </w:r>
    </w:p>
    <w:tbl>
      <w:tblPr>
        <w:tblStyle w:val="TableGrid"/>
        <w:tblW w:w="0" w:type="auto"/>
        <w:tblLook w:val="04A0"/>
      </w:tblPr>
      <w:tblGrid>
        <w:gridCol w:w="1567"/>
        <w:gridCol w:w="4168"/>
        <w:gridCol w:w="1379"/>
        <w:gridCol w:w="1391"/>
        <w:gridCol w:w="1045"/>
        <w:gridCol w:w="1105"/>
        <w:gridCol w:w="1184"/>
        <w:gridCol w:w="1174"/>
        <w:gridCol w:w="1047"/>
      </w:tblGrid>
      <w:tr w14:paraId="30CDB1BA" w14:textId="77777777" w:rsidTr="00A628FF">
        <w:tblPrEx>
          <w:tblW w:w="0" w:type="auto"/>
          <w:tblLook w:val="04A0"/>
        </w:tblPrEx>
        <w:trPr>
          <w:trHeight w:val="418"/>
        </w:trPr>
        <w:tc>
          <w:tcPr>
            <w:tcW w:w="11839" w:type="dxa"/>
            <w:gridSpan w:val="7"/>
            <w:tcBorders>
              <w:top w:val="nil"/>
              <w:left w:val="nil"/>
              <w:right w:val="nil"/>
            </w:tcBorders>
            <w:vAlign w:val="center"/>
          </w:tcPr>
          <w:p w:rsidR="00B2512C" w14:paraId="36FBEA1B" w14:textId="77777777">
            <w:pPr>
              <w:pStyle w:val="Default"/>
              <w:rPr>
                <w:rFonts w:ascii="宋体" w:eastAsia="宋体" w:hAnsi="宋体" w:cs="Arial" w:hint="eastAsia"/>
                <w:sz w:val="22"/>
              </w:rPr>
            </w:pPr>
            <w:r>
              <w:rPr>
                <w:rFonts w:ascii="宋体" w:eastAsia="宋体" w:hAnsi="宋体" w:cs="Arial"/>
                <w:sz w:val="20"/>
                <w:szCs w:val="20"/>
              </w:rPr>
              <w:t>部门：南安市林业局</w:t>
            </w:r>
          </w:p>
        </w:tc>
        <w:tc>
          <w:tcPr>
            <w:tcW w:w="2221" w:type="dxa"/>
            <w:gridSpan w:val="2"/>
            <w:tcBorders>
              <w:top w:val="nil"/>
              <w:left w:val="nil"/>
              <w:right w:val="nil"/>
            </w:tcBorders>
            <w:vAlign w:val="center"/>
          </w:tcPr>
          <w:p w:rsidR="00B2512C" w14:paraId="7950EE2A" w14:textId="77777777">
            <w:pPr>
              <w:pStyle w:val="Default"/>
              <w:jc w:val="right"/>
              <w:rPr>
                <w:rFonts w:ascii="宋体" w:eastAsia="宋体" w:hAnsi="宋体" w:cs="Arial" w:hint="eastAsia"/>
                <w:sz w:val="22"/>
              </w:rPr>
            </w:pPr>
            <w:r>
              <w:rPr>
                <w:rFonts w:ascii="宋体" w:eastAsia="宋体" w:hAnsi="宋体" w:cs="Arial" w:hint="eastAsia"/>
                <w:sz w:val="20"/>
                <w:szCs w:val="20"/>
              </w:rPr>
              <w:t>单位：万元</w:t>
            </w:r>
          </w:p>
        </w:tc>
      </w:tr>
      <w:tr w14:paraId="51BDD94F" w14:textId="77777777" w:rsidTr="00A628FF">
        <w:tblPrEx>
          <w:tblW w:w="0" w:type="auto"/>
          <w:tblLook w:val="04A0"/>
        </w:tblPrEx>
        <w:trPr>
          <w:trHeight w:val="90"/>
        </w:trPr>
        <w:tc>
          <w:tcPr>
            <w:tcW w:w="5735" w:type="dxa"/>
            <w:gridSpan w:val="2"/>
            <w:vAlign w:val="center"/>
          </w:tcPr>
          <w:p w:rsidR="00B2512C" w14:paraId="5E27F8C5" w14:textId="77777777">
            <w:pPr>
              <w:pStyle w:val="Default"/>
              <w:jc w:val="center"/>
              <w:rPr>
                <w:rFonts w:ascii="Times New Roman" w:hAnsi="Times New Roman" w:eastAsiaTheme="minorEastAsia" w:cs="Times New Roman"/>
              </w:rPr>
            </w:pPr>
            <w:r>
              <w:rPr>
                <w:rFonts w:ascii="宋体" w:eastAsia="宋体" w:hAnsi="宋体" w:cs="Arial" w:hint="eastAsia"/>
                <w:sz w:val="22"/>
              </w:rPr>
              <w:t>项目</w:t>
            </w:r>
          </w:p>
        </w:tc>
        <w:tc>
          <w:tcPr>
            <w:tcW w:w="1379" w:type="dxa"/>
            <w:vMerge w:val="restart"/>
            <w:vAlign w:val="center"/>
          </w:tcPr>
          <w:p w:rsidR="00B2512C" w14:paraId="3E7F935B" w14:textId="77777777">
            <w:pPr>
              <w:widowControl/>
              <w:spacing w:line="240" w:lineRule="auto"/>
              <w:jc w:val="center"/>
              <w:rPr>
                <w:rFonts w:ascii="Times New Roman" w:hAnsi="Times New Roman" w:cs="Times New Roman"/>
              </w:rPr>
            </w:pPr>
            <w:r>
              <w:rPr>
                <w:rFonts w:ascii="宋体" w:eastAsia="宋体" w:hAnsi="宋体" w:cs="Arial" w:hint="eastAsia"/>
                <w:color w:val="000000"/>
                <w:kern w:val="0"/>
                <w:sz w:val="22"/>
              </w:rPr>
              <w:t>本年收入合计</w:t>
            </w:r>
          </w:p>
        </w:tc>
        <w:tc>
          <w:tcPr>
            <w:tcW w:w="1391" w:type="dxa"/>
            <w:vMerge w:val="restart"/>
            <w:vAlign w:val="center"/>
          </w:tcPr>
          <w:p w:rsidR="00B2512C" w14:paraId="3F44D237" w14:textId="77777777">
            <w:pPr>
              <w:pStyle w:val="Default"/>
              <w:jc w:val="center"/>
              <w:rPr>
                <w:rFonts w:ascii="Times New Roman" w:hAnsi="Times New Roman" w:eastAsiaTheme="minorEastAsia" w:cs="Times New Roman"/>
              </w:rPr>
            </w:pPr>
            <w:r>
              <w:rPr>
                <w:rFonts w:ascii="宋体" w:eastAsia="宋体" w:hAnsi="宋体" w:cs="Arial" w:hint="eastAsia"/>
                <w:sz w:val="22"/>
              </w:rPr>
              <w:t>财政拨款收入</w:t>
            </w:r>
          </w:p>
        </w:tc>
        <w:tc>
          <w:tcPr>
            <w:tcW w:w="1045" w:type="dxa"/>
            <w:vMerge w:val="restart"/>
            <w:vAlign w:val="center"/>
          </w:tcPr>
          <w:p w:rsidR="00B2512C" w14:paraId="4E415EBF" w14:textId="77777777">
            <w:pPr>
              <w:pStyle w:val="Default"/>
              <w:jc w:val="center"/>
              <w:rPr>
                <w:rFonts w:ascii="Times New Roman" w:hAnsi="Times New Roman" w:eastAsiaTheme="minorEastAsia" w:cs="Times New Roman"/>
              </w:rPr>
            </w:pPr>
            <w:r>
              <w:rPr>
                <w:rFonts w:ascii="宋体" w:eastAsia="宋体" w:hAnsi="宋体" w:cs="Arial" w:hint="eastAsia"/>
                <w:sz w:val="22"/>
              </w:rPr>
              <w:t>上级补助收入</w:t>
            </w:r>
          </w:p>
        </w:tc>
        <w:tc>
          <w:tcPr>
            <w:tcW w:w="1105" w:type="dxa"/>
            <w:vMerge w:val="restart"/>
            <w:vAlign w:val="center"/>
          </w:tcPr>
          <w:p w:rsidR="00B2512C" w14:paraId="3CDCAC44" w14:textId="77777777">
            <w:pPr>
              <w:pStyle w:val="Default"/>
              <w:jc w:val="center"/>
              <w:rPr>
                <w:rFonts w:ascii="Times New Roman" w:hAnsi="Times New Roman" w:eastAsiaTheme="minorEastAsia" w:cs="Times New Roman"/>
              </w:rPr>
            </w:pPr>
            <w:r>
              <w:rPr>
                <w:rFonts w:ascii="宋体" w:eastAsia="宋体" w:hAnsi="宋体" w:cs="Arial" w:hint="eastAsia"/>
                <w:sz w:val="22"/>
              </w:rPr>
              <w:t>事业收入</w:t>
            </w:r>
          </w:p>
        </w:tc>
        <w:tc>
          <w:tcPr>
            <w:tcW w:w="1184" w:type="dxa"/>
            <w:vMerge w:val="restart"/>
            <w:vAlign w:val="center"/>
          </w:tcPr>
          <w:p w:rsidR="00B2512C" w14:paraId="78C96F3C" w14:textId="77777777">
            <w:pPr>
              <w:pStyle w:val="Default"/>
              <w:jc w:val="center"/>
              <w:rPr>
                <w:rFonts w:ascii="Times New Roman" w:hAnsi="Times New Roman" w:eastAsiaTheme="minorEastAsia" w:cs="Times New Roman"/>
              </w:rPr>
            </w:pPr>
            <w:r>
              <w:rPr>
                <w:rFonts w:ascii="宋体" w:eastAsia="宋体" w:hAnsi="宋体" w:cs="Arial" w:hint="eastAsia"/>
                <w:sz w:val="22"/>
              </w:rPr>
              <w:t>经营收入</w:t>
            </w:r>
          </w:p>
        </w:tc>
        <w:tc>
          <w:tcPr>
            <w:tcW w:w="1174" w:type="dxa"/>
            <w:vMerge w:val="restart"/>
            <w:vAlign w:val="center"/>
          </w:tcPr>
          <w:p w:rsidR="00B2512C" w14:paraId="62BD5C63" w14:textId="77777777">
            <w:pPr>
              <w:pStyle w:val="Default"/>
              <w:jc w:val="center"/>
              <w:rPr>
                <w:rFonts w:ascii="Times New Roman" w:hAnsi="Times New Roman" w:eastAsiaTheme="minorEastAsia" w:cs="Times New Roman"/>
              </w:rPr>
            </w:pPr>
            <w:r>
              <w:rPr>
                <w:rFonts w:ascii="宋体" w:eastAsia="宋体" w:hAnsi="宋体" w:cs="Arial" w:hint="eastAsia"/>
                <w:sz w:val="22"/>
              </w:rPr>
              <w:t>附属单位上缴收入</w:t>
            </w:r>
          </w:p>
        </w:tc>
        <w:tc>
          <w:tcPr>
            <w:tcW w:w="1047" w:type="dxa"/>
            <w:vMerge w:val="restart"/>
            <w:vAlign w:val="center"/>
          </w:tcPr>
          <w:p w:rsidR="00B2512C" w14:paraId="158E2B18" w14:textId="77777777">
            <w:pPr>
              <w:pStyle w:val="Default"/>
              <w:jc w:val="center"/>
              <w:rPr>
                <w:rFonts w:ascii="宋体" w:eastAsia="宋体" w:hAnsi="宋体" w:cs="Arial" w:hint="eastAsia"/>
                <w:sz w:val="22"/>
              </w:rPr>
            </w:pPr>
            <w:r>
              <w:rPr>
                <w:rFonts w:ascii="宋体" w:eastAsia="宋体" w:hAnsi="宋体" w:cs="Arial" w:hint="eastAsia"/>
                <w:sz w:val="22"/>
              </w:rPr>
              <w:t>其他</w:t>
            </w:r>
          </w:p>
          <w:p w:rsidR="00B2512C" w14:paraId="0A17E521" w14:textId="77777777">
            <w:pPr>
              <w:pStyle w:val="Default"/>
              <w:jc w:val="center"/>
              <w:rPr>
                <w:rFonts w:ascii="Times New Roman" w:hAnsi="Times New Roman" w:eastAsiaTheme="minorEastAsia" w:cs="Times New Roman"/>
              </w:rPr>
            </w:pPr>
            <w:r>
              <w:rPr>
                <w:rFonts w:ascii="宋体" w:eastAsia="宋体" w:hAnsi="宋体" w:cs="Arial" w:hint="eastAsia"/>
                <w:sz w:val="22"/>
              </w:rPr>
              <w:t>收入</w:t>
            </w:r>
          </w:p>
        </w:tc>
      </w:tr>
      <w:tr w14:paraId="3BD2F250" w14:textId="77777777" w:rsidTr="00A628FF">
        <w:tblPrEx>
          <w:tblW w:w="0" w:type="auto"/>
          <w:tblLook w:val="04A0"/>
        </w:tblPrEx>
        <w:trPr>
          <w:trHeight w:val="154"/>
        </w:trPr>
        <w:tc>
          <w:tcPr>
            <w:tcW w:w="1567" w:type="dxa"/>
            <w:vAlign w:val="center"/>
          </w:tcPr>
          <w:p w:rsidR="00B2512C" w14:paraId="7B469FFC"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支出功能分类</w:t>
            </w:r>
          </w:p>
          <w:p w:rsidR="00B2512C" w14:paraId="5F748327" w14:textId="77777777">
            <w:pPr>
              <w:widowControl/>
              <w:spacing w:line="240" w:lineRule="auto"/>
              <w:jc w:val="center"/>
              <w:rPr>
                <w:rFonts w:ascii="宋体" w:eastAsia="宋体" w:hAnsi="宋体" w:cs="Arial" w:hint="eastAsia"/>
                <w:color w:val="000000"/>
                <w:kern w:val="0"/>
                <w:sz w:val="22"/>
              </w:rPr>
            </w:pPr>
            <w:r>
              <w:rPr>
                <w:rFonts w:ascii="宋体" w:eastAsia="宋体" w:hAnsi="宋体" w:cs="Arial" w:hint="eastAsia"/>
                <w:color w:val="000000"/>
                <w:kern w:val="0"/>
                <w:sz w:val="22"/>
              </w:rPr>
              <w:t>科目编码</w:t>
            </w:r>
          </w:p>
        </w:tc>
        <w:tc>
          <w:tcPr>
            <w:tcW w:w="4168" w:type="dxa"/>
            <w:vAlign w:val="center"/>
          </w:tcPr>
          <w:p w:rsidR="00B2512C" w14:paraId="13D84BB5" w14:textId="77777777">
            <w:pPr>
              <w:pStyle w:val="Default"/>
              <w:jc w:val="center"/>
              <w:rPr>
                <w:rFonts w:ascii="Times New Roman" w:hAnsi="Times New Roman" w:eastAsiaTheme="minorEastAsia" w:cs="Times New Roman"/>
              </w:rPr>
            </w:pPr>
            <w:r>
              <w:rPr>
                <w:rFonts w:ascii="宋体" w:eastAsia="宋体" w:hAnsi="宋体" w:cs="Arial" w:hint="eastAsia"/>
                <w:sz w:val="22"/>
              </w:rPr>
              <w:t>科目名称</w:t>
            </w:r>
          </w:p>
        </w:tc>
        <w:tc>
          <w:tcPr>
            <w:tcW w:w="1379" w:type="dxa"/>
            <w:vMerge/>
            <w:vAlign w:val="center"/>
          </w:tcPr>
          <w:p w:rsidR="00B2512C" w14:paraId="6BDD1EBE" w14:textId="77777777">
            <w:pPr>
              <w:pStyle w:val="Default"/>
              <w:rPr>
                <w:rFonts w:ascii="Times New Roman" w:hAnsi="Times New Roman" w:eastAsiaTheme="minorEastAsia" w:cs="Times New Roman"/>
              </w:rPr>
            </w:pPr>
          </w:p>
        </w:tc>
        <w:tc>
          <w:tcPr>
            <w:tcW w:w="1391" w:type="dxa"/>
            <w:vMerge/>
            <w:vAlign w:val="center"/>
          </w:tcPr>
          <w:p w:rsidR="00B2512C" w14:paraId="1CF13D83" w14:textId="77777777">
            <w:pPr>
              <w:pStyle w:val="Default"/>
              <w:rPr>
                <w:rFonts w:ascii="Times New Roman" w:hAnsi="Times New Roman" w:eastAsiaTheme="minorEastAsia" w:cs="Times New Roman"/>
              </w:rPr>
            </w:pPr>
          </w:p>
        </w:tc>
        <w:tc>
          <w:tcPr>
            <w:tcW w:w="1045" w:type="dxa"/>
            <w:vMerge/>
            <w:vAlign w:val="center"/>
          </w:tcPr>
          <w:p w:rsidR="00B2512C" w14:paraId="6DD18003" w14:textId="77777777">
            <w:pPr>
              <w:pStyle w:val="Default"/>
              <w:rPr>
                <w:rFonts w:ascii="Times New Roman" w:hAnsi="Times New Roman" w:eastAsiaTheme="minorEastAsia" w:cs="Times New Roman"/>
              </w:rPr>
            </w:pPr>
          </w:p>
        </w:tc>
        <w:tc>
          <w:tcPr>
            <w:tcW w:w="1105" w:type="dxa"/>
            <w:vMerge/>
            <w:vAlign w:val="center"/>
          </w:tcPr>
          <w:p w:rsidR="00B2512C" w14:paraId="1928E07D" w14:textId="77777777">
            <w:pPr>
              <w:pStyle w:val="Default"/>
              <w:rPr>
                <w:rFonts w:ascii="Times New Roman" w:hAnsi="Times New Roman" w:eastAsiaTheme="minorEastAsia" w:cs="Times New Roman"/>
              </w:rPr>
            </w:pPr>
          </w:p>
        </w:tc>
        <w:tc>
          <w:tcPr>
            <w:tcW w:w="1184" w:type="dxa"/>
            <w:vMerge/>
            <w:vAlign w:val="center"/>
          </w:tcPr>
          <w:p w:rsidR="00B2512C" w14:paraId="5038D661" w14:textId="77777777">
            <w:pPr>
              <w:pStyle w:val="Default"/>
              <w:rPr>
                <w:rFonts w:ascii="Times New Roman" w:hAnsi="Times New Roman" w:eastAsiaTheme="minorEastAsia" w:cs="Times New Roman"/>
              </w:rPr>
            </w:pPr>
          </w:p>
        </w:tc>
        <w:tc>
          <w:tcPr>
            <w:tcW w:w="1174" w:type="dxa"/>
            <w:vMerge/>
            <w:vAlign w:val="center"/>
          </w:tcPr>
          <w:p w:rsidR="00B2512C" w14:paraId="2F851F35" w14:textId="77777777">
            <w:pPr>
              <w:pStyle w:val="Default"/>
              <w:rPr>
                <w:rFonts w:ascii="Times New Roman" w:hAnsi="Times New Roman" w:eastAsiaTheme="minorEastAsia" w:cs="Times New Roman"/>
              </w:rPr>
            </w:pPr>
          </w:p>
        </w:tc>
        <w:tc>
          <w:tcPr>
            <w:tcW w:w="1047" w:type="dxa"/>
            <w:vMerge/>
            <w:vAlign w:val="center"/>
          </w:tcPr>
          <w:p w:rsidR="00B2512C" w14:paraId="210AF12C" w14:textId="77777777">
            <w:pPr>
              <w:pStyle w:val="Default"/>
              <w:rPr>
                <w:rFonts w:ascii="Times New Roman" w:hAnsi="Times New Roman" w:eastAsiaTheme="minorEastAsia" w:cs="Times New Roman"/>
              </w:rPr>
            </w:pPr>
          </w:p>
        </w:tc>
      </w:tr>
      <w:tr w14:paraId="3DD9085B" w14:textId="77777777" w:rsidTr="00A628FF">
        <w:tblPrEx>
          <w:tblW w:w="0" w:type="auto"/>
          <w:tblLook w:val="04A0"/>
        </w:tblPrEx>
        <w:trPr>
          <w:trHeight w:val="206"/>
        </w:trPr>
        <w:tc>
          <w:tcPr>
            <w:tcW w:w="1567" w:type="dxa"/>
            <w:vAlign w:val="center"/>
          </w:tcPr>
          <w:p w:rsidR="00B2512C" w14:paraId="26A6ABEC" w14:textId="77777777">
            <w:pPr>
              <w:pStyle w:val="Default"/>
              <w:ind w:firstLine="220" w:firstLineChars="100"/>
              <w:rPr>
                <w:rFonts w:ascii="Times New Roman" w:hAnsi="Times New Roman" w:eastAsiaTheme="minorEastAsia" w:cs="Times New Roman"/>
              </w:rPr>
            </w:pPr>
            <w:r>
              <w:rPr>
                <w:rFonts w:ascii="宋体" w:eastAsia="宋体" w:hAnsi="宋体" w:cs="Arial" w:hint="eastAsia"/>
                <w:sz w:val="22"/>
              </w:rPr>
              <w:t>类  款  项</w:t>
            </w:r>
          </w:p>
        </w:tc>
        <w:tc>
          <w:tcPr>
            <w:tcW w:w="4168" w:type="dxa"/>
            <w:vAlign w:val="center"/>
          </w:tcPr>
          <w:p w:rsidR="00B2512C" w14:paraId="631E53CD" w14:textId="77777777">
            <w:pPr>
              <w:pStyle w:val="Default"/>
              <w:jc w:val="center"/>
              <w:rPr>
                <w:rFonts w:ascii="Times New Roman" w:hAnsi="Times New Roman" w:eastAsiaTheme="minorEastAsia" w:cs="Times New Roman"/>
              </w:rPr>
            </w:pPr>
            <w:r>
              <w:rPr>
                <w:rFonts w:ascii="宋体" w:eastAsia="宋体" w:hAnsi="宋体" w:cs="Arial" w:hint="eastAsia"/>
                <w:sz w:val="22"/>
              </w:rPr>
              <w:t>合计</w:t>
            </w:r>
          </w:p>
        </w:tc>
        <w:tc>
          <w:tcPr>
            <w:tcW w:w="1379" w:type="dxa"/>
            <w:vAlign w:val="center"/>
          </w:tcPr>
          <w:p w:rsidR="00B2512C" w14:paraId="1D81BBDD"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3442.01</w:t>
            </w:r>
          </w:p>
        </w:tc>
        <w:tc>
          <w:tcPr>
            <w:tcW w:w="1391" w:type="dxa"/>
            <w:vAlign w:val="center"/>
          </w:tcPr>
          <w:p w:rsidR="00B2512C" w14:paraId="1510BF57"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3408.64</w:t>
            </w:r>
          </w:p>
        </w:tc>
        <w:tc>
          <w:tcPr>
            <w:tcW w:w="1045" w:type="dxa"/>
            <w:vAlign w:val="center"/>
          </w:tcPr>
          <w:p w:rsidR="00B2512C" w14:paraId="3E892CF8"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105" w:type="dxa"/>
            <w:vAlign w:val="center"/>
          </w:tcPr>
          <w:p w:rsidR="00B2512C" w14:paraId="2F8F010F"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184" w:type="dxa"/>
            <w:vAlign w:val="center"/>
          </w:tcPr>
          <w:p w:rsidR="00B2512C" w14:paraId="1C28638F"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174" w:type="dxa"/>
            <w:vAlign w:val="center"/>
          </w:tcPr>
          <w:p w:rsidR="00B2512C" w14:paraId="548026E3"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047" w:type="dxa"/>
            <w:vAlign w:val="center"/>
          </w:tcPr>
          <w:p w:rsidR="00B2512C" w14:paraId="5360A64F"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33.36</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208</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社会保障和就业支出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239.75</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239.75</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20805</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行政事业单位养老支出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239.75</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239.75</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2080501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行政单位离退休</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39.11</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39.11</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2080502</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事业单位离退休</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73.62</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73.62</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2080505</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机关事业单位基本养老保险缴费支出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124.49</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124.49</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2080506</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机关事业单位职业年金缴费支出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2.54</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2.54</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210</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卫生健康支出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41.02</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41.02</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21011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行政事业单位医疗</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41.02</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41.02</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2101101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行政单位医疗</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3.10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3.10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2101102</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事业单位医疗</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37.92</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37.92</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211</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节能环保支出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132.69</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132.69</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21105</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森林保护修复</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132.69</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132.69</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2110599</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其他森林保护修复支出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132.69</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132.69</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212</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城乡社区支出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100.00</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100.00</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21208</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国有土地使用权出让收入安排的支出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100.00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100.00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2120804</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农村基础设施建设支出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100.00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100.00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213</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农林水支出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2917.56</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2884.20</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33.36</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21302</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林业和草原</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2770.89</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2737.53</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33.36</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2130201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行政运行</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178.58</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178.58</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2130202</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一般行政管理事务</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0.73</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0.73</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2130204</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事业机构</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1033.62</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1033.62</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2130205</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森林资源培育</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227.70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227.70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2130209</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森林生态效益补偿</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351.37</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351.37</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2130221</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产业化管理</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26.00</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26.00</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2130234</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林业草原防灾减灾</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67.76</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67.76</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2130299</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其他林业和草原支出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885.12</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851.76</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33.36</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21308</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普惠金融发展支出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146.67</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146.67</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2130803</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农业保险保费补贴</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146.67</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146.67</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i w:val="0"/>
                <w:strike w:val="0"/>
                <w:color w:val="auto"/>
                <w:position w:val="-1"/>
                <w:sz w:val="22"/>
                <w:u w:val="none"/>
              </w:rPr>
              <w:t>215</w:t>
            </w:r>
          </w:p>
        </w:tc>
        <w:tc>
          <w:tcPr>
            <w:tcW w:w="4168" w:type="dxa"/>
            <w:vAlign w:val="center"/>
          </w:tcPr>
          <w:p>
            <w:pPr>
              <w:pageBreakBefore w:val="0"/>
              <w:jc w:val="left"/>
              <w:textAlignment w:val="auto"/>
            </w:pPr>
            <w:r>
              <w:rPr>
                <w:rFonts w:ascii="宋体" w:eastAsia="宋体" w:hAnsi="宋体" w:cs="Arial"/>
                <w:b/>
                <w:i w:val="0"/>
                <w:strike w:val="0"/>
                <w:color w:val="auto"/>
                <w:position w:val="-1"/>
                <w:sz w:val="22"/>
                <w:u w:val="none"/>
              </w:rPr>
              <w:t>资源勘探工业信息等支出</w:t>
            </w:r>
          </w:p>
        </w:tc>
        <w:tc>
          <w:tcPr>
            <w:tcW w:w="1379" w:type="dxa"/>
            <w:vAlign w:val="center"/>
          </w:tcPr>
          <w:p>
            <w:pPr>
              <w:pageBreakBefore w:val="0"/>
              <w:jc w:val="right"/>
              <w:textAlignment w:val="auto"/>
            </w:pPr>
            <w:r>
              <w:rPr>
                <w:rFonts w:ascii="宋体" w:eastAsia="宋体" w:hAnsi="宋体" w:cs="Arial"/>
                <w:b/>
                <w:i w:val="0"/>
                <w:strike w:val="0"/>
                <w:color w:val="auto"/>
                <w:position w:val="-1"/>
                <w:sz w:val="22"/>
                <w:u w:val="none"/>
              </w:rPr>
              <w:t>10.99</w:t>
            </w:r>
          </w:p>
        </w:tc>
        <w:tc>
          <w:tcPr>
            <w:tcW w:w="1391" w:type="dxa"/>
            <w:vAlign w:val="center"/>
          </w:tcPr>
          <w:p>
            <w:pPr>
              <w:pageBreakBefore w:val="0"/>
              <w:jc w:val="right"/>
              <w:textAlignment w:val="auto"/>
            </w:pPr>
            <w:r>
              <w:rPr>
                <w:rFonts w:ascii="宋体" w:eastAsia="宋体" w:hAnsi="宋体" w:cs="Arial"/>
                <w:b/>
                <w:i w:val="0"/>
                <w:strike w:val="0"/>
                <w:color w:val="auto"/>
                <w:position w:val="-1"/>
                <w:sz w:val="22"/>
                <w:u w:val="none"/>
              </w:rPr>
              <w:t>10.99</w:t>
            </w:r>
          </w:p>
        </w:tc>
        <w:tc>
          <w:tcPr>
            <w:tcW w:w="104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21599</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其他资源勘探工业信息等支出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10.99</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10.99</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r>
        <w:tblPrEx>
          <w:tblW w:w="0" w:type="auto"/>
          <w:tblLook w:val="04A0"/>
        </w:tblPrEx>
        <w:tc>
          <w:tcPr>
            <w:tcW w:w="1567" w:type="dxa"/>
            <w:vAlign w:val="center"/>
          </w:tcPr>
          <w:p>
            <w:pPr>
              <w:pageBreakBefore w:val="0"/>
              <w:jc w:val="left"/>
              <w:textAlignment w:val="auto"/>
            </w:pPr>
            <w:r>
              <w:rPr>
                <w:rFonts w:ascii="宋体" w:eastAsia="宋体" w:hAnsi="宋体" w:cs="Arial"/>
                <w:b w:val="0"/>
                <w:i w:val="0"/>
                <w:strike w:val="0"/>
                <w:color w:val="auto"/>
                <w:position w:val="-1"/>
                <w:sz w:val="22"/>
                <w:u w:val="none"/>
              </w:rPr>
              <w:t>2159999</w:t>
            </w:r>
          </w:p>
        </w:tc>
        <w:tc>
          <w:tcPr>
            <w:tcW w:w="4168" w:type="dxa"/>
            <w:vAlign w:val="center"/>
          </w:tcPr>
          <w:p>
            <w:pPr>
              <w:pageBreakBefore w:val="0"/>
              <w:jc w:val="left"/>
              <w:textAlignment w:val="auto"/>
            </w:pPr>
            <w:r>
              <w:rPr>
                <w:rFonts w:ascii="宋体" w:eastAsia="宋体" w:hAnsi="宋体" w:cs="Arial"/>
                <w:b w:val="0"/>
                <w:i w:val="0"/>
                <w:strike w:val="0"/>
                <w:color w:val="auto"/>
                <w:position w:val="-1"/>
                <w:sz w:val="22"/>
                <w:u w:val="none"/>
              </w:rPr>
              <w:t>其他资源勘探工业信息等支出</w:t>
            </w:r>
          </w:p>
        </w:tc>
        <w:tc>
          <w:tcPr>
            <w:tcW w:w="1379" w:type="dxa"/>
            <w:vAlign w:val="center"/>
          </w:tcPr>
          <w:p>
            <w:pPr>
              <w:pageBreakBefore w:val="0"/>
              <w:jc w:val="right"/>
              <w:textAlignment w:val="auto"/>
            </w:pPr>
            <w:r>
              <w:rPr>
                <w:rFonts w:ascii="宋体" w:eastAsia="宋体" w:hAnsi="宋体" w:cs="Arial"/>
                <w:b w:val="0"/>
                <w:i w:val="0"/>
                <w:strike w:val="0"/>
                <w:color w:val="auto"/>
                <w:position w:val="-1"/>
                <w:sz w:val="22"/>
                <w:u w:val="none"/>
              </w:rPr>
              <w:t>10.99</w:t>
            </w:r>
          </w:p>
        </w:tc>
        <w:tc>
          <w:tcPr>
            <w:tcW w:w="1391" w:type="dxa"/>
            <w:vAlign w:val="center"/>
          </w:tcPr>
          <w:p>
            <w:pPr>
              <w:pageBreakBefore w:val="0"/>
              <w:jc w:val="right"/>
              <w:textAlignment w:val="auto"/>
            </w:pPr>
            <w:r>
              <w:rPr>
                <w:rFonts w:ascii="宋体" w:eastAsia="宋体" w:hAnsi="宋体" w:cs="Arial"/>
                <w:b w:val="0"/>
                <w:i w:val="0"/>
                <w:strike w:val="0"/>
                <w:color w:val="auto"/>
                <w:position w:val="-1"/>
                <w:sz w:val="22"/>
                <w:u w:val="none"/>
              </w:rPr>
              <w:t>10.99</w:t>
            </w:r>
          </w:p>
        </w:tc>
        <w:tc>
          <w:tcPr>
            <w:tcW w:w="104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05"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8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174"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c>
          <w:tcPr>
            <w:tcW w:w="1047" w:type="dxa"/>
            <w:vAlign w:val="center"/>
          </w:tcPr>
          <w:p>
            <w:pPr>
              <w:pageBreakBefore w:val="0"/>
              <w:jc w:val="right"/>
              <w:textAlignment w:val="auto"/>
            </w:pPr>
            <w:r>
              <w:rPr>
                <w:rFonts w:ascii="宋体" w:eastAsia="宋体" w:hAnsi="宋体" w:cs="Arial"/>
                <w:b w:val="0"/>
                <w:i w:val="0"/>
                <w:strike w:val="0"/>
                <w:color w:val="auto"/>
                <w:position w:val="-1"/>
                <w:sz w:val="22"/>
                <w:u w:val="none"/>
              </w:rPr>
              <w:t>0.00</w:t>
            </w:r>
          </w:p>
        </w:tc>
      </w:tr>
    </w:tbl>
    <w:p w:rsidR="00B2512C" w14:paraId="782897DB"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注：本表反映部门本年度取得的各项收入情况。</w:t>
      </w:r>
    </w:p>
    <w:p w:rsidR="00B2512C" w14:paraId="4856A0B3" w14:textId="77777777">
      <w:pPr>
        <w:pStyle w:val="Default"/>
        <w:rPr>
          <w:rFonts w:ascii="Times New Roman" w:hAnsi="Times New Roman" w:eastAsiaTheme="minorEastAsia" w:cs="Times New Roman"/>
        </w:rPr>
        <w:sectPr>
          <w:pgSz w:w="16838" w:h="11906" w:orient="landscape"/>
          <w:pgMar w:top="567" w:right="1389" w:bottom="567" w:left="1389" w:header="283" w:footer="283" w:gutter="0"/>
          <w:cols w:space="425"/>
          <w:docGrid w:type="lines" w:linePitch="312"/>
        </w:sectPr>
      </w:pPr>
    </w:p>
    <w:p w:rsidR="00B2512C" w14:paraId="3E5FBB7C" w14:textId="77777777">
      <w:pPr>
        <w:pStyle w:val="Heading2"/>
        <w:numPr>
          <w:ilvl w:val="0"/>
          <w:numId w:val="1"/>
        </w:numPr>
        <w:spacing w:before="0" w:after="0"/>
      </w:pPr>
      <w:bookmarkStart w:id="14" w:name="_Toc6395"/>
      <w:bookmarkStart w:id="15" w:name="_Toc141520069"/>
      <w:r>
        <w:rPr>
          <w:rFonts w:hint="eastAsia"/>
        </w:rPr>
        <w:t>支出决算表</w:t>
      </w:r>
      <w:bookmarkEnd w:id="14"/>
      <w:bookmarkEnd w:id="15"/>
    </w:p>
    <w:p w:rsidR="00B2512C" w14:paraId="79A85052" w14:textId="77777777">
      <w:pPr>
        <w:pStyle w:val="Default"/>
        <w:jc w:val="center"/>
        <w:rPr>
          <w:rFonts w:ascii="Times New Roman" w:hAnsi="Times New Roman" w:eastAsiaTheme="minorEastAsia" w:cs="Times New Roman"/>
        </w:rPr>
      </w:pPr>
      <w:r>
        <w:rPr>
          <w:rFonts w:ascii="黑体" w:eastAsia="黑体" w:hAnsi="宋体" w:cs="黑体" w:hint="eastAsia"/>
          <w:sz w:val="36"/>
          <w:szCs w:val="36"/>
          <w:lang w:bidi="ar"/>
        </w:rPr>
        <w:t>支出决算表</w:t>
      </w:r>
    </w:p>
    <w:p w:rsidR="00B2512C" w14:paraId="491E568B" w14:textId="77777777">
      <w:pPr>
        <w:widowControl/>
        <w:jc w:val="right"/>
        <w:textAlignment w:val="bottom"/>
        <w:rPr>
          <w:rStyle w:val="font21"/>
        </w:rPr>
      </w:pPr>
      <w:r>
        <w:rPr>
          <w:rStyle w:val="font21"/>
          <w:rFonts w:hint="eastAsia"/>
        </w:rPr>
        <w:t>公开</w:t>
      </w:r>
      <w:r>
        <w:rPr>
          <w:rStyle w:val="font21"/>
          <w:rFonts w:eastAsia="宋体"/>
          <w:lang w:bidi="ar"/>
        </w:rPr>
        <w:t>03</w:t>
      </w:r>
      <w:r>
        <w:rPr>
          <w:rStyle w:val="font21"/>
          <w:rFonts w:hint="eastAsia"/>
        </w:rPr>
        <w:t>表</w:t>
      </w:r>
    </w:p>
    <w:tbl>
      <w:tblPr>
        <w:tblStyle w:val="TableGrid"/>
        <w:tblW w:w="0" w:type="auto"/>
        <w:tblLook w:val="04A0"/>
      </w:tblPr>
      <w:tblGrid>
        <w:gridCol w:w="1698"/>
        <w:gridCol w:w="4560"/>
        <w:gridCol w:w="1630"/>
        <w:gridCol w:w="1370"/>
        <w:gridCol w:w="1400"/>
        <w:gridCol w:w="1190"/>
        <w:gridCol w:w="1090"/>
        <w:gridCol w:w="1338"/>
      </w:tblGrid>
      <w:tr w14:paraId="64FD6E1F" w14:textId="77777777">
        <w:tblPrEx>
          <w:tblW w:w="0" w:type="auto"/>
          <w:tblLook w:val="04A0"/>
        </w:tblPrEx>
        <w:trPr>
          <w:trHeight w:val="473"/>
        </w:trPr>
        <w:tc>
          <w:tcPr>
            <w:tcW w:w="12938" w:type="dxa"/>
            <w:gridSpan w:val="7"/>
            <w:tcBorders>
              <w:top w:val="nil"/>
              <w:left w:val="nil"/>
              <w:right w:val="nil"/>
            </w:tcBorders>
            <w:vAlign w:val="center"/>
          </w:tcPr>
          <w:p w:rsidR="00B2512C" w14:paraId="2BEAFCF9" w14:textId="77777777">
            <w:pPr>
              <w:pStyle w:val="Default"/>
              <w:rPr>
                <w:rFonts w:ascii="宋体" w:eastAsia="宋体" w:hAnsi="宋体" w:cs="宋体" w:hint="eastAsia"/>
                <w:sz w:val="22"/>
                <w:lang w:bidi="ar"/>
              </w:rPr>
            </w:pPr>
            <w:r>
              <w:rPr>
                <w:rFonts w:ascii="宋体" w:eastAsia="宋体" w:hAnsi="宋体" w:cs="Arial"/>
                <w:sz w:val="20"/>
                <w:szCs w:val="20"/>
              </w:rPr>
              <w:t>部门：南安市林业局</w:t>
            </w:r>
          </w:p>
        </w:tc>
        <w:tc>
          <w:tcPr>
            <w:tcW w:w="1338" w:type="dxa"/>
            <w:tcBorders>
              <w:top w:val="nil"/>
              <w:left w:val="nil"/>
              <w:right w:val="nil"/>
            </w:tcBorders>
            <w:vAlign w:val="center"/>
          </w:tcPr>
          <w:p w:rsidR="00B2512C" w14:paraId="70F79433" w14:textId="77777777">
            <w:pPr>
              <w:pStyle w:val="Default"/>
              <w:jc w:val="right"/>
              <w:rPr>
                <w:rFonts w:ascii="宋体" w:eastAsia="宋体" w:hAnsi="宋体" w:cs="宋体" w:hint="eastAsia"/>
                <w:sz w:val="20"/>
                <w:szCs w:val="20"/>
                <w:lang w:bidi="ar"/>
              </w:rPr>
            </w:pPr>
            <w:r>
              <w:rPr>
                <w:rFonts w:ascii="宋体" w:eastAsia="宋体" w:hAnsi="宋体" w:cs="宋体" w:hint="eastAsia"/>
                <w:sz w:val="20"/>
                <w:szCs w:val="20"/>
                <w:lang w:bidi="ar"/>
              </w:rPr>
              <w:t>单位：万元</w:t>
            </w:r>
          </w:p>
        </w:tc>
      </w:tr>
      <w:tr w14:paraId="17C2920A" w14:textId="77777777">
        <w:tblPrEx>
          <w:tblW w:w="0" w:type="auto"/>
          <w:tblLook w:val="04A0"/>
        </w:tblPrEx>
        <w:trPr>
          <w:trHeight w:val="113"/>
        </w:trPr>
        <w:tc>
          <w:tcPr>
            <w:tcW w:w="6258" w:type="dxa"/>
            <w:gridSpan w:val="2"/>
            <w:vAlign w:val="center"/>
          </w:tcPr>
          <w:p w:rsidR="00B2512C" w14:paraId="6976965E"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项目</w:t>
            </w:r>
          </w:p>
        </w:tc>
        <w:tc>
          <w:tcPr>
            <w:tcW w:w="1630" w:type="dxa"/>
            <w:vMerge w:val="restart"/>
            <w:vAlign w:val="center"/>
          </w:tcPr>
          <w:p w:rsidR="00B2512C" w14:paraId="05737EB3"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本年支出合计</w:t>
            </w:r>
          </w:p>
        </w:tc>
        <w:tc>
          <w:tcPr>
            <w:tcW w:w="1370" w:type="dxa"/>
            <w:vMerge w:val="restart"/>
            <w:vAlign w:val="center"/>
          </w:tcPr>
          <w:p w:rsidR="00B2512C" w14:paraId="3AD057BE"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基本支出</w:t>
            </w:r>
          </w:p>
        </w:tc>
        <w:tc>
          <w:tcPr>
            <w:tcW w:w="1400" w:type="dxa"/>
            <w:vMerge w:val="restart"/>
            <w:vAlign w:val="center"/>
          </w:tcPr>
          <w:p w:rsidR="00B2512C" w14:paraId="65C2EF22"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项目支出</w:t>
            </w:r>
          </w:p>
        </w:tc>
        <w:tc>
          <w:tcPr>
            <w:tcW w:w="1190" w:type="dxa"/>
            <w:vMerge w:val="restart"/>
            <w:vAlign w:val="center"/>
          </w:tcPr>
          <w:p w:rsidR="00B2512C" w14:paraId="025CE6C3" w14:textId="77777777">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上缴上级</w:t>
            </w:r>
          </w:p>
          <w:p w:rsidR="00B2512C" w14:paraId="410D8089"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支出</w:t>
            </w:r>
          </w:p>
        </w:tc>
        <w:tc>
          <w:tcPr>
            <w:tcW w:w="1090" w:type="dxa"/>
            <w:vMerge w:val="restart"/>
            <w:vAlign w:val="center"/>
          </w:tcPr>
          <w:p w:rsidR="00B2512C" w14:paraId="3E08DC5E"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经营</w:t>
            </w:r>
          </w:p>
          <w:p w:rsidR="00B2512C" w14:paraId="74FACF66"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支出</w:t>
            </w:r>
          </w:p>
        </w:tc>
        <w:tc>
          <w:tcPr>
            <w:tcW w:w="1338" w:type="dxa"/>
            <w:vMerge w:val="restart"/>
            <w:vAlign w:val="center"/>
          </w:tcPr>
          <w:p w:rsidR="00B2512C" w14:paraId="54F3604F"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对附属单位补助支出</w:t>
            </w:r>
          </w:p>
        </w:tc>
      </w:tr>
      <w:tr w14:paraId="5296858F" w14:textId="77777777">
        <w:tblPrEx>
          <w:tblW w:w="0" w:type="auto"/>
          <w:tblLook w:val="04A0"/>
        </w:tblPrEx>
        <w:trPr>
          <w:trHeight w:val="90"/>
        </w:trPr>
        <w:tc>
          <w:tcPr>
            <w:tcW w:w="1698" w:type="dxa"/>
            <w:vAlign w:val="center"/>
          </w:tcPr>
          <w:p w:rsidR="00B2512C" w14:paraId="1E694D38" w14:textId="77777777">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支出功能分类</w:t>
            </w:r>
          </w:p>
          <w:p w:rsidR="00B2512C" w14:paraId="48C4310A"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科目编码</w:t>
            </w:r>
          </w:p>
        </w:tc>
        <w:tc>
          <w:tcPr>
            <w:tcW w:w="4560" w:type="dxa"/>
            <w:vAlign w:val="center"/>
          </w:tcPr>
          <w:p w:rsidR="00B2512C" w14:paraId="299A225A"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科目名称</w:t>
            </w:r>
          </w:p>
        </w:tc>
        <w:tc>
          <w:tcPr>
            <w:tcW w:w="1630" w:type="dxa"/>
            <w:vMerge/>
            <w:vAlign w:val="center"/>
          </w:tcPr>
          <w:p w:rsidR="00B2512C" w14:paraId="1924A8BF" w14:textId="77777777">
            <w:pPr>
              <w:pStyle w:val="Default"/>
              <w:jc w:val="center"/>
              <w:rPr>
                <w:rFonts w:ascii="Times New Roman" w:hAnsi="Times New Roman" w:eastAsiaTheme="minorEastAsia" w:cs="Times New Roman"/>
              </w:rPr>
            </w:pPr>
          </w:p>
        </w:tc>
        <w:tc>
          <w:tcPr>
            <w:tcW w:w="1370" w:type="dxa"/>
            <w:vMerge/>
            <w:vAlign w:val="center"/>
          </w:tcPr>
          <w:p w:rsidR="00B2512C" w14:paraId="2E6A56E5" w14:textId="77777777">
            <w:pPr>
              <w:pStyle w:val="Default"/>
              <w:jc w:val="center"/>
              <w:rPr>
                <w:rFonts w:ascii="Times New Roman" w:hAnsi="Times New Roman" w:eastAsiaTheme="minorEastAsia" w:cs="Times New Roman"/>
              </w:rPr>
            </w:pPr>
          </w:p>
        </w:tc>
        <w:tc>
          <w:tcPr>
            <w:tcW w:w="1400" w:type="dxa"/>
            <w:vMerge/>
            <w:vAlign w:val="center"/>
          </w:tcPr>
          <w:p w:rsidR="00B2512C" w14:paraId="409448D0" w14:textId="77777777">
            <w:pPr>
              <w:pStyle w:val="Default"/>
              <w:jc w:val="center"/>
              <w:rPr>
                <w:rFonts w:ascii="Times New Roman" w:hAnsi="Times New Roman" w:eastAsiaTheme="minorEastAsia" w:cs="Times New Roman"/>
              </w:rPr>
            </w:pPr>
          </w:p>
        </w:tc>
        <w:tc>
          <w:tcPr>
            <w:tcW w:w="1190" w:type="dxa"/>
            <w:vMerge/>
            <w:vAlign w:val="center"/>
          </w:tcPr>
          <w:p w:rsidR="00B2512C" w14:paraId="13BA2131" w14:textId="77777777">
            <w:pPr>
              <w:pStyle w:val="Default"/>
              <w:jc w:val="center"/>
              <w:rPr>
                <w:rFonts w:ascii="Times New Roman" w:hAnsi="Times New Roman" w:eastAsiaTheme="minorEastAsia" w:cs="Times New Roman"/>
              </w:rPr>
            </w:pPr>
          </w:p>
        </w:tc>
        <w:tc>
          <w:tcPr>
            <w:tcW w:w="1090" w:type="dxa"/>
            <w:vMerge/>
            <w:vAlign w:val="center"/>
          </w:tcPr>
          <w:p w:rsidR="00B2512C" w14:paraId="66980F2B" w14:textId="77777777">
            <w:pPr>
              <w:pStyle w:val="Default"/>
              <w:jc w:val="center"/>
              <w:rPr>
                <w:rFonts w:ascii="Times New Roman" w:hAnsi="Times New Roman" w:eastAsiaTheme="minorEastAsia" w:cs="Times New Roman"/>
              </w:rPr>
            </w:pPr>
          </w:p>
        </w:tc>
        <w:tc>
          <w:tcPr>
            <w:tcW w:w="1338" w:type="dxa"/>
            <w:vMerge/>
            <w:vAlign w:val="center"/>
          </w:tcPr>
          <w:p w:rsidR="00B2512C" w14:paraId="728AD190" w14:textId="77777777">
            <w:pPr>
              <w:pStyle w:val="Default"/>
              <w:jc w:val="center"/>
              <w:rPr>
                <w:rFonts w:ascii="Times New Roman" w:hAnsi="Times New Roman" w:eastAsiaTheme="minorEastAsia" w:cs="Times New Roman"/>
              </w:rPr>
            </w:pPr>
          </w:p>
        </w:tc>
      </w:tr>
      <w:tr w14:paraId="1EE7F99A" w14:textId="77777777">
        <w:tblPrEx>
          <w:tblW w:w="0" w:type="auto"/>
          <w:tblLook w:val="04A0"/>
        </w:tblPrEx>
        <w:trPr>
          <w:trHeight w:val="588"/>
        </w:trPr>
        <w:tc>
          <w:tcPr>
            <w:tcW w:w="1698" w:type="dxa"/>
            <w:vAlign w:val="center"/>
          </w:tcPr>
          <w:p w:rsidR="00B2512C" w14:paraId="738EAFB7" w14:textId="77777777">
            <w:pPr>
              <w:pStyle w:val="Default"/>
              <w:ind w:firstLine="220" w:firstLineChars="100"/>
              <w:rPr>
                <w:rFonts w:ascii="Times New Roman" w:hAnsi="Times New Roman" w:eastAsiaTheme="minorEastAsia" w:cs="Times New Roman"/>
              </w:rPr>
            </w:pPr>
            <w:r>
              <w:rPr>
                <w:rFonts w:ascii="宋体" w:eastAsia="宋体" w:hAnsi="宋体" w:cs="Arial" w:hint="eastAsia"/>
                <w:sz w:val="22"/>
              </w:rPr>
              <w:t>类  款  项</w:t>
            </w:r>
          </w:p>
        </w:tc>
        <w:tc>
          <w:tcPr>
            <w:tcW w:w="4560" w:type="dxa"/>
            <w:vAlign w:val="center"/>
          </w:tcPr>
          <w:p w:rsidR="00B2512C" w14:paraId="43F7E77B" w14:textId="77777777">
            <w:pPr>
              <w:pStyle w:val="Default"/>
              <w:jc w:val="center"/>
              <w:rPr>
                <w:rFonts w:ascii="Times New Roman" w:hAnsi="Times New Roman" w:eastAsiaTheme="minorEastAsia" w:cs="Times New Roman"/>
              </w:rPr>
            </w:pPr>
            <w:r>
              <w:rPr>
                <w:rFonts w:ascii="宋体" w:eastAsia="宋体" w:hAnsi="宋体" w:cs="宋体" w:hint="eastAsia"/>
                <w:sz w:val="20"/>
                <w:szCs w:val="20"/>
                <w:lang w:bidi="ar"/>
              </w:rPr>
              <w:t>合计</w:t>
            </w:r>
          </w:p>
        </w:tc>
        <w:tc>
          <w:tcPr>
            <w:tcW w:w="1630" w:type="dxa"/>
            <w:vAlign w:val="center"/>
          </w:tcPr>
          <w:p w:rsidR="00B2512C" w14:paraId="18783805"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3425.86</w:t>
            </w:r>
          </w:p>
        </w:tc>
        <w:tc>
          <w:tcPr>
            <w:tcW w:w="1370" w:type="dxa"/>
            <w:vAlign w:val="center"/>
          </w:tcPr>
          <w:p w:rsidR="00B2512C" w14:paraId="5709E597"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1492.97</w:t>
            </w:r>
          </w:p>
        </w:tc>
        <w:tc>
          <w:tcPr>
            <w:tcW w:w="1400" w:type="dxa"/>
            <w:vAlign w:val="center"/>
          </w:tcPr>
          <w:p w:rsidR="00B2512C" w14:paraId="31B9C087"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1932.90</w:t>
            </w:r>
          </w:p>
        </w:tc>
        <w:tc>
          <w:tcPr>
            <w:tcW w:w="1190" w:type="dxa"/>
            <w:vAlign w:val="center"/>
          </w:tcPr>
          <w:p w:rsidR="00B2512C" w14:paraId="3E1BB962"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090" w:type="dxa"/>
            <w:vAlign w:val="center"/>
          </w:tcPr>
          <w:p w:rsidR="00B2512C" w14:paraId="48A3C33C"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c>
          <w:tcPr>
            <w:tcW w:w="1338" w:type="dxa"/>
            <w:vAlign w:val="center"/>
          </w:tcPr>
          <w:p w:rsidR="00B2512C" w14:paraId="4D85BE72" w14:textId="77777777">
            <w:pPr>
              <w:pStyle w:val="Default"/>
              <w:wordWrap w:val="0"/>
              <w:jc w:val="right"/>
              <w:rPr>
                <w:rFonts w:ascii="Times New Roman" w:hAnsi="Times New Roman" w:eastAsiaTheme="minorEastAsia" w:cs="Times New Roman"/>
              </w:rPr>
            </w:pPr>
            <w:r>
              <w:rPr>
                <w:rFonts w:ascii="Times New Roman" w:hAnsi="Times New Roman" w:eastAsiaTheme="minorEastAsia" w:cs="Times New Roman"/>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208</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社会保障和就业支出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239.75</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239.75</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20805</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行政事业单位养老支出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239.75</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239.75</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2080501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行政单位离退休</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39.11</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39.11</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2080502</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事业单位离退休</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73.62</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73.62</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2080505</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机关事业单位基本养老保险缴费支出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124.49</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124.49</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2080506</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机关事业单位职业年金缴费支出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2.54</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2.54</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210</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卫生健康支出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41.02</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41.02</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21011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行政事业单位医疗</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41.02</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41.02</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2101101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行政单位医疗</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3.10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3.10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2101102</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事业单位医疗</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37.92</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37.92</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211</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节能环保支出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132.69</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132.69</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21105</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森林保护修复</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132.69</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132.69</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2110599</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其他森林保护修复支出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132.69</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132.69</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212</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城乡社区支出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100.00</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100.00</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21208</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国有土地使用权出让收入安排的支出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100.00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100.00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2120804</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农村基础设施建设支出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100.00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100.00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213</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农林水支出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2901.42</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1212.20</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1689.22</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21302</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林业和草原</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2754.75</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1212.20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1542.55</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2130201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行政运行</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178.58</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178.58</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2130202</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一般行政管理事务</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0.73</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0.73</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2130204</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事业机构</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1033.62</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1033.62</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2130205</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森林资源培育</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227.70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227.70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2130209</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森林生态效益补偿</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351.37</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351.37</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2130221</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产业化管理</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26.00</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26.00</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2130234</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林业草原防灾减灾</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67.76</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67.76</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2130299</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其他林业和草原支出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868.98</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868.98</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21308</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普惠金融发展支出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146.67</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146.67</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2130803</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农业保险保费补贴</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146.67</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146.67</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i w:val="0"/>
                <w:strike w:val="0"/>
                <w:color w:val="auto"/>
                <w:position w:val="-1"/>
                <w:sz w:val="22"/>
                <w:u w:val="none"/>
              </w:rPr>
              <w:t>215</w:t>
            </w:r>
          </w:p>
        </w:tc>
        <w:tc>
          <w:tcPr>
            <w:tcW w:w="4560" w:type="dxa"/>
            <w:vAlign w:val="center"/>
          </w:tcPr>
          <w:p>
            <w:pPr>
              <w:pageBreakBefore w:val="0"/>
              <w:jc w:val="left"/>
              <w:textAlignment w:val="auto"/>
            </w:pPr>
            <w:r>
              <w:rPr>
                <w:rFonts w:ascii="宋体" w:eastAsia="宋体" w:hAnsi="宋体" w:cs="宋体"/>
                <w:b/>
                <w:i w:val="0"/>
                <w:strike w:val="0"/>
                <w:color w:val="auto"/>
                <w:position w:val="-1"/>
                <w:sz w:val="22"/>
                <w:u w:val="none"/>
              </w:rPr>
              <w:t>资源勘探工业信息等支出</w:t>
            </w:r>
          </w:p>
        </w:tc>
        <w:tc>
          <w:tcPr>
            <w:tcW w:w="1630" w:type="dxa"/>
            <w:vAlign w:val="center"/>
          </w:tcPr>
          <w:p>
            <w:pPr>
              <w:pageBreakBefore w:val="0"/>
              <w:jc w:val="right"/>
              <w:textAlignment w:val="auto"/>
            </w:pPr>
            <w:r>
              <w:rPr>
                <w:rFonts w:ascii="宋体" w:eastAsia="宋体" w:hAnsi="宋体" w:cs="宋体"/>
                <w:b/>
                <w:i w:val="0"/>
                <w:strike w:val="0"/>
                <w:color w:val="auto"/>
                <w:position w:val="-1"/>
                <w:sz w:val="22"/>
                <w:u w:val="none"/>
              </w:rPr>
              <w:t>10.99</w:t>
            </w:r>
          </w:p>
        </w:tc>
        <w:tc>
          <w:tcPr>
            <w:tcW w:w="137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i w:val="0"/>
                <w:strike w:val="0"/>
                <w:color w:val="auto"/>
                <w:position w:val="-1"/>
                <w:sz w:val="22"/>
                <w:u w:val="none"/>
              </w:rPr>
              <w:t>10.99</w:t>
            </w:r>
          </w:p>
        </w:tc>
        <w:tc>
          <w:tcPr>
            <w:tcW w:w="11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21599</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其他资源勘探工业信息等支出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10.99</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10.99</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r>
        <w:tblPrEx>
          <w:tblW w:w="0" w:type="auto"/>
          <w:tblLook w:val="04A0"/>
        </w:tblPrEx>
        <w:tc>
          <w:tcPr>
            <w:tcW w:w="1698" w:type="dxa"/>
            <w:vAlign w:val="center"/>
          </w:tcPr>
          <w:p>
            <w:pPr>
              <w:pageBreakBefore w:val="0"/>
              <w:jc w:val="left"/>
              <w:textAlignment w:val="auto"/>
            </w:pPr>
            <w:r>
              <w:rPr>
                <w:rFonts w:ascii="宋体" w:eastAsia="宋体" w:hAnsi="宋体" w:cs="宋体"/>
                <w:b w:val="0"/>
                <w:i w:val="0"/>
                <w:strike w:val="0"/>
                <w:color w:val="auto"/>
                <w:position w:val="-1"/>
                <w:sz w:val="22"/>
                <w:u w:val="none"/>
              </w:rPr>
              <w:t>2159999</w:t>
            </w:r>
          </w:p>
        </w:tc>
        <w:tc>
          <w:tcPr>
            <w:tcW w:w="4560" w:type="dxa"/>
            <w:vAlign w:val="center"/>
          </w:tcPr>
          <w:p>
            <w:pPr>
              <w:pageBreakBefore w:val="0"/>
              <w:jc w:val="left"/>
              <w:textAlignment w:val="auto"/>
            </w:pPr>
            <w:r>
              <w:rPr>
                <w:rFonts w:ascii="宋体" w:eastAsia="宋体" w:hAnsi="宋体" w:cs="宋体"/>
                <w:b w:val="0"/>
                <w:i w:val="0"/>
                <w:strike w:val="0"/>
                <w:color w:val="auto"/>
                <w:position w:val="-1"/>
                <w:sz w:val="22"/>
                <w:u w:val="none"/>
              </w:rPr>
              <w:t>其他资源勘探工业信息等支出</w:t>
            </w:r>
          </w:p>
        </w:tc>
        <w:tc>
          <w:tcPr>
            <w:tcW w:w="1630" w:type="dxa"/>
            <w:vAlign w:val="center"/>
          </w:tcPr>
          <w:p>
            <w:pPr>
              <w:pageBreakBefore w:val="0"/>
              <w:jc w:val="right"/>
              <w:textAlignment w:val="auto"/>
            </w:pPr>
            <w:r>
              <w:rPr>
                <w:rFonts w:ascii="宋体" w:eastAsia="宋体" w:hAnsi="宋体" w:cs="宋体"/>
                <w:b w:val="0"/>
                <w:i w:val="0"/>
                <w:strike w:val="0"/>
                <w:color w:val="auto"/>
                <w:position w:val="-1"/>
                <w:sz w:val="22"/>
                <w:u w:val="none"/>
              </w:rPr>
              <w:t>10.99</w:t>
            </w:r>
          </w:p>
        </w:tc>
        <w:tc>
          <w:tcPr>
            <w:tcW w:w="137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400" w:type="dxa"/>
            <w:vAlign w:val="center"/>
          </w:tcPr>
          <w:p>
            <w:pPr>
              <w:pageBreakBefore w:val="0"/>
              <w:jc w:val="right"/>
              <w:textAlignment w:val="auto"/>
            </w:pPr>
            <w:r>
              <w:rPr>
                <w:rFonts w:ascii="宋体" w:eastAsia="宋体" w:hAnsi="宋体" w:cs="宋体"/>
                <w:b w:val="0"/>
                <w:i w:val="0"/>
                <w:strike w:val="0"/>
                <w:color w:val="auto"/>
                <w:position w:val="-1"/>
                <w:sz w:val="22"/>
                <w:u w:val="none"/>
              </w:rPr>
              <w:t>10.99</w:t>
            </w:r>
          </w:p>
        </w:tc>
        <w:tc>
          <w:tcPr>
            <w:tcW w:w="11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090"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c>
          <w:tcPr>
            <w:tcW w:w="1338" w:type="dxa"/>
            <w:vAlign w:val="center"/>
          </w:tcPr>
          <w:p>
            <w:pPr>
              <w:pageBreakBefore w:val="0"/>
              <w:jc w:val="right"/>
              <w:textAlignment w:val="auto"/>
            </w:pPr>
            <w:r>
              <w:rPr>
                <w:rFonts w:ascii="宋体" w:eastAsia="宋体" w:hAnsi="宋体" w:cs="宋体"/>
                <w:b w:val="0"/>
                <w:i w:val="0"/>
                <w:strike w:val="0"/>
                <w:color w:val="auto"/>
                <w:position w:val="-1"/>
                <w:sz w:val="22"/>
                <w:u w:val="none"/>
              </w:rPr>
              <w:t>0.00</w:t>
            </w:r>
          </w:p>
        </w:tc>
      </w:tr>
    </w:tbl>
    <w:p w:rsidR="00B2512C" w14:paraId="321A270F"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注：本表反映部门本年度各项支出情况。</w:t>
      </w:r>
    </w:p>
    <w:p w:rsidR="00B2512C" w14:paraId="305944D1" w14:textId="77777777">
      <w:pPr>
        <w:pStyle w:val="Default"/>
        <w:rPr>
          <w:rFonts w:ascii="Times New Roman" w:hAnsi="Times New Roman" w:eastAsiaTheme="minorEastAsia" w:cs="Times New Roman"/>
        </w:rPr>
        <w:sectPr>
          <w:pgSz w:w="16838" w:h="11906" w:orient="landscape"/>
          <w:pgMar w:top="567" w:right="1389" w:bottom="567" w:left="1389" w:header="283" w:footer="283" w:gutter="0"/>
          <w:cols w:space="425"/>
          <w:docGrid w:type="lines" w:linePitch="312"/>
        </w:sectPr>
      </w:pPr>
    </w:p>
    <w:p w:rsidR="00B2512C" w14:paraId="6BB1C726" w14:textId="77777777">
      <w:pPr>
        <w:pStyle w:val="Heading2"/>
        <w:numPr>
          <w:ilvl w:val="0"/>
          <w:numId w:val="1"/>
        </w:numPr>
      </w:pPr>
      <w:bookmarkStart w:id="16" w:name="_Toc20046"/>
      <w:bookmarkStart w:id="17" w:name="_Toc141520070"/>
      <w:r>
        <w:rPr>
          <w:rFonts w:hint="eastAsia"/>
        </w:rPr>
        <w:t>财政拨款收入支出决算总表</w:t>
      </w:r>
      <w:bookmarkEnd w:id="16"/>
      <w:bookmarkEnd w:id="17"/>
    </w:p>
    <w:tbl>
      <w:tblPr>
        <w:tblW w:w="5000" w:type="pct"/>
        <w:tblLook w:val="04A0"/>
      </w:tblPr>
      <w:tblGrid>
        <w:gridCol w:w="2836"/>
        <w:gridCol w:w="1324"/>
        <w:gridCol w:w="2916"/>
        <w:gridCol w:w="1786"/>
        <w:gridCol w:w="1504"/>
        <w:gridCol w:w="1600"/>
        <w:gridCol w:w="1685"/>
      </w:tblGrid>
      <w:tr w14:paraId="7C9210B7" w14:textId="77777777">
        <w:tblPrEx>
          <w:tblW w:w="5000" w:type="pct"/>
          <w:tblLook w:val="04A0"/>
        </w:tblPrEx>
        <w:trPr>
          <w:trHeight w:val="460"/>
        </w:trPr>
        <w:tc>
          <w:tcPr>
            <w:tcW w:w="5000" w:type="pct"/>
            <w:gridSpan w:val="7"/>
            <w:tcBorders>
              <w:top w:val="nil"/>
              <w:left w:val="nil"/>
              <w:bottom w:val="nil"/>
              <w:right w:val="nil"/>
            </w:tcBorders>
            <w:noWrap/>
            <w:vAlign w:val="center"/>
          </w:tcPr>
          <w:p w:rsidR="00B2512C" w14:paraId="1E31EE5C" w14:textId="77777777">
            <w:pPr>
              <w:widowControl/>
              <w:jc w:val="center"/>
              <w:textAlignment w:val="center"/>
              <w:rPr>
                <w:rFonts w:ascii="黑体" w:eastAsia="黑体" w:hAnsi="宋体" w:cs="黑体" w:hint="eastAsia"/>
                <w:color w:val="000000"/>
                <w:sz w:val="36"/>
                <w:szCs w:val="36"/>
              </w:rPr>
            </w:pPr>
            <w:r>
              <w:rPr>
                <w:rFonts w:ascii="黑体" w:eastAsia="黑体" w:hAnsi="宋体" w:cs="黑体" w:hint="eastAsia"/>
                <w:color w:val="000000"/>
                <w:kern w:val="0"/>
                <w:sz w:val="36"/>
                <w:szCs w:val="36"/>
                <w:lang w:bidi="ar"/>
              </w:rPr>
              <w:t>财政拨款收入支出决算总表</w:t>
            </w:r>
          </w:p>
        </w:tc>
      </w:tr>
      <w:tr w14:paraId="0DD2B1F2" w14:textId="77777777">
        <w:tblPrEx>
          <w:tblW w:w="5000" w:type="pct"/>
          <w:tblLook w:val="04A0"/>
        </w:tblPrEx>
        <w:trPr>
          <w:trHeight w:val="280"/>
        </w:trPr>
        <w:tc>
          <w:tcPr>
            <w:tcW w:w="5000" w:type="pct"/>
            <w:gridSpan w:val="7"/>
            <w:tcBorders>
              <w:top w:val="nil"/>
              <w:left w:val="nil"/>
              <w:bottom w:val="nil"/>
              <w:right w:val="nil"/>
            </w:tcBorders>
            <w:noWrap/>
            <w:vAlign w:val="center"/>
          </w:tcPr>
          <w:p w:rsidR="00B2512C" w14:paraId="0A983FC2" w14:textId="77777777">
            <w:pPr>
              <w:widowControl/>
              <w:jc w:val="righ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公开</w:t>
            </w:r>
            <w:r>
              <w:rPr>
                <w:rFonts w:ascii="Arial" w:eastAsia="宋体" w:hAnsi="Arial" w:cs="Arial"/>
                <w:color w:val="000000"/>
                <w:kern w:val="0"/>
                <w:sz w:val="20"/>
                <w:szCs w:val="20"/>
                <w:lang w:bidi="ar"/>
              </w:rPr>
              <w:t>04</w:t>
            </w:r>
            <w:r>
              <w:rPr>
                <w:rFonts w:ascii="宋体" w:eastAsia="宋体" w:hAnsi="宋体" w:cs="宋体" w:hint="eastAsia"/>
                <w:color w:val="000000"/>
                <w:kern w:val="0"/>
                <w:sz w:val="20"/>
                <w:szCs w:val="20"/>
                <w:lang w:bidi="ar"/>
              </w:rPr>
              <w:t>表</w:t>
            </w:r>
          </w:p>
        </w:tc>
      </w:tr>
      <w:tr w14:paraId="6C2AC0B2" w14:textId="77777777">
        <w:tblPrEx>
          <w:tblW w:w="5000" w:type="pct"/>
          <w:tblLook w:val="04A0"/>
        </w:tblPrEx>
        <w:trPr>
          <w:trHeight w:val="90"/>
        </w:trPr>
        <w:tc>
          <w:tcPr>
            <w:tcW w:w="4383" w:type="pct"/>
            <w:gridSpan w:val="6"/>
            <w:tcBorders>
              <w:top w:val="nil"/>
              <w:left w:val="nil"/>
              <w:bottom w:val="nil"/>
              <w:right w:val="nil"/>
            </w:tcBorders>
            <w:noWrap/>
            <w:vAlign w:val="center"/>
          </w:tcPr>
          <w:p w:rsidR="00B2512C" w14:paraId="67015ACB" w14:textId="77777777">
            <w:pPr>
              <w:widowControl/>
              <w:jc w:val="left"/>
              <w:textAlignment w:val="center"/>
              <w:rPr>
                <w:rFonts w:ascii="宋体" w:eastAsia="宋体" w:hAnsi="宋体" w:cs="宋体" w:hint="eastAsia"/>
                <w:color w:val="000000"/>
                <w:sz w:val="20"/>
                <w:szCs w:val="20"/>
              </w:rPr>
            </w:pPr>
            <w:r>
              <w:rPr>
                <w:rFonts w:ascii="宋体" w:eastAsia="宋体" w:hAnsi="宋体" w:cs="Arial"/>
                <w:color w:val="000000"/>
                <w:kern w:val="0"/>
                <w:sz w:val="20"/>
                <w:szCs w:val="20"/>
              </w:rPr>
              <w:t>部门：南安市林业局</w:t>
            </w:r>
          </w:p>
        </w:tc>
        <w:tc>
          <w:tcPr>
            <w:tcW w:w="616" w:type="pct"/>
            <w:tcBorders>
              <w:top w:val="nil"/>
              <w:left w:val="nil"/>
              <w:bottom w:val="nil"/>
              <w:right w:val="nil"/>
            </w:tcBorders>
            <w:noWrap/>
            <w:vAlign w:val="center"/>
          </w:tcPr>
          <w:p w:rsidR="00B2512C" w14:paraId="3A04FB55" w14:textId="77777777">
            <w:pPr>
              <w:widowControl/>
              <w:jc w:val="right"/>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单位：万元</w:t>
            </w:r>
          </w:p>
        </w:tc>
      </w:tr>
      <w:tr w14:paraId="172CBA7B" w14:textId="77777777">
        <w:tblPrEx>
          <w:tblW w:w="5000" w:type="pct"/>
          <w:tblLook w:val="04A0"/>
        </w:tblPrEx>
        <w:trPr>
          <w:trHeight w:val="280"/>
        </w:trPr>
        <w:tc>
          <w:tcPr>
            <w:tcW w:w="1524" w:type="pct"/>
            <w:gridSpan w:val="2"/>
            <w:tcBorders>
              <w:top w:val="single" w:sz="4" w:space="0" w:color="000000"/>
              <w:left w:val="single" w:sz="4" w:space="0" w:color="000000"/>
              <w:bottom w:val="single" w:sz="4" w:space="0" w:color="000000"/>
              <w:right w:val="single" w:sz="4" w:space="0" w:color="000000"/>
            </w:tcBorders>
            <w:noWrap/>
            <w:vAlign w:val="center"/>
          </w:tcPr>
          <w:p w:rsidR="00B2512C" w14:paraId="3F2F5E2E"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收     入</w:t>
            </w:r>
          </w:p>
        </w:tc>
        <w:tc>
          <w:tcPr>
            <w:tcW w:w="3475" w:type="pct"/>
            <w:gridSpan w:val="5"/>
            <w:tcBorders>
              <w:top w:val="single" w:sz="4" w:space="0" w:color="000000"/>
              <w:left w:val="single" w:sz="4" w:space="0" w:color="000000"/>
              <w:bottom w:val="single" w:sz="4" w:space="0" w:color="000000"/>
              <w:right w:val="single" w:sz="4" w:space="0" w:color="000000"/>
            </w:tcBorders>
            <w:noWrap/>
            <w:vAlign w:val="center"/>
          </w:tcPr>
          <w:p w:rsidR="00B2512C" w14:paraId="173CEBBF"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支     出</w:t>
            </w:r>
          </w:p>
        </w:tc>
      </w:tr>
      <w:tr w14:paraId="41C9532A" w14:textId="77777777">
        <w:tblPrEx>
          <w:tblW w:w="5000" w:type="pct"/>
          <w:tblLook w:val="04A0"/>
        </w:tblPrEx>
        <w:trPr>
          <w:trHeight w:val="280"/>
        </w:trPr>
        <w:tc>
          <w:tcPr>
            <w:tcW w:w="1039" w:type="pct"/>
            <w:tcBorders>
              <w:top w:val="single" w:sz="4" w:space="0" w:color="000000"/>
              <w:left w:val="single" w:sz="4" w:space="0" w:color="000000"/>
              <w:bottom w:val="single" w:sz="4" w:space="0" w:color="000000"/>
              <w:right w:val="single" w:sz="4" w:space="0" w:color="000000"/>
            </w:tcBorders>
            <w:noWrap/>
            <w:vAlign w:val="center"/>
          </w:tcPr>
          <w:p w:rsidR="00B2512C" w14:paraId="29FACE16"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项    目</w:t>
            </w:r>
          </w:p>
        </w:tc>
        <w:tc>
          <w:tcPr>
            <w:tcW w:w="484" w:type="pct"/>
            <w:tcBorders>
              <w:top w:val="single" w:sz="4" w:space="0" w:color="000000"/>
              <w:left w:val="single" w:sz="4" w:space="0" w:color="000000"/>
              <w:bottom w:val="single" w:sz="4" w:space="0" w:color="000000"/>
              <w:right w:val="single" w:sz="4" w:space="0" w:color="000000"/>
            </w:tcBorders>
            <w:noWrap/>
            <w:vAlign w:val="center"/>
          </w:tcPr>
          <w:p w:rsidR="00B2512C" w14:paraId="15C0EDD3"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金额</w:t>
            </w:r>
          </w:p>
        </w:tc>
        <w:tc>
          <w:tcPr>
            <w:tcW w:w="1068" w:type="pct"/>
            <w:tcBorders>
              <w:top w:val="single" w:sz="4" w:space="0" w:color="000000"/>
              <w:left w:val="single" w:sz="4" w:space="0" w:color="000000"/>
              <w:bottom w:val="single" w:sz="4" w:space="0" w:color="000000"/>
              <w:right w:val="single" w:sz="4" w:space="0" w:color="000000"/>
            </w:tcBorders>
            <w:noWrap/>
            <w:vAlign w:val="center"/>
          </w:tcPr>
          <w:p w:rsidR="00B2512C" w14:paraId="2570643D"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项目（按功能分类）</w:t>
            </w:r>
          </w:p>
        </w:tc>
        <w:tc>
          <w:tcPr>
            <w:tcW w:w="654" w:type="pct"/>
            <w:tcBorders>
              <w:top w:val="single" w:sz="4" w:space="0" w:color="000000"/>
              <w:left w:val="single" w:sz="4" w:space="0" w:color="000000"/>
              <w:bottom w:val="single" w:sz="4" w:space="0" w:color="000000"/>
              <w:right w:val="single" w:sz="4" w:space="0" w:color="000000"/>
            </w:tcBorders>
            <w:noWrap/>
            <w:vAlign w:val="center"/>
          </w:tcPr>
          <w:p w:rsidR="00B2512C" w14:paraId="63C22E8E"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合计</w:t>
            </w:r>
          </w:p>
        </w:tc>
        <w:tc>
          <w:tcPr>
            <w:tcW w:w="551" w:type="pct"/>
            <w:tcBorders>
              <w:top w:val="single" w:sz="4" w:space="0" w:color="000000"/>
              <w:left w:val="single" w:sz="4" w:space="0" w:color="000000"/>
              <w:bottom w:val="single" w:sz="4" w:space="0" w:color="000000"/>
              <w:right w:val="single" w:sz="4" w:space="0" w:color="000000"/>
            </w:tcBorders>
            <w:vAlign w:val="center"/>
          </w:tcPr>
          <w:p w:rsidR="00B2512C" w14:paraId="2B80F8D8"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一般公共预算财政拨款</w:t>
            </w:r>
          </w:p>
        </w:tc>
        <w:tc>
          <w:tcPr>
            <w:tcW w:w="584" w:type="pct"/>
            <w:tcBorders>
              <w:top w:val="single" w:sz="4" w:space="0" w:color="000000"/>
              <w:left w:val="single" w:sz="4" w:space="0" w:color="000000"/>
              <w:bottom w:val="single" w:sz="4" w:space="0" w:color="000000"/>
              <w:right w:val="single" w:sz="4" w:space="0" w:color="000000"/>
            </w:tcBorders>
            <w:vAlign w:val="center"/>
          </w:tcPr>
          <w:p w:rsidR="00B2512C" w14:paraId="0DD74898"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政府性基金预算财政拨款</w:t>
            </w:r>
          </w:p>
        </w:tc>
        <w:tc>
          <w:tcPr>
            <w:tcW w:w="616" w:type="pct"/>
            <w:tcBorders>
              <w:top w:val="single" w:sz="4" w:space="0" w:color="000000"/>
              <w:left w:val="single" w:sz="4" w:space="0" w:color="000000"/>
              <w:bottom w:val="single" w:sz="4" w:space="0" w:color="000000"/>
              <w:right w:val="single" w:sz="4" w:space="0" w:color="000000"/>
            </w:tcBorders>
            <w:vAlign w:val="center"/>
          </w:tcPr>
          <w:p w:rsidR="00B2512C" w14:paraId="1708A5B2" w14:textId="77777777">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国有资本经营预算财政拨款</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 xml:space="preserve">一、一般公共预算财政拨款 </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3308.64</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一、一般公共服务支出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二、政府性基金预算财政拨款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100.00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二、外交支出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三、国有资本经营预算财政拨款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三、国防支出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四、公共安全支出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五、教育支出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六、科学技术支出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七、文化旅游体育与传媒支出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八、社会保障和就业支出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239.75</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239.75</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九、卫生健康支出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41.02</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41.02</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十、节能环保支出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132.69</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132.69</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十一、城乡社区支出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100.00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100.00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十二、农林水支出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2884.20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2884.20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十三、交通运输支出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十四、资源勘探工业信息等支出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10.99</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10.99</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十五、商业服务业等支出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十六、金融支出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十七、援助其他地区支出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十八、自然资源海洋气象等支出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十九、住房保障支出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二十、粮油物资储备支出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二十一、国有资本经营预算支出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二十二、灾害防治及应急管理支出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二十三、其他支出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二十四、债务还本支出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二十五、债务付息支出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二十六、抗疫特别国债安排的支出</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center"/>
              <w:textAlignment w:val="center"/>
            </w:pPr>
            <w:r>
              <w:rPr>
                <w:rFonts w:ascii="宋体" w:eastAsia="宋体" w:hAnsi="宋体" w:cs="宋体"/>
                <w:b/>
                <w:i w:val="0"/>
                <w:strike w:val="0"/>
                <w:color w:val="000000"/>
                <w:position w:val="-1"/>
                <w:sz w:val="18"/>
                <w:u w:val="none"/>
              </w:rPr>
              <w:t>本年收入合计</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3408.64</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center"/>
              <w:textAlignment w:val="center"/>
            </w:pPr>
            <w:r>
              <w:rPr>
                <w:rFonts w:ascii="宋体" w:eastAsia="宋体" w:hAnsi="宋体" w:cs="宋体"/>
                <w:b/>
                <w:i w:val="0"/>
                <w:strike w:val="0"/>
                <w:color w:val="000000"/>
                <w:position w:val="-1"/>
                <w:sz w:val="18"/>
                <w:u w:val="none"/>
              </w:rPr>
              <w:t>本年支出合计</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3408.64</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3308.64</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100.00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 xml:space="preserve">   年初财政拨款结转和结余 </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 xml:space="preserve">   年末财政拨款结转和结余 </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2.00</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 xml:space="preserve">      一、一般公共预算财政拨款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2.00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 xml:space="preserve">      二、政府性基金预算财政拨款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r>
              <w:rPr>
                <w:rFonts w:ascii="宋体" w:eastAsia="宋体" w:hAnsi="宋体" w:cs="宋体"/>
                <w:b w:val="0"/>
                <w:i w:val="0"/>
                <w:strike w:val="0"/>
                <w:color w:val="000000"/>
                <w:position w:val="-1"/>
                <w:sz w:val="18"/>
                <w:u w:val="none"/>
              </w:rPr>
              <w:t xml:space="preserve">      三、国有资本经营预算财政拨款</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left"/>
              <w:textAlignment w:val="center"/>
            </w:pP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r>
        <w:tblPrEx>
          <w:tblW w:w="5000" w:type="pct"/>
          <w:tblLook w:val="04A0"/>
        </w:tblPrEx>
        <w:tc>
          <w:tcPr>
            <w:tcW w:w="1039" w:type="dxa"/>
            <w:tcBorders>
              <w:top w:val="single" w:sz="4" w:space="0" w:color="000000"/>
              <w:left w:val="single" w:sz="4" w:space="0" w:color="000000"/>
              <w:bottom w:val="single" w:sz="4" w:space="0" w:color="000000"/>
              <w:right w:val="single" w:sz="4" w:space="0" w:color="000000"/>
            </w:tcBorders>
            <w:vAlign w:val="center"/>
          </w:tcPr>
          <w:p>
            <w:pPr>
              <w:pageBreakBefore w:val="0"/>
              <w:jc w:val="center"/>
              <w:textAlignment w:val="center"/>
            </w:pPr>
            <w:r>
              <w:rPr>
                <w:rFonts w:ascii="宋体" w:eastAsia="宋体" w:hAnsi="宋体" w:cs="宋体"/>
                <w:b/>
                <w:i w:val="0"/>
                <w:strike w:val="0"/>
                <w:color w:val="000000"/>
                <w:position w:val="-1"/>
                <w:sz w:val="18"/>
                <w:u w:val="none"/>
              </w:rPr>
              <w:t xml:space="preserve">总计 </w:t>
            </w:r>
          </w:p>
        </w:tc>
        <w:tc>
          <w:tcPr>
            <w:tcW w:w="4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3410.64</w:t>
            </w:r>
          </w:p>
        </w:tc>
        <w:tc>
          <w:tcPr>
            <w:tcW w:w="1068" w:type="dxa"/>
            <w:tcBorders>
              <w:top w:val="single" w:sz="4" w:space="0" w:color="000000"/>
              <w:left w:val="single" w:sz="4" w:space="0" w:color="000000"/>
              <w:bottom w:val="single" w:sz="4" w:space="0" w:color="000000"/>
              <w:right w:val="single" w:sz="4" w:space="0" w:color="000000"/>
            </w:tcBorders>
            <w:vAlign w:val="center"/>
          </w:tcPr>
          <w:p>
            <w:pPr>
              <w:pageBreakBefore w:val="0"/>
              <w:jc w:val="center"/>
              <w:textAlignment w:val="center"/>
            </w:pPr>
            <w:r>
              <w:rPr>
                <w:rFonts w:ascii="宋体" w:eastAsia="宋体" w:hAnsi="宋体" w:cs="宋体"/>
                <w:b/>
                <w:i w:val="0"/>
                <w:strike w:val="0"/>
                <w:color w:val="000000"/>
                <w:position w:val="-1"/>
                <w:sz w:val="18"/>
                <w:u w:val="none"/>
              </w:rPr>
              <w:t xml:space="preserve">总计 </w:t>
            </w:r>
          </w:p>
        </w:tc>
        <w:tc>
          <w:tcPr>
            <w:tcW w:w="65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3410.64</w:t>
            </w:r>
          </w:p>
        </w:tc>
        <w:tc>
          <w:tcPr>
            <w:tcW w:w="551"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3310.64</w:t>
            </w:r>
          </w:p>
        </w:tc>
        <w:tc>
          <w:tcPr>
            <w:tcW w:w="584"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100.00</w:t>
            </w:r>
          </w:p>
        </w:tc>
        <w:tc>
          <w:tcPr>
            <w:tcW w:w="616" w:type="dxa"/>
            <w:tcBorders>
              <w:top w:val="single" w:sz="4" w:space="0" w:color="000000"/>
              <w:left w:val="single" w:sz="4" w:space="0" w:color="000000"/>
              <w:bottom w:val="single" w:sz="4" w:space="0" w:color="000000"/>
              <w:right w:val="single" w:sz="4" w:space="0" w:color="000000"/>
            </w:tcBorders>
            <w:vAlign w:val="center"/>
          </w:tcPr>
          <w:p>
            <w:pPr>
              <w:pageBreakBefore w:val="0"/>
              <w:jc w:val="right"/>
              <w:textAlignment w:val="auto"/>
            </w:pPr>
            <w:r>
              <w:rPr>
                <w:rFonts w:ascii="宋体" w:eastAsia="宋体" w:hAnsi="宋体" w:cs="宋体"/>
                <w:b w:val="0"/>
                <w:i w:val="0"/>
                <w:strike w:val="0"/>
                <w:color w:val="000000"/>
                <w:position w:val="-1"/>
                <w:sz w:val="18"/>
                <w:u w:val="none"/>
              </w:rPr>
              <w:t>0.00</w:t>
            </w:r>
          </w:p>
        </w:tc>
      </w:tr>
    </w:tbl>
    <w:p w:rsidR="00B2512C" w14:paraId="41B926FF"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注：本表反映部门本年度一般公共预算财政拨款、政府性基金预算财政拨款和国有资本经营预算财政拨款的总收支和年末结转结余情况。</w:t>
      </w:r>
    </w:p>
    <w:p w:rsidR="00624EC3" w:rsidRPr="00B7293A" w:rsidP="00780C90" w14:paraId="7719E1EB" w14:textId="77777777">
      <w:pPr>
        <w:widowControl/>
        <w:spacing w:line="240" w:lineRule="auto"/>
        <w:ind w:firstLine="480" w:firstLineChars="200"/>
        <w:rPr>
          <w:rFonts w:ascii="宋体" w:eastAsia="宋体" w:hAnsi="宋体" w:cs="宋体" w:hint="eastAsia"/>
          <w:kern w:val="0"/>
          <w:sz w:val="24"/>
          <w:szCs w:val="24"/>
        </w:rPr>
        <w:sectPr>
          <w:pgSz w:w="16838" w:h="11906" w:orient="landscape"/>
          <w:pgMar w:top="567" w:right="1702" w:bottom="567" w:left="1701" w:header="851" w:footer="992" w:gutter="0"/>
          <w:cols w:space="425"/>
          <w:docGrid w:type="lines" w:linePitch="312"/>
        </w:sectPr>
      </w:pPr>
      <w:r>
        <w:rPr>
          <w:rFonts w:ascii="宋体" w:eastAsia="宋体" w:hAnsi="宋体" w:cs="宋体" w:hint="eastAsia"/>
          <w:kern w:val="0"/>
          <w:sz w:val="24"/>
          <w:szCs w:val="24"/>
        </w:rPr>
        <w:t xml:space="preserve"> </w:t>
      </w:r>
    </w:p>
    <w:p w:rsidR="00B2512C" w14:paraId="36FCFA0B" w14:textId="77777777">
      <w:pPr>
        <w:pStyle w:val="Heading2"/>
        <w:numPr>
          <w:ilvl w:val="0"/>
          <w:numId w:val="1"/>
        </w:numPr>
        <w:spacing w:before="0" w:after="0"/>
      </w:pPr>
      <w:bookmarkStart w:id="18" w:name="_Toc32637"/>
      <w:bookmarkStart w:id="19" w:name="_Toc141520071"/>
      <w:r>
        <w:rPr>
          <w:rFonts w:hint="eastAsia"/>
        </w:rPr>
        <w:t>一般公共预算财政拨款支出决算表</w:t>
      </w:r>
      <w:bookmarkEnd w:id="18"/>
      <w:bookmarkEnd w:id="19"/>
    </w:p>
    <w:p w:rsidR="00B2512C" w14:paraId="221153A3" w14:textId="77777777">
      <w:pPr>
        <w:pStyle w:val="Default"/>
        <w:jc w:val="center"/>
        <w:rPr>
          <w:rFonts w:ascii="Times New Roman" w:hAnsi="Times New Roman" w:eastAsiaTheme="minorEastAsia" w:cs="Times New Roman"/>
        </w:rPr>
      </w:pPr>
      <w:r>
        <w:rPr>
          <w:rFonts w:ascii="黑体" w:eastAsia="黑体" w:hAnsi="宋体" w:cs="黑体" w:hint="eastAsia"/>
          <w:sz w:val="36"/>
          <w:szCs w:val="36"/>
          <w:lang w:bidi="ar"/>
        </w:rPr>
        <w:t>一般公共预算财政拨款支出决算表</w:t>
      </w:r>
    </w:p>
    <w:p w:rsidR="00B2512C" w14:paraId="0DC24D50" w14:textId="77777777">
      <w:pPr>
        <w:widowControl/>
        <w:jc w:val="right"/>
        <w:textAlignment w:val="bottom"/>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公开05表</w:t>
      </w:r>
    </w:p>
    <w:tbl>
      <w:tblPr>
        <w:tblStyle w:val="TableGrid"/>
        <w:tblW w:w="0" w:type="auto"/>
        <w:tblLook w:val="04A0"/>
      </w:tblPr>
      <w:tblGrid>
        <w:gridCol w:w="959"/>
        <w:gridCol w:w="3969"/>
        <w:gridCol w:w="1276"/>
        <w:gridCol w:w="1275"/>
        <w:gridCol w:w="1241"/>
      </w:tblGrid>
      <w:tr w14:paraId="3D396944" w14:textId="77777777">
        <w:tblPrEx>
          <w:tblW w:w="0" w:type="auto"/>
          <w:tblLook w:val="04A0"/>
        </w:tblPrEx>
        <w:trPr>
          <w:trHeight w:val="423"/>
        </w:trPr>
        <w:tc>
          <w:tcPr>
            <w:tcW w:w="7479" w:type="dxa"/>
            <w:gridSpan w:val="4"/>
            <w:tcBorders>
              <w:top w:val="nil"/>
              <w:left w:val="nil"/>
              <w:right w:val="nil"/>
            </w:tcBorders>
            <w:vAlign w:val="center"/>
          </w:tcPr>
          <w:p w:rsidR="00B2512C" w14:paraId="721CB945" w14:textId="77777777">
            <w:pPr>
              <w:pStyle w:val="Default"/>
              <w:rPr>
                <w:rFonts w:ascii="宋体" w:eastAsia="宋体" w:hAnsi="宋体" w:cs="宋体" w:hint="eastAsia"/>
                <w:sz w:val="22"/>
                <w:lang w:bidi="ar"/>
              </w:rPr>
            </w:pPr>
            <w:r>
              <w:rPr>
                <w:rFonts w:ascii="宋体" w:eastAsia="宋体" w:hAnsi="宋体" w:cs="Arial"/>
                <w:sz w:val="20"/>
                <w:szCs w:val="20"/>
              </w:rPr>
              <w:t>部门：南安市林业局</w:t>
            </w:r>
          </w:p>
        </w:tc>
        <w:tc>
          <w:tcPr>
            <w:tcW w:w="1241" w:type="dxa"/>
            <w:tcBorders>
              <w:top w:val="nil"/>
              <w:left w:val="nil"/>
              <w:right w:val="nil"/>
            </w:tcBorders>
            <w:vAlign w:val="center"/>
          </w:tcPr>
          <w:p w:rsidR="00B2512C" w14:paraId="52FC89A5" w14:textId="77777777">
            <w:pPr>
              <w:pStyle w:val="Default"/>
              <w:jc w:val="right"/>
              <w:rPr>
                <w:rFonts w:ascii="宋体" w:eastAsia="宋体" w:hAnsi="宋体" w:cs="宋体" w:hint="eastAsia"/>
                <w:sz w:val="20"/>
                <w:szCs w:val="20"/>
                <w:lang w:bidi="ar"/>
              </w:rPr>
            </w:pPr>
            <w:r>
              <w:rPr>
                <w:rFonts w:ascii="宋体" w:eastAsia="宋体" w:hAnsi="宋体" w:cs="宋体" w:hint="eastAsia"/>
                <w:sz w:val="20"/>
                <w:szCs w:val="20"/>
                <w:lang w:bidi="ar"/>
              </w:rPr>
              <w:t>单位：万元</w:t>
            </w:r>
          </w:p>
        </w:tc>
      </w:tr>
      <w:tr w14:paraId="3815241E" w14:textId="77777777">
        <w:tblPrEx>
          <w:tblW w:w="0" w:type="auto"/>
          <w:tblLook w:val="04A0"/>
        </w:tblPrEx>
        <w:trPr>
          <w:trHeight w:val="423"/>
        </w:trPr>
        <w:tc>
          <w:tcPr>
            <w:tcW w:w="4928" w:type="dxa"/>
            <w:gridSpan w:val="2"/>
            <w:vAlign w:val="center"/>
          </w:tcPr>
          <w:p w:rsidR="00B2512C" w14:paraId="5E8825E0"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 xml:space="preserve">项 </w:t>
            </w:r>
            <w:r>
              <w:rPr>
                <w:rStyle w:val="font51"/>
                <w:rFonts w:hint="default"/>
                <w:sz w:val="22"/>
                <w:szCs w:val="22"/>
                <w:lang w:bidi="ar"/>
              </w:rPr>
              <w:t xml:space="preserve">  目</w:t>
            </w:r>
          </w:p>
        </w:tc>
        <w:tc>
          <w:tcPr>
            <w:tcW w:w="3792" w:type="dxa"/>
            <w:gridSpan w:val="3"/>
            <w:vAlign w:val="center"/>
          </w:tcPr>
          <w:p w:rsidR="00B2512C" w14:paraId="2821E9DA"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本年支出</w:t>
            </w:r>
          </w:p>
        </w:tc>
      </w:tr>
      <w:tr w14:paraId="610A352D" w14:textId="77777777">
        <w:tblPrEx>
          <w:tblW w:w="0" w:type="auto"/>
          <w:tblLook w:val="04A0"/>
        </w:tblPrEx>
        <w:trPr>
          <w:trHeight w:val="836"/>
        </w:trPr>
        <w:tc>
          <w:tcPr>
            <w:tcW w:w="959" w:type="dxa"/>
            <w:vAlign w:val="center"/>
          </w:tcPr>
          <w:p w:rsidR="00B2512C" w14:paraId="1E175729"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功能分类科目编码</w:t>
            </w:r>
          </w:p>
        </w:tc>
        <w:tc>
          <w:tcPr>
            <w:tcW w:w="3969" w:type="dxa"/>
            <w:vAlign w:val="center"/>
          </w:tcPr>
          <w:p w:rsidR="00B2512C" w14:paraId="00778595"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科目名称</w:t>
            </w:r>
          </w:p>
        </w:tc>
        <w:tc>
          <w:tcPr>
            <w:tcW w:w="1276" w:type="dxa"/>
            <w:vAlign w:val="center"/>
          </w:tcPr>
          <w:p w:rsidR="00B2512C" w14:paraId="044C55C3"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小计</w:t>
            </w:r>
          </w:p>
        </w:tc>
        <w:tc>
          <w:tcPr>
            <w:tcW w:w="1275" w:type="dxa"/>
            <w:vAlign w:val="center"/>
          </w:tcPr>
          <w:p w:rsidR="00B2512C" w14:paraId="7F82C8E4"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基本支出</w:t>
            </w:r>
          </w:p>
        </w:tc>
        <w:tc>
          <w:tcPr>
            <w:tcW w:w="1241" w:type="dxa"/>
            <w:vAlign w:val="center"/>
          </w:tcPr>
          <w:p w:rsidR="00B2512C" w14:paraId="5761E139" w14:textId="77777777">
            <w:pPr>
              <w:pStyle w:val="Default"/>
              <w:jc w:val="center"/>
              <w:rPr>
                <w:rFonts w:ascii="Times New Roman" w:hAnsi="Times New Roman" w:eastAsiaTheme="minorEastAsia" w:cs="Times New Roman"/>
              </w:rPr>
            </w:pPr>
            <w:r>
              <w:rPr>
                <w:rFonts w:ascii="宋体" w:eastAsia="宋体" w:hAnsi="宋体" w:cs="宋体" w:hint="eastAsia"/>
                <w:sz w:val="22"/>
                <w:lang w:bidi="ar"/>
              </w:rPr>
              <w:t>项目支出</w:t>
            </w:r>
          </w:p>
        </w:tc>
      </w:tr>
      <w:tr w14:paraId="16304D1B" w14:textId="77777777">
        <w:tblPrEx>
          <w:tblW w:w="0" w:type="auto"/>
          <w:tblLook w:val="04A0"/>
        </w:tblPrEx>
        <w:trPr>
          <w:trHeight w:val="344"/>
        </w:trPr>
        <w:tc>
          <w:tcPr>
            <w:tcW w:w="4928" w:type="dxa"/>
            <w:gridSpan w:val="2"/>
            <w:vAlign w:val="center"/>
          </w:tcPr>
          <w:p w:rsidR="00B2512C" w14:paraId="5FA6E7A5" w14:textId="77777777">
            <w:pPr>
              <w:pStyle w:val="Default"/>
              <w:jc w:val="center"/>
              <w:rPr>
                <w:rFonts w:ascii="Times New Roman" w:hAnsi="Times New Roman" w:eastAsiaTheme="minorEastAsia" w:cs="Times New Roman"/>
              </w:rPr>
            </w:pPr>
            <w:r>
              <w:rPr>
                <w:rFonts w:ascii="宋体" w:eastAsia="宋体" w:hAnsi="宋体" w:cs="宋体" w:hint="eastAsia"/>
                <w:sz w:val="18"/>
                <w:szCs w:val="18"/>
                <w:lang w:bidi="ar"/>
              </w:rPr>
              <w:t>合计</w:t>
            </w:r>
          </w:p>
        </w:tc>
        <w:tc>
          <w:tcPr>
            <w:tcW w:w="1276" w:type="dxa"/>
            <w:vAlign w:val="center"/>
          </w:tcPr>
          <w:p w:rsidR="00B2512C" w14:paraId="21119F27"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3308.64</w:t>
            </w:r>
          </w:p>
        </w:tc>
        <w:tc>
          <w:tcPr>
            <w:tcW w:w="1275" w:type="dxa"/>
            <w:vAlign w:val="center"/>
          </w:tcPr>
          <w:p w:rsidR="00B2512C" w14:paraId="3C135876"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1492.97</w:t>
            </w:r>
          </w:p>
        </w:tc>
        <w:tc>
          <w:tcPr>
            <w:tcW w:w="1241" w:type="dxa"/>
            <w:vAlign w:val="center"/>
          </w:tcPr>
          <w:p w:rsidR="00B2512C" w14:paraId="4D3570AC"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1815.68</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208</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社会保障和就业支出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239.75</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239.75</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20805</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行政事业单位养老支出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239.75</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239.75</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2080501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行政单位离退休</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39.11</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39.11</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2080502</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事业单位离退休</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73.62</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73.62</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2080505</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机关事业单位基本养老保险缴费支出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124.49</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124.49</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2080506</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机关事业单位职业年金缴费支出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2.54</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2.54</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210</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卫生健康支出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41.02</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41.02</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21011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行政事业单位医疗</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41.02</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41.02</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2101101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行政单位医疗</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3.10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3.10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2101102</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事业单位医疗</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37.92</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37.92</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211</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节能环保支出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132.69</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132.69</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21105</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森林保护修复</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132.69</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132.69</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2110599</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其他森林保护修复支出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132.69</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132.69</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213</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农林水支出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2884.20</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1212.20</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1672.00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21302</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林业和草原</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2737.53</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1212.20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1525.33</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2130201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行政运行</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178.58</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178.58</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2130202</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一般行政管理事务</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0.73</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0.73</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2130204</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事业机构</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1033.62</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1033.62</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2130205</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森林资源培育</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227.70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227.70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2130209</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森林生态效益补偿</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351.37</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351.37</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2130221</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产业化管理</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26.00</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26.00</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2130234</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林业草原防灾减灾</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67.76</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67.76</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2130299</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其他林业和草原支出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851.76</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851.76</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21308</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普惠金融发展支出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146.67</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146.67</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2130803</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农业保险保费补贴</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146.67</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146.67</w:t>
            </w:r>
          </w:p>
        </w:tc>
      </w:tr>
      <w:tr>
        <w:tblPrEx>
          <w:tblW w:w="0" w:type="auto"/>
          <w:tblLook w:val="04A0"/>
        </w:tblPrEx>
        <w:tc>
          <w:tcPr>
            <w:tcW w:w="959" w:type="dxa"/>
            <w:vAlign w:val="center"/>
          </w:tcPr>
          <w:p>
            <w:pPr>
              <w:pageBreakBefore w:val="0"/>
              <w:jc w:val="left"/>
              <w:textAlignment w:val="auto"/>
            </w:pPr>
            <w:r>
              <w:rPr>
                <w:rFonts w:ascii="宋体" w:eastAsia="宋体" w:hAnsi="宋体" w:cs="宋体"/>
                <w:b/>
                <w:i w:val="0"/>
                <w:strike w:val="0"/>
                <w:color w:val="auto"/>
                <w:position w:val="-1"/>
                <w:sz w:val="18"/>
                <w:u w:val="none"/>
              </w:rPr>
              <w:t>215</w:t>
            </w:r>
          </w:p>
        </w:tc>
        <w:tc>
          <w:tcPr>
            <w:tcW w:w="3969" w:type="dxa"/>
            <w:vAlign w:val="center"/>
          </w:tcPr>
          <w:p>
            <w:pPr>
              <w:pageBreakBefore w:val="0"/>
              <w:jc w:val="left"/>
              <w:textAlignment w:val="auto"/>
            </w:pPr>
            <w:r>
              <w:rPr>
                <w:rFonts w:ascii="宋体" w:eastAsia="宋体" w:hAnsi="宋体" w:cs="宋体"/>
                <w:b/>
                <w:i w:val="0"/>
                <w:strike w:val="0"/>
                <w:color w:val="auto"/>
                <w:position w:val="-1"/>
                <w:sz w:val="18"/>
                <w:u w:val="none"/>
              </w:rPr>
              <w:t>资源勘探工业信息等支出</w:t>
            </w:r>
          </w:p>
        </w:tc>
        <w:tc>
          <w:tcPr>
            <w:tcW w:w="1276" w:type="dxa"/>
            <w:vAlign w:val="center"/>
          </w:tcPr>
          <w:p>
            <w:pPr>
              <w:pageBreakBefore w:val="0"/>
              <w:jc w:val="right"/>
              <w:textAlignment w:val="auto"/>
            </w:pPr>
            <w:r>
              <w:rPr>
                <w:rFonts w:ascii="宋体" w:eastAsia="宋体" w:hAnsi="宋体" w:cs="宋体"/>
                <w:b/>
                <w:i w:val="0"/>
                <w:strike w:val="0"/>
                <w:color w:val="auto"/>
                <w:position w:val="-1"/>
                <w:sz w:val="18"/>
                <w:u w:val="none"/>
              </w:rPr>
              <w:t>10.99</w:t>
            </w:r>
          </w:p>
        </w:tc>
        <w:tc>
          <w:tcPr>
            <w:tcW w:w="1275" w:type="dxa"/>
            <w:vAlign w:val="center"/>
          </w:tcPr>
          <w:p>
            <w:pPr>
              <w:pageBreakBefore w:val="0"/>
              <w:jc w:val="right"/>
              <w:textAlignment w:val="auto"/>
            </w:pPr>
            <w:r>
              <w:rPr>
                <w:rFonts w:ascii="宋体" w:eastAsia="宋体" w:hAnsi="宋体" w:cs="宋体"/>
                <w:b/>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i w:val="0"/>
                <w:strike w:val="0"/>
                <w:color w:val="auto"/>
                <w:position w:val="-1"/>
                <w:sz w:val="18"/>
                <w:u w:val="none"/>
              </w:rPr>
              <w:t>10.99</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21599</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其他资源勘探工业信息等支出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10.99</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10.99</w:t>
            </w:r>
          </w:p>
        </w:tc>
      </w:tr>
      <w:tr>
        <w:tblPrEx>
          <w:tblW w:w="0" w:type="auto"/>
          <w:tblLook w:val="04A0"/>
        </w:tblPrEx>
        <w:tc>
          <w:tcPr>
            <w:tcW w:w="959" w:type="dxa"/>
            <w:vAlign w:val="center"/>
          </w:tcPr>
          <w:p>
            <w:pPr>
              <w:pageBreakBefore w:val="0"/>
              <w:jc w:val="left"/>
              <w:textAlignment w:val="auto"/>
            </w:pPr>
            <w:r>
              <w:rPr>
                <w:rFonts w:ascii="宋体" w:eastAsia="宋体" w:hAnsi="宋体" w:cs="宋体"/>
                <w:b w:val="0"/>
                <w:i w:val="0"/>
                <w:strike w:val="0"/>
                <w:color w:val="auto"/>
                <w:position w:val="-1"/>
                <w:sz w:val="18"/>
                <w:u w:val="none"/>
              </w:rPr>
              <w:t>2159999</w:t>
            </w:r>
          </w:p>
        </w:tc>
        <w:tc>
          <w:tcPr>
            <w:tcW w:w="3969" w:type="dxa"/>
            <w:vAlign w:val="center"/>
          </w:tcPr>
          <w:p>
            <w:pPr>
              <w:pageBreakBefore w:val="0"/>
              <w:jc w:val="left"/>
              <w:textAlignment w:val="auto"/>
            </w:pPr>
            <w:r>
              <w:rPr>
                <w:rFonts w:ascii="宋体" w:eastAsia="宋体" w:hAnsi="宋体" w:cs="宋体"/>
                <w:b w:val="0"/>
                <w:i w:val="0"/>
                <w:strike w:val="0"/>
                <w:color w:val="auto"/>
                <w:position w:val="-1"/>
                <w:sz w:val="18"/>
                <w:u w:val="none"/>
              </w:rPr>
              <w:t>其他资源勘探工业信息等支出</w:t>
            </w:r>
          </w:p>
        </w:tc>
        <w:tc>
          <w:tcPr>
            <w:tcW w:w="1276" w:type="dxa"/>
            <w:vAlign w:val="center"/>
          </w:tcPr>
          <w:p>
            <w:pPr>
              <w:pageBreakBefore w:val="0"/>
              <w:jc w:val="right"/>
              <w:textAlignment w:val="auto"/>
            </w:pPr>
            <w:r>
              <w:rPr>
                <w:rFonts w:ascii="宋体" w:eastAsia="宋体" w:hAnsi="宋体" w:cs="宋体"/>
                <w:b w:val="0"/>
                <w:i w:val="0"/>
                <w:strike w:val="0"/>
                <w:color w:val="auto"/>
                <w:position w:val="-1"/>
                <w:sz w:val="18"/>
                <w:u w:val="none"/>
              </w:rPr>
              <w:t>10.99</w:t>
            </w:r>
          </w:p>
        </w:tc>
        <w:tc>
          <w:tcPr>
            <w:tcW w:w="1275"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1241" w:type="dxa"/>
            <w:vAlign w:val="center"/>
          </w:tcPr>
          <w:p>
            <w:pPr>
              <w:pageBreakBefore w:val="0"/>
              <w:jc w:val="right"/>
              <w:textAlignment w:val="auto"/>
            </w:pPr>
            <w:r>
              <w:rPr>
                <w:rFonts w:ascii="宋体" w:eastAsia="宋体" w:hAnsi="宋体" w:cs="宋体"/>
                <w:b w:val="0"/>
                <w:i w:val="0"/>
                <w:strike w:val="0"/>
                <w:color w:val="auto"/>
                <w:position w:val="-1"/>
                <w:sz w:val="18"/>
                <w:u w:val="none"/>
              </w:rPr>
              <w:t>10.99</w:t>
            </w:r>
          </w:p>
        </w:tc>
      </w:tr>
    </w:tbl>
    <w:p w:rsidR="00B2512C" w14:paraId="70DAA5B9"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注：本表反映部门本年度一般公共预算财政拨款支出情况。</w:t>
      </w:r>
    </w:p>
    <w:p w:rsidR="00B2512C" w:rsidRPr="00310098" w:rsidP="001574B7" w14:paraId="0F148EB0" w14:textId="77777777">
      <w:pPr>
        <w:widowControl/>
        <w:spacing w:line="240" w:lineRule="auto"/>
        <w:ind w:firstLine="480" w:firstLineChars="200"/>
        <w:rPr>
          <w:rFonts w:ascii="宋体" w:eastAsia="宋体" w:hAnsi="宋体" w:cs="宋体" w:hint="eastAsia"/>
          <w:kern w:val="0"/>
          <w:sz w:val="24"/>
          <w:szCs w:val="24"/>
        </w:rPr>
        <w:sectPr>
          <w:pgSz w:w="11906" w:h="16838"/>
          <w:pgMar w:top="567" w:right="1701" w:bottom="567" w:left="1701" w:header="851" w:footer="283" w:gutter="0"/>
          <w:cols w:space="425"/>
          <w:docGrid w:type="lines" w:linePitch="312"/>
        </w:sectPr>
      </w:pPr>
      <w:r>
        <w:rPr>
          <w:rFonts w:ascii="宋体" w:eastAsia="宋体" w:hAnsi="宋体" w:cs="宋体" w:hint="eastAsia"/>
          <w:kern w:val="0"/>
          <w:sz w:val="24"/>
          <w:szCs w:val="24"/>
        </w:rPr>
        <w:t xml:space="preserve"> </w:t>
      </w:r>
    </w:p>
    <w:p w:rsidR="00B2512C" w14:paraId="22B2BFBE" w14:textId="77777777">
      <w:pPr>
        <w:pStyle w:val="Heading2"/>
        <w:numPr>
          <w:ilvl w:val="0"/>
          <w:numId w:val="1"/>
        </w:numPr>
        <w:spacing w:before="0" w:after="0"/>
      </w:pPr>
      <w:bookmarkStart w:id="20" w:name="_Toc1577"/>
      <w:bookmarkStart w:id="21" w:name="_Toc141520072"/>
      <w:r>
        <w:rPr>
          <w:rFonts w:hint="eastAsia"/>
        </w:rPr>
        <w:t>一般公共预算财政拨款基本支出决算表</w:t>
      </w:r>
      <w:bookmarkEnd w:id="20"/>
      <w:bookmarkEnd w:id="21"/>
      <w:r>
        <w:rPr>
          <w:rFonts w:hint="eastAsia"/>
        </w:rPr>
        <w:t xml:space="preserve"> </w:t>
      </w:r>
    </w:p>
    <w:p w:rsidR="00B2512C" w14:paraId="3E72B2A4" w14:textId="77777777">
      <w:pPr>
        <w:pStyle w:val="Default"/>
        <w:jc w:val="center"/>
        <w:rPr>
          <w:rFonts w:ascii="Times New Roman" w:hAnsi="Times New Roman" w:eastAsiaTheme="minorEastAsia" w:cs="Times New Roman"/>
        </w:rPr>
      </w:pPr>
      <w:r>
        <w:rPr>
          <w:rFonts w:ascii="黑体" w:eastAsia="黑体" w:hAnsi="宋体" w:cs="黑体" w:hint="eastAsia"/>
          <w:sz w:val="36"/>
          <w:szCs w:val="36"/>
          <w:lang w:bidi="ar"/>
        </w:rPr>
        <w:t>一般公共预算财政拨款基本支出决算表</w:t>
      </w:r>
    </w:p>
    <w:p w:rsidR="00B2512C" w14:paraId="513C1684" w14:textId="77777777">
      <w:pPr>
        <w:widowControl/>
        <w:jc w:val="right"/>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公开06表</w:t>
      </w:r>
    </w:p>
    <w:tbl>
      <w:tblPr>
        <w:tblStyle w:val="TableGrid"/>
        <w:tblW w:w="0" w:type="auto"/>
        <w:tblLook w:val="04A0"/>
      </w:tblPr>
      <w:tblGrid>
        <w:gridCol w:w="917"/>
        <w:gridCol w:w="2280"/>
        <w:gridCol w:w="1099"/>
        <w:gridCol w:w="897"/>
        <w:gridCol w:w="2320"/>
        <w:gridCol w:w="1106"/>
        <w:gridCol w:w="920"/>
        <w:gridCol w:w="3408"/>
        <w:gridCol w:w="1113"/>
      </w:tblGrid>
      <w:tr w14:paraId="08428643" w14:textId="77777777" w:rsidTr="00F44DF0">
        <w:tblPrEx>
          <w:tblW w:w="0" w:type="auto"/>
          <w:tblLook w:val="04A0"/>
        </w:tblPrEx>
        <w:tc>
          <w:tcPr>
            <w:tcW w:w="9539" w:type="dxa"/>
            <w:gridSpan w:val="7"/>
            <w:tcBorders>
              <w:top w:val="nil"/>
              <w:left w:val="nil"/>
              <w:right w:val="nil"/>
            </w:tcBorders>
            <w:vAlign w:val="center"/>
          </w:tcPr>
          <w:p w:rsidR="00B2512C" w14:paraId="0938B719" w14:textId="77777777">
            <w:pPr>
              <w:pStyle w:val="Default"/>
              <w:rPr>
                <w:rFonts w:ascii="宋体" w:eastAsia="宋体" w:hAnsi="宋体" w:cs="宋体" w:hint="eastAsia"/>
                <w:sz w:val="22"/>
                <w:lang w:bidi="ar"/>
              </w:rPr>
            </w:pPr>
            <w:r>
              <w:rPr>
                <w:rFonts w:ascii="宋体" w:eastAsia="宋体" w:hAnsi="宋体" w:cs="Arial"/>
                <w:sz w:val="20"/>
                <w:szCs w:val="20"/>
              </w:rPr>
              <w:t>部门：南安市林业局</w:t>
            </w:r>
          </w:p>
        </w:tc>
        <w:tc>
          <w:tcPr>
            <w:tcW w:w="4521" w:type="dxa"/>
            <w:gridSpan w:val="2"/>
            <w:tcBorders>
              <w:top w:val="nil"/>
              <w:left w:val="nil"/>
              <w:right w:val="nil"/>
            </w:tcBorders>
            <w:vAlign w:val="center"/>
          </w:tcPr>
          <w:p w:rsidR="00B2512C" w14:paraId="5FD4F832" w14:textId="77777777">
            <w:pPr>
              <w:pStyle w:val="Default"/>
              <w:jc w:val="right"/>
              <w:rPr>
                <w:rFonts w:ascii="宋体" w:eastAsia="宋体" w:hAnsi="宋体" w:cs="宋体" w:hint="eastAsia"/>
                <w:sz w:val="22"/>
                <w:lang w:bidi="ar"/>
              </w:rPr>
            </w:pPr>
            <w:r>
              <w:rPr>
                <w:rFonts w:ascii="宋体" w:eastAsia="宋体" w:hAnsi="宋体" w:cs="宋体" w:hint="eastAsia"/>
                <w:sz w:val="20"/>
                <w:szCs w:val="20"/>
                <w:lang w:bidi="ar"/>
              </w:rPr>
              <w:t>单位：万元</w:t>
            </w:r>
          </w:p>
        </w:tc>
      </w:tr>
      <w:tr w14:paraId="17563FFE" w14:textId="77777777" w:rsidTr="009B1186">
        <w:tblPrEx>
          <w:tblW w:w="0" w:type="auto"/>
          <w:tblLook w:val="04A0"/>
        </w:tblPrEx>
        <w:trPr>
          <w:trHeight w:val="465"/>
        </w:trPr>
        <w:tc>
          <w:tcPr>
            <w:tcW w:w="4296" w:type="dxa"/>
            <w:gridSpan w:val="3"/>
            <w:vAlign w:val="center"/>
          </w:tcPr>
          <w:p w:rsidR="00F44DF0" w:rsidRPr="00F44DF0" w14:paraId="7B25619F" w14:textId="77777777">
            <w:pPr>
              <w:pStyle w:val="Default"/>
              <w:jc w:val="center"/>
              <w:rPr>
                <w:rFonts w:ascii="宋体" w:eastAsia="宋体" w:hAnsi="宋体" w:cs="Times New Roman" w:hint="eastAsia"/>
                <w:sz w:val="22"/>
                <w:szCs w:val="22"/>
              </w:rPr>
            </w:pPr>
            <w:r w:rsidRPr="00F44DF0">
              <w:rPr>
                <w:rFonts w:ascii="宋体" w:eastAsia="宋体" w:hAnsi="宋体" w:cs="Times New Roman" w:hint="eastAsia"/>
                <w:sz w:val="22"/>
                <w:szCs w:val="22"/>
              </w:rPr>
              <w:t>人员经费</w:t>
            </w:r>
          </w:p>
        </w:tc>
        <w:tc>
          <w:tcPr>
            <w:tcW w:w="9764" w:type="dxa"/>
            <w:gridSpan w:val="6"/>
            <w:vAlign w:val="center"/>
          </w:tcPr>
          <w:p w:rsidR="00F44DF0" w:rsidRPr="00F44DF0" w14:paraId="641F142F" w14:textId="77777777">
            <w:pPr>
              <w:pStyle w:val="Default"/>
              <w:jc w:val="center"/>
              <w:rPr>
                <w:rFonts w:ascii="宋体" w:eastAsia="宋体" w:hAnsi="宋体" w:cs="Times New Roman" w:hint="eastAsia"/>
                <w:sz w:val="22"/>
                <w:szCs w:val="22"/>
              </w:rPr>
            </w:pPr>
            <w:r w:rsidRPr="00F44DF0">
              <w:rPr>
                <w:rFonts w:ascii="宋体" w:eastAsia="宋体" w:hAnsi="宋体" w:cs="Times New Roman" w:hint="eastAsia"/>
                <w:sz w:val="22"/>
                <w:szCs w:val="22"/>
              </w:rPr>
              <w:t>公用经费</w:t>
            </w:r>
          </w:p>
        </w:tc>
      </w:tr>
      <w:tr w14:paraId="728746B4" w14:textId="77777777" w:rsidTr="00F44DF0">
        <w:tblPrEx>
          <w:tblW w:w="0" w:type="auto"/>
          <w:tblLook w:val="04A0"/>
        </w:tblPrEx>
        <w:trPr>
          <w:trHeight w:val="465"/>
        </w:trPr>
        <w:tc>
          <w:tcPr>
            <w:tcW w:w="917" w:type="dxa"/>
            <w:vAlign w:val="center"/>
          </w:tcPr>
          <w:p w:rsidR="00F44DF0" w:rsidP="00F44DF0" w14:paraId="62E1C2D8"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经济分类科目编码</w:t>
            </w:r>
          </w:p>
        </w:tc>
        <w:tc>
          <w:tcPr>
            <w:tcW w:w="2280" w:type="dxa"/>
            <w:vAlign w:val="center"/>
          </w:tcPr>
          <w:p w:rsidR="00F44DF0" w:rsidP="00F44DF0" w14:paraId="09FCD4EE"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科目名称</w:t>
            </w:r>
          </w:p>
        </w:tc>
        <w:tc>
          <w:tcPr>
            <w:tcW w:w="1099" w:type="dxa"/>
            <w:vAlign w:val="center"/>
          </w:tcPr>
          <w:p w:rsidR="00F44DF0" w:rsidP="00F44DF0" w14:paraId="4381569F"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金额</w:t>
            </w:r>
          </w:p>
        </w:tc>
        <w:tc>
          <w:tcPr>
            <w:tcW w:w="897" w:type="dxa"/>
            <w:vAlign w:val="center"/>
          </w:tcPr>
          <w:p w:rsidR="00F44DF0" w:rsidP="00F44DF0" w14:paraId="53E4F963"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经济分类科目编码</w:t>
            </w:r>
          </w:p>
        </w:tc>
        <w:tc>
          <w:tcPr>
            <w:tcW w:w="2320" w:type="dxa"/>
            <w:vAlign w:val="center"/>
          </w:tcPr>
          <w:p w:rsidR="00F44DF0" w:rsidP="00F44DF0" w14:paraId="12402CD3"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科目名称</w:t>
            </w:r>
          </w:p>
        </w:tc>
        <w:tc>
          <w:tcPr>
            <w:tcW w:w="1106" w:type="dxa"/>
            <w:vAlign w:val="center"/>
          </w:tcPr>
          <w:p w:rsidR="00F44DF0" w:rsidP="00F44DF0" w14:paraId="430456AC"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金额</w:t>
            </w:r>
          </w:p>
        </w:tc>
        <w:tc>
          <w:tcPr>
            <w:tcW w:w="920" w:type="dxa"/>
            <w:vAlign w:val="center"/>
          </w:tcPr>
          <w:p w:rsidR="00F44DF0" w:rsidP="00F44DF0" w14:paraId="187DCAEB"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经济分类科目编码</w:t>
            </w:r>
          </w:p>
        </w:tc>
        <w:tc>
          <w:tcPr>
            <w:tcW w:w="3408" w:type="dxa"/>
            <w:vAlign w:val="center"/>
          </w:tcPr>
          <w:p w:rsidR="00F44DF0" w:rsidP="00F44DF0" w14:paraId="2CDE6952"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科目名称</w:t>
            </w:r>
          </w:p>
        </w:tc>
        <w:tc>
          <w:tcPr>
            <w:tcW w:w="1113" w:type="dxa"/>
            <w:vAlign w:val="center"/>
          </w:tcPr>
          <w:p w:rsidR="00F44DF0" w:rsidP="00F44DF0" w14:paraId="6B7B415C" w14:textId="77777777">
            <w:pPr>
              <w:pStyle w:val="Default"/>
              <w:jc w:val="center"/>
              <w:rPr>
                <w:rFonts w:ascii="宋体" w:eastAsia="宋体" w:hAnsi="宋体" w:cs="宋体" w:hint="eastAsia"/>
                <w:sz w:val="22"/>
                <w:lang w:bidi="ar"/>
              </w:rPr>
            </w:pPr>
            <w:r>
              <w:rPr>
                <w:rFonts w:ascii="宋体" w:eastAsia="宋体" w:hAnsi="宋体" w:cs="宋体" w:hint="eastAsia"/>
                <w:sz w:val="22"/>
                <w:lang w:bidi="ar"/>
              </w:rPr>
              <w:t>金额</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工资福利支出</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1264.92</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商品和服务支出</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103.55</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资本性支出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基本工资</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357.61</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30201</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办公费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14.58</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31001</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房屋建筑物购建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30102</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津贴补贴</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88.22</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30202</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印刷费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31002</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办公设备购置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30103</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奖金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56.41</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30204</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手续费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31003</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专用设备购置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30106</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伙食补助费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30205</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水费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31005</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基础设施建设</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30107</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绩效工资</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434.73</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30206</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电费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31006</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大型修缮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30108</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机关事业单位基本养老保险缴费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124.49</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30207</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邮电费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6.76</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31007</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信息网络及软件购置更新</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30109</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职业年金缴费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2.54</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30208</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取暖费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31008</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物资储备</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30110</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职工基本医疗保险缴费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25.96</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30209</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物业管理费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31009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土地补偿</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公务员医疗补助缴费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14.60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30211</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差旅费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1.33</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31010</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安置补助</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30112</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其他社会保障缴费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0.23</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30212</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因公出国（境）费用</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31011</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地上附着物和青苗补偿</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30113</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住房公积金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129.18</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30213</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维修（护）费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1.90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31012</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拆迁补偿</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30114</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医疗费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30214</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租赁费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31013</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公务用车购置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30199</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其他工资福利支出</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30.96</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30215</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会议费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0.11</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31019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其他交通工具购置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对个人和家庭的补助</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124.50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30216</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培训费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0.66</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31021</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文物和陈列品购置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离休费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30217</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公务接待费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0.52</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31022</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无形资产购置</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30302</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退休费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30218</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专用材料费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31099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其他资本性支出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30303</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退职（役）费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30224</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被装购置费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对企业补助</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30304</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抚恤金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30225</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专用燃料费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31201</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资本金注入</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30305</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生活补助</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11.04</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30226</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劳务费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6.25</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31203</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政府投资基金股权投资</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30306</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救济费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30227</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委托业务费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10.46</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31204</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费用补贴</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30307</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医疗费补助</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30228</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工会经费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17.42</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31205</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利息补贴</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30308</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助学金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30229</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福利费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2.24</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31206</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其他资本性补助</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30309</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奖励金</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30231</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公务用车运行维护费</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2.38</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31299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其他对企业补助</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30310</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个人农业生产补贴</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30239</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其他交通费用</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34.11</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其他支出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30311</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代缴社会保险费</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30240</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税金及附加费用</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39907</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国家赔偿费用支出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r>
              <w:rPr>
                <w:rFonts w:ascii="Calibri" w:eastAsia="宋体" w:hAnsi="Calibri" w:cs="Calibri"/>
                <w:b w:val="0"/>
                <w:i w:val="0"/>
                <w:strike w:val="0"/>
                <w:color w:val="auto"/>
                <w:position w:val="-1"/>
                <w:sz w:val="18"/>
                <w:u w:val="none"/>
              </w:rPr>
              <w:t>30399</w:t>
            </w:r>
          </w:p>
        </w:tc>
        <w:tc>
          <w:tcPr>
            <w:tcW w:w="228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其他对个人和家庭的补助</w:t>
            </w: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113.46</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30299</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其他商品和服务支出</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4.84</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39908</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对民间非营利组织和群众性自治组织补贴</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p>
        </w:tc>
        <w:tc>
          <w:tcPr>
            <w:tcW w:w="2280" w:type="dxa"/>
            <w:vAlign w:val="center"/>
          </w:tcPr>
          <w:p>
            <w:pPr>
              <w:pageBreakBefore w:val="0"/>
              <w:jc w:val="left"/>
              <w:textAlignment w:val="auto"/>
            </w:pP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307</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债务利息及费用支出</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39909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经常性赠与</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p>
        </w:tc>
        <w:tc>
          <w:tcPr>
            <w:tcW w:w="2280" w:type="dxa"/>
            <w:vAlign w:val="center"/>
          </w:tcPr>
          <w:p>
            <w:pPr>
              <w:pageBreakBefore w:val="0"/>
              <w:jc w:val="left"/>
              <w:textAlignment w:val="auto"/>
            </w:pP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30701</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国内债务付息</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39910</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资本性赠与</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p>
        </w:tc>
        <w:tc>
          <w:tcPr>
            <w:tcW w:w="2280" w:type="dxa"/>
            <w:vAlign w:val="center"/>
          </w:tcPr>
          <w:p>
            <w:pPr>
              <w:pageBreakBefore w:val="0"/>
              <w:jc w:val="left"/>
              <w:textAlignment w:val="auto"/>
            </w:pP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30702</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国外债务付息</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r>
              <w:rPr>
                <w:rFonts w:ascii="Calibri" w:eastAsia="宋体" w:hAnsi="Calibri" w:cs="Calibri"/>
                <w:b w:val="0"/>
                <w:i w:val="0"/>
                <w:strike w:val="0"/>
                <w:color w:val="auto"/>
                <w:position w:val="-1"/>
                <w:sz w:val="18"/>
                <w:u w:val="none"/>
              </w:rPr>
              <w:t>39999</w:t>
            </w:r>
          </w:p>
        </w:tc>
        <w:tc>
          <w:tcPr>
            <w:tcW w:w="3408"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其他支出</w:t>
            </w: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p>
        </w:tc>
        <w:tc>
          <w:tcPr>
            <w:tcW w:w="2280" w:type="dxa"/>
            <w:vAlign w:val="center"/>
          </w:tcPr>
          <w:p>
            <w:pPr>
              <w:pageBreakBefore w:val="0"/>
              <w:jc w:val="left"/>
              <w:textAlignment w:val="auto"/>
            </w:pP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30703</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国内债务发行费用</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p>
        </w:tc>
        <w:tc>
          <w:tcPr>
            <w:tcW w:w="3408" w:type="dxa"/>
            <w:vAlign w:val="center"/>
          </w:tcPr>
          <w:p>
            <w:pPr>
              <w:pageBreakBefore w:val="0"/>
              <w:jc w:val="left"/>
              <w:textAlignment w:val="auto"/>
            </w:pP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tblPrEx>
          <w:tblW w:w="0" w:type="auto"/>
          <w:tblLook w:val="04A0"/>
        </w:tblPrEx>
        <w:tc>
          <w:tcPr>
            <w:tcW w:w="917" w:type="dxa"/>
            <w:vAlign w:val="center"/>
          </w:tcPr>
          <w:p>
            <w:pPr>
              <w:pageBreakBefore w:val="0"/>
              <w:jc w:val="left"/>
              <w:textAlignment w:val="auto"/>
            </w:pPr>
          </w:p>
        </w:tc>
        <w:tc>
          <w:tcPr>
            <w:tcW w:w="2280" w:type="dxa"/>
            <w:vAlign w:val="center"/>
          </w:tcPr>
          <w:p>
            <w:pPr>
              <w:pageBreakBefore w:val="0"/>
              <w:jc w:val="left"/>
              <w:textAlignment w:val="auto"/>
            </w:pPr>
          </w:p>
        </w:tc>
        <w:tc>
          <w:tcPr>
            <w:tcW w:w="1099"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897" w:type="dxa"/>
            <w:vAlign w:val="center"/>
          </w:tcPr>
          <w:p>
            <w:pPr>
              <w:pageBreakBefore w:val="0"/>
              <w:jc w:val="left"/>
              <w:textAlignment w:val="auto"/>
            </w:pPr>
            <w:r>
              <w:rPr>
                <w:rFonts w:ascii="Calibri" w:eastAsia="宋体" w:hAnsi="Calibri" w:cs="Calibri"/>
                <w:b w:val="0"/>
                <w:i w:val="0"/>
                <w:strike w:val="0"/>
                <w:color w:val="auto"/>
                <w:position w:val="-1"/>
                <w:sz w:val="18"/>
                <w:u w:val="none"/>
              </w:rPr>
              <w:t>30704</w:t>
            </w:r>
          </w:p>
        </w:tc>
        <w:tc>
          <w:tcPr>
            <w:tcW w:w="2320" w:type="dxa"/>
            <w:vAlign w:val="center"/>
          </w:tcPr>
          <w:p>
            <w:pPr>
              <w:pageBreakBefore w:val="0"/>
              <w:jc w:val="left"/>
              <w:textAlignment w:val="auto"/>
            </w:pPr>
            <w:r>
              <w:rPr>
                <w:rFonts w:ascii="宋体" w:eastAsia="宋体" w:hAnsi="宋体" w:cs="宋体"/>
                <w:b w:val="0"/>
                <w:i w:val="0"/>
                <w:strike w:val="0"/>
                <w:color w:val="auto"/>
                <w:position w:val="-1"/>
                <w:sz w:val="18"/>
                <w:u w:val="none"/>
              </w:rPr>
              <w:t xml:space="preserve">   国外债务发行费用</w:t>
            </w:r>
          </w:p>
        </w:tc>
        <w:tc>
          <w:tcPr>
            <w:tcW w:w="1106"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c>
          <w:tcPr>
            <w:tcW w:w="920" w:type="dxa"/>
            <w:vAlign w:val="center"/>
          </w:tcPr>
          <w:p>
            <w:pPr>
              <w:pageBreakBefore w:val="0"/>
              <w:jc w:val="left"/>
              <w:textAlignment w:val="auto"/>
            </w:pPr>
          </w:p>
        </w:tc>
        <w:tc>
          <w:tcPr>
            <w:tcW w:w="3408" w:type="dxa"/>
            <w:vAlign w:val="center"/>
          </w:tcPr>
          <w:p>
            <w:pPr>
              <w:pageBreakBefore w:val="0"/>
              <w:jc w:val="left"/>
              <w:textAlignment w:val="auto"/>
            </w:pPr>
          </w:p>
        </w:tc>
        <w:tc>
          <w:tcPr>
            <w:tcW w:w="1113" w:type="dxa"/>
            <w:vAlign w:val="center"/>
          </w:tcPr>
          <w:p>
            <w:pPr>
              <w:pageBreakBefore w:val="0"/>
              <w:jc w:val="right"/>
              <w:textAlignment w:val="auto"/>
            </w:pPr>
            <w:r>
              <w:rPr>
                <w:rFonts w:ascii="宋体" w:eastAsia="宋体" w:hAnsi="宋体" w:cs="宋体"/>
                <w:b w:val="0"/>
                <w:i w:val="0"/>
                <w:strike w:val="0"/>
                <w:color w:val="auto"/>
                <w:position w:val="-1"/>
                <w:sz w:val="18"/>
                <w:u w:val="none"/>
              </w:rPr>
              <w:t>0.00</w:t>
            </w:r>
          </w:p>
        </w:tc>
      </w:tr>
      <w:tr w14:paraId="3091886F" w14:textId="77777777" w:rsidTr="00F44DF0">
        <w:tblPrEx>
          <w:tblW w:w="0" w:type="auto"/>
          <w:tblLook w:val="04A0"/>
        </w:tblPrEx>
        <w:trPr>
          <w:trHeight w:val="445"/>
        </w:trPr>
        <w:tc>
          <w:tcPr>
            <w:tcW w:w="3197" w:type="dxa"/>
            <w:gridSpan w:val="2"/>
            <w:vAlign w:val="center"/>
          </w:tcPr>
          <w:p w:rsidR="00F44DF0" w:rsidP="00F44DF0" w14:paraId="00E19C8C" w14:textId="77777777">
            <w:pPr>
              <w:pStyle w:val="Default"/>
              <w:jc w:val="center"/>
              <w:rPr>
                <w:rFonts w:ascii="Times New Roman" w:hAnsi="Times New Roman" w:eastAsiaTheme="minorEastAsia" w:cs="Times New Roman"/>
              </w:rPr>
            </w:pPr>
            <w:r>
              <w:rPr>
                <w:rFonts w:ascii="宋体" w:eastAsia="宋体" w:hAnsi="宋体" w:cs="宋体" w:hint="eastAsia"/>
                <w:b/>
                <w:bCs/>
                <w:sz w:val="18"/>
                <w:szCs w:val="18"/>
                <w:lang w:bidi="ar"/>
              </w:rPr>
              <w:t>人员经费合计</w:t>
            </w:r>
          </w:p>
        </w:tc>
        <w:tc>
          <w:tcPr>
            <w:tcW w:w="1099" w:type="dxa"/>
            <w:vAlign w:val="center"/>
          </w:tcPr>
          <w:p w:rsidR="00F44DF0" w:rsidP="00F44DF0" w14:paraId="6A3F534A"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1389.42</w:t>
            </w:r>
          </w:p>
        </w:tc>
        <w:tc>
          <w:tcPr>
            <w:tcW w:w="8651" w:type="dxa"/>
            <w:gridSpan w:val="5"/>
            <w:vAlign w:val="center"/>
          </w:tcPr>
          <w:p w:rsidR="00F44DF0" w:rsidP="00F44DF0" w14:paraId="1A6B3313" w14:textId="77777777">
            <w:pPr>
              <w:pStyle w:val="Default"/>
              <w:wordWrap w:val="0"/>
              <w:jc w:val="center"/>
              <w:rPr>
                <w:rFonts w:ascii="Times New Roman" w:hAnsi="Times New Roman" w:eastAsiaTheme="minorEastAsia" w:cs="Times New Roman"/>
              </w:rPr>
            </w:pPr>
            <w:r>
              <w:rPr>
                <w:rFonts w:ascii="宋体" w:eastAsia="宋体" w:hAnsi="宋体" w:cs="宋体" w:hint="eastAsia"/>
                <w:b/>
                <w:bCs/>
                <w:sz w:val="18"/>
                <w:szCs w:val="18"/>
                <w:lang w:bidi="ar"/>
              </w:rPr>
              <w:t>公用经费合计</w:t>
            </w:r>
          </w:p>
        </w:tc>
        <w:tc>
          <w:tcPr>
            <w:tcW w:w="1113" w:type="dxa"/>
            <w:vAlign w:val="center"/>
          </w:tcPr>
          <w:p w:rsidR="00F44DF0" w:rsidP="00F44DF0" w14:paraId="1D932224" w14:textId="77777777">
            <w:pPr>
              <w:pStyle w:val="Default"/>
              <w:wordWrap w:val="0"/>
              <w:jc w:val="right"/>
              <w:rPr>
                <w:rFonts w:ascii="Times New Roman" w:hAnsi="Times New Roman" w:eastAsiaTheme="minorEastAsia" w:cs="Times New Roman"/>
              </w:rPr>
            </w:pPr>
            <w:r>
              <w:rPr>
                <w:rFonts w:ascii="宋体" w:eastAsia="宋体" w:hAnsi="宋体" w:cs="宋体"/>
                <w:sz w:val="18"/>
                <w:szCs w:val="18"/>
              </w:rPr>
              <w:t>103.55</w:t>
            </w:r>
          </w:p>
        </w:tc>
      </w:tr>
    </w:tbl>
    <w:p w:rsidR="00B2512C" w14:paraId="5A2BDD7E" w14:textId="77777777">
      <w:pPr>
        <w:pStyle w:val="Default"/>
        <w:rPr>
          <w:rFonts w:ascii="Times New Roman" w:hAnsi="Times New Roman" w:eastAsiaTheme="minorEastAsia" w:cs="Times New Roman"/>
        </w:rPr>
      </w:pPr>
      <w:r>
        <w:rPr>
          <w:rFonts w:ascii="Times New Roman" w:hAnsi="Times New Roman" w:eastAsiaTheme="minorEastAsia" w:cs="Times New Roman" w:hint="eastAsia"/>
        </w:rPr>
        <w:t>注：本表反映部门本年度一般公共预算财政拨款基本支出明细情况。</w:t>
      </w:r>
    </w:p>
    <w:p w:rsidR="00B82792" w:rsidRPr="00786421" w:rsidP="00B82792" w14:paraId="5FDD1C70" w14:textId="77777777">
      <w:pPr>
        <w:widowControl/>
        <w:spacing w:line="240" w:lineRule="auto"/>
        <w:ind w:firstLine="480" w:firstLineChars="200"/>
        <w:rPr>
          <w:rFonts w:ascii="宋体" w:eastAsia="宋体" w:hAnsi="宋体" w:cs="宋体" w:hint="eastAsia"/>
          <w:kern w:val="0"/>
          <w:sz w:val="24"/>
          <w:szCs w:val="24"/>
        </w:rPr>
      </w:pPr>
      <w:r>
        <w:rPr>
          <w:rFonts w:ascii="宋体" w:eastAsia="宋体" w:hAnsi="宋体" w:cs="宋体" w:hint="eastAsia"/>
          <w:kern w:val="0"/>
          <w:sz w:val="24"/>
          <w:szCs w:val="24"/>
        </w:rPr>
        <w:t xml:space="preserve"> </w:t>
      </w:r>
    </w:p>
    <w:p w:rsidR="00FE788F" w:rsidRPr="00B82792" w:rsidP="005034E9" w14:paraId="4098E395" w14:textId="77777777">
      <w:pPr>
        <w:widowControl/>
        <w:spacing w:line="240" w:lineRule="auto"/>
        <w:rPr>
          <w:rFonts w:ascii="宋体" w:eastAsia="宋体" w:hAnsi="宋体" w:cs="宋体" w:hint="eastAsia"/>
          <w:kern w:val="0"/>
          <w:sz w:val="24"/>
          <w:szCs w:val="24"/>
        </w:rPr>
        <w:sectPr>
          <w:pgSz w:w="16838" w:h="11906" w:orient="landscape"/>
          <w:pgMar w:top="567" w:right="1389" w:bottom="567" w:left="1389" w:header="851" w:footer="992" w:gutter="0"/>
          <w:cols w:space="425"/>
          <w:docGrid w:type="lines" w:linePitch="312"/>
        </w:sectPr>
      </w:pPr>
    </w:p>
    <w:p w:rsidR="00B2512C" w14:paraId="445F9E60" w14:textId="77777777">
      <w:pPr>
        <w:pStyle w:val="Heading2"/>
        <w:numPr>
          <w:ilvl w:val="0"/>
          <w:numId w:val="1"/>
        </w:numPr>
      </w:pPr>
      <w:bookmarkStart w:id="22" w:name="_Toc14953"/>
      <w:bookmarkStart w:id="23" w:name="_Toc141520073"/>
      <w:r>
        <w:rPr>
          <w:rFonts w:hint="eastAsia"/>
        </w:rPr>
        <w:t>一般公共预算财政拨款“三公”经费支出决算表</w:t>
      </w:r>
      <w:bookmarkEnd w:id="22"/>
      <w:bookmarkEnd w:id="23"/>
      <w:r>
        <w:rPr>
          <w:rFonts w:hint="eastAsia"/>
        </w:rPr>
        <w:t xml:space="preserve"> </w:t>
      </w:r>
    </w:p>
    <w:p w:rsidR="00B2512C" w14:paraId="234B9B26" w14:textId="77777777">
      <w:pPr>
        <w:widowControl/>
        <w:spacing w:line="240" w:lineRule="auto"/>
        <w:jc w:val="center"/>
        <w:rPr>
          <w:rFonts w:ascii="黑体" w:eastAsia="黑体" w:hAnsi="Arial" w:cs="Arial"/>
          <w:color w:val="000000"/>
          <w:kern w:val="0"/>
          <w:sz w:val="36"/>
          <w:szCs w:val="36"/>
        </w:rPr>
      </w:pPr>
      <w:r>
        <w:rPr>
          <w:rFonts w:ascii="黑体" w:eastAsia="黑体" w:hAnsi="Arial" w:cs="Arial" w:hint="eastAsia"/>
          <w:color w:val="000000"/>
          <w:kern w:val="0"/>
          <w:sz w:val="36"/>
          <w:szCs w:val="36"/>
        </w:rPr>
        <w:t>一般公共预算财政拨款“三公”经费支出决算表</w:t>
      </w:r>
    </w:p>
    <w:tbl>
      <w:tblPr>
        <w:tblW w:w="8375" w:type="dxa"/>
        <w:jc w:val="center"/>
        <w:tblLayout w:type="fixed"/>
        <w:tblLook w:val="04A0"/>
      </w:tblPr>
      <w:tblGrid>
        <w:gridCol w:w="4180"/>
        <w:gridCol w:w="780"/>
        <w:gridCol w:w="2103"/>
        <w:gridCol w:w="1312"/>
      </w:tblGrid>
      <w:tr w14:paraId="5B19A299" w14:textId="77777777">
        <w:tblPrEx>
          <w:tblW w:w="8375" w:type="dxa"/>
          <w:jc w:val="center"/>
          <w:tblLayout w:type="fixed"/>
          <w:tblLook w:val="04A0"/>
        </w:tblPrEx>
        <w:trPr>
          <w:trHeight w:val="295"/>
          <w:jc w:val="center"/>
        </w:trPr>
        <w:tc>
          <w:tcPr>
            <w:tcW w:w="8375" w:type="dxa"/>
            <w:gridSpan w:val="4"/>
            <w:tcBorders>
              <w:top w:val="nil"/>
              <w:left w:val="nil"/>
              <w:bottom w:val="nil"/>
              <w:right w:val="nil"/>
            </w:tcBorders>
            <w:noWrap/>
            <w:vAlign w:val="center"/>
          </w:tcPr>
          <w:p w:rsidR="00B2512C" w14:paraId="268BC537" w14:textId="77777777">
            <w:pPr>
              <w:widowControl/>
              <w:spacing w:line="240" w:lineRule="auto"/>
              <w:jc w:val="right"/>
              <w:rPr>
                <w:rFonts w:ascii="宋体" w:eastAsia="宋体" w:hAnsi="宋体" w:cs="宋体" w:hint="eastAsia"/>
                <w:kern w:val="0"/>
                <w:sz w:val="20"/>
                <w:szCs w:val="20"/>
              </w:rPr>
            </w:pPr>
            <w:r>
              <w:rPr>
                <w:rFonts w:ascii="宋体" w:eastAsia="宋体" w:hAnsi="宋体" w:cs="宋体" w:hint="eastAsia"/>
                <w:kern w:val="0"/>
                <w:sz w:val="20"/>
                <w:szCs w:val="20"/>
              </w:rPr>
              <w:t>公开07表</w:t>
            </w:r>
          </w:p>
        </w:tc>
      </w:tr>
      <w:tr w14:paraId="14E996E0" w14:textId="77777777">
        <w:tblPrEx>
          <w:tblW w:w="8375" w:type="dxa"/>
          <w:jc w:val="center"/>
          <w:tblLayout w:type="fixed"/>
          <w:tblLook w:val="04A0"/>
        </w:tblPrEx>
        <w:trPr>
          <w:trHeight w:val="184"/>
          <w:jc w:val="center"/>
        </w:trPr>
        <w:tc>
          <w:tcPr>
            <w:tcW w:w="7063" w:type="dxa"/>
            <w:gridSpan w:val="3"/>
            <w:tcBorders>
              <w:top w:val="nil"/>
              <w:left w:val="nil"/>
              <w:bottom w:val="nil"/>
              <w:right w:val="nil"/>
            </w:tcBorders>
            <w:noWrap/>
            <w:vAlign w:val="center"/>
          </w:tcPr>
          <w:p w:rsidR="00B2512C" w14:paraId="017FBCB3" w14:textId="77777777">
            <w:pPr>
              <w:widowControl/>
              <w:spacing w:line="240" w:lineRule="auto"/>
              <w:jc w:val="left"/>
              <w:rPr>
                <w:rFonts w:ascii="宋体" w:eastAsia="宋体" w:hAnsi="宋体" w:cs="宋体" w:hint="eastAsia"/>
                <w:color w:val="000000"/>
                <w:kern w:val="0"/>
                <w:sz w:val="20"/>
                <w:szCs w:val="20"/>
              </w:rPr>
            </w:pPr>
            <w:r>
              <w:rPr>
                <w:rFonts w:ascii="宋体" w:eastAsia="宋体" w:hAnsi="宋体" w:cs="Arial"/>
                <w:color w:val="000000"/>
                <w:kern w:val="0"/>
                <w:sz w:val="20"/>
                <w:szCs w:val="20"/>
              </w:rPr>
              <w:t>部门：南安市林业局</w:t>
            </w:r>
          </w:p>
        </w:tc>
        <w:tc>
          <w:tcPr>
            <w:tcW w:w="1312" w:type="dxa"/>
            <w:tcBorders>
              <w:top w:val="nil"/>
              <w:left w:val="nil"/>
              <w:bottom w:val="nil"/>
              <w:right w:val="nil"/>
            </w:tcBorders>
            <w:noWrap/>
            <w:vAlign w:val="center"/>
          </w:tcPr>
          <w:p w:rsidR="00B2512C" w14:paraId="1C76CED6" w14:textId="77777777">
            <w:pPr>
              <w:widowControl/>
              <w:spacing w:line="240" w:lineRule="auto"/>
              <w:jc w:val="righ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单位：万元</w:t>
            </w:r>
          </w:p>
        </w:tc>
      </w:tr>
      <w:tr w14:paraId="2D524B14" w14:textId="77777777">
        <w:tblPrEx>
          <w:tblW w:w="8375" w:type="dxa"/>
          <w:jc w:val="center"/>
          <w:tblLayout w:type="fixed"/>
          <w:tblLook w:val="04A0"/>
        </w:tblPrEx>
        <w:trPr>
          <w:trHeight w:val="615"/>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604DD804"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项目</w:t>
            </w:r>
          </w:p>
        </w:tc>
        <w:tc>
          <w:tcPr>
            <w:tcW w:w="780" w:type="dxa"/>
            <w:tcBorders>
              <w:top w:val="single" w:sz="4" w:space="0" w:color="auto"/>
              <w:left w:val="nil"/>
              <w:bottom w:val="single" w:sz="4" w:space="0" w:color="auto"/>
              <w:right w:val="single" w:sz="4" w:space="0" w:color="auto"/>
            </w:tcBorders>
            <w:noWrap/>
            <w:vAlign w:val="center"/>
          </w:tcPr>
          <w:p w:rsidR="00B2512C" w14:paraId="25650256"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行次</w:t>
            </w:r>
          </w:p>
        </w:tc>
        <w:tc>
          <w:tcPr>
            <w:tcW w:w="3415" w:type="dxa"/>
            <w:gridSpan w:val="2"/>
            <w:tcBorders>
              <w:top w:val="single" w:sz="4" w:space="0" w:color="auto"/>
              <w:left w:val="nil"/>
              <w:bottom w:val="single" w:sz="4" w:space="0" w:color="auto"/>
              <w:right w:val="single" w:sz="4" w:space="0" w:color="auto"/>
            </w:tcBorders>
            <w:noWrap/>
            <w:vAlign w:val="center"/>
          </w:tcPr>
          <w:p w:rsidR="00B2512C" w14:paraId="2F175630"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决算数</w:t>
            </w:r>
          </w:p>
        </w:tc>
      </w:tr>
      <w:tr w14:paraId="4F71E385" w14:textId="77777777">
        <w:tblPrEx>
          <w:tblW w:w="8375" w:type="dxa"/>
          <w:jc w:val="center"/>
          <w:tblLayout w:type="fixed"/>
          <w:tblLook w:val="04A0"/>
        </w:tblPrEx>
        <w:trPr>
          <w:trHeight w:val="612"/>
          <w:jc w:val="center"/>
        </w:trPr>
        <w:tc>
          <w:tcPr>
            <w:tcW w:w="4180" w:type="dxa"/>
            <w:tcBorders>
              <w:top w:val="nil"/>
              <w:left w:val="single" w:sz="4" w:space="0" w:color="auto"/>
              <w:bottom w:val="single" w:sz="4" w:space="0" w:color="auto"/>
              <w:right w:val="single" w:sz="4" w:space="0" w:color="auto"/>
            </w:tcBorders>
            <w:noWrap/>
            <w:vAlign w:val="center"/>
          </w:tcPr>
          <w:p w:rsidR="00B2512C" w14:paraId="4916F75C"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合计</w:t>
            </w:r>
          </w:p>
        </w:tc>
        <w:tc>
          <w:tcPr>
            <w:tcW w:w="780" w:type="dxa"/>
            <w:tcBorders>
              <w:top w:val="nil"/>
              <w:left w:val="nil"/>
              <w:bottom w:val="single" w:sz="4" w:space="0" w:color="auto"/>
              <w:right w:val="single" w:sz="4" w:space="0" w:color="auto"/>
            </w:tcBorders>
            <w:noWrap/>
            <w:vAlign w:val="center"/>
          </w:tcPr>
          <w:p w:rsidR="00B2512C" w14:paraId="111C6E00"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1</w:t>
            </w:r>
          </w:p>
        </w:tc>
        <w:tc>
          <w:tcPr>
            <w:tcW w:w="3415" w:type="dxa"/>
            <w:gridSpan w:val="2"/>
            <w:tcBorders>
              <w:top w:val="nil"/>
              <w:left w:val="nil"/>
              <w:bottom w:val="single" w:sz="4" w:space="0" w:color="auto"/>
              <w:right w:val="single" w:sz="4" w:space="0" w:color="auto"/>
            </w:tcBorders>
            <w:noWrap/>
            <w:vAlign w:val="center"/>
          </w:tcPr>
          <w:p w:rsidR="00B2512C" w14:paraId="0AB4A6DB"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2.91</w:t>
            </w:r>
          </w:p>
        </w:tc>
      </w:tr>
      <w:tr w14:paraId="38034D3A" w14:textId="77777777">
        <w:tblPrEx>
          <w:tblW w:w="8375" w:type="dxa"/>
          <w:jc w:val="center"/>
          <w:tblLayout w:type="fixed"/>
          <w:tblLook w:val="04A0"/>
        </w:tblPrEx>
        <w:trPr>
          <w:trHeight w:val="612"/>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5F32357D"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1. 因公出国（境）费</w:t>
            </w:r>
          </w:p>
        </w:tc>
        <w:tc>
          <w:tcPr>
            <w:tcW w:w="780" w:type="dxa"/>
            <w:tcBorders>
              <w:top w:val="single" w:sz="4" w:space="0" w:color="auto"/>
              <w:left w:val="single" w:sz="4" w:space="0" w:color="auto"/>
              <w:bottom w:val="single" w:sz="4" w:space="0" w:color="auto"/>
              <w:right w:val="single" w:sz="4" w:space="0" w:color="auto"/>
            </w:tcBorders>
            <w:noWrap/>
            <w:vAlign w:val="center"/>
          </w:tcPr>
          <w:p w:rsidR="00B2512C" w14:paraId="243AE3E3"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2</w:t>
            </w:r>
          </w:p>
        </w:tc>
        <w:tc>
          <w:tcPr>
            <w:tcW w:w="3415" w:type="dxa"/>
            <w:gridSpan w:val="2"/>
            <w:tcBorders>
              <w:top w:val="single" w:sz="4" w:space="0" w:color="auto"/>
              <w:left w:val="single" w:sz="4" w:space="0" w:color="auto"/>
              <w:bottom w:val="single" w:sz="4" w:space="0" w:color="auto"/>
              <w:right w:val="single" w:sz="4" w:space="0" w:color="auto"/>
            </w:tcBorders>
            <w:noWrap/>
            <w:vAlign w:val="center"/>
          </w:tcPr>
          <w:p w:rsidR="00B2512C" w14:paraId="02454F63"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0.00</w:t>
            </w:r>
          </w:p>
        </w:tc>
      </w:tr>
      <w:tr w14:paraId="12178D1E" w14:textId="77777777">
        <w:tblPrEx>
          <w:tblW w:w="8375" w:type="dxa"/>
          <w:jc w:val="center"/>
          <w:tblLayout w:type="fixed"/>
          <w:tblLook w:val="04A0"/>
        </w:tblPrEx>
        <w:trPr>
          <w:trHeight w:val="612"/>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71B66FC1"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2. 公务用车购置及运行维护费</w:t>
            </w:r>
          </w:p>
        </w:tc>
        <w:tc>
          <w:tcPr>
            <w:tcW w:w="780" w:type="dxa"/>
            <w:tcBorders>
              <w:top w:val="single" w:sz="4" w:space="0" w:color="auto"/>
              <w:left w:val="nil"/>
              <w:bottom w:val="single" w:sz="4" w:space="0" w:color="auto"/>
              <w:right w:val="single" w:sz="4" w:space="0" w:color="auto"/>
            </w:tcBorders>
            <w:noWrap/>
            <w:vAlign w:val="center"/>
          </w:tcPr>
          <w:p w:rsidR="00B2512C" w14:paraId="7EEA2D1B"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w:t>
            </w:r>
          </w:p>
        </w:tc>
        <w:tc>
          <w:tcPr>
            <w:tcW w:w="3415" w:type="dxa"/>
            <w:gridSpan w:val="2"/>
            <w:tcBorders>
              <w:top w:val="single" w:sz="4" w:space="0" w:color="auto"/>
              <w:left w:val="nil"/>
              <w:bottom w:val="single" w:sz="4" w:space="0" w:color="auto"/>
              <w:right w:val="single" w:sz="4" w:space="0" w:color="auto"/>
            </w:tcBorders>
            <w:noWrap/>
            <w:vAlign w:val="center"/>
          </w:tcPr>
          <w:p w:rsidR="00B2512C" w14:paraId="78D15785"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2.38</w:t>
            </w:r>
          </w:p>
        </w:tc>
      </w:tr>
      <w:tr w14:paraId="0A74C933" w14:textId="77777777">
        <w:tblPrEx>
          <w:tblW w:w="8375" w:type="dxa"/>
          <w:jc w:val="center"/>
          <w:tblLayout w:type="fixed"/>
          <w:tblLook w:val="04A0"/>
        </w:tblPrEx>
        <w:trPr>
          <w:trHeight w:val="612"/>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2C8D7EDB"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 xml:space="preserve">    其中：（1）公务用车购置费</w:t>
            </w:r>
          </w:p>
        </w:tc>
        <w:tc>
          <w:tcPr>
            <w:tcW w:w="780" w:type="dxa"/>
            <w:tcBorders>
              <w:top w:val="single" w:sz="4" w:space="0" w:color="auto"/>
              <w:left w:val="single" w:sz="4" w:space="0" w:color="auto"/>
              <w:bottom w:val="single" w:sz="4" w:space="0" w:color="auto"/>
              <w:right w:val="single" w:sz="4" w:space="0" w:color="auto"/>
            </w:tcBorders>
            <w:noWrap/>
            <w:vAlign w:val="center"/>
          </w:tcPr>
          <w:p w:rsidR="00B2512C" w14:paraId="4B4871EC"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4</w:t>
            </w:r>
          </w:p>
        </w:tc>
        <w:tc>
          <w:tcPr>
            <w:tcW w:w="3415" w:type="dxa"/>
            <w:gridSpan w:val="2"/>
            <w:tcBorders>
              <w:top w:val="single" w:sz="4" w:space="0" w:color="auto"/>
              <w:left w:val="single" w:sz="4" w:space="0" w:color="auto"/>
              <w:bottom w:val="single" w:sz="4" w:space="0" w:color="auto"/>
              <w:right w:val="single" w:sz="4" w:space="0" w:color="auto"/>
            </w:tcBorders>
            <w:noWrap/>
            <w:vAlign w:val="center"/>
          </w:tcPr>
          <w:p w:rsidR="00B2512C" w14:paraId="354746D2"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0.00</w:t>
            </w:r>
          </w:p>
        </w:tc>
      </w:tr>
      <w:tr w14:paraId="71983C49" w14:textId="77777777">
        <w:tblPrEx>
          <w:tblW w:w="8375" w:type="dxa"/>
          <w:jc w:val="center"/>
          <w:tblLayout w:type="fixed"/>
          <w:tblLook w:val="04A0"/>
        </w:tblPrEx>
        <w:trPr>
          <w:trHeight w:val="612"/>
          <w:jc w:val="center"/>
        </w:trPr>
        <w:tc>
          <w:tcPr>
            <w:tcW w:w="4180" w:type="dxa"/>
            <w:tcBorders>
              <w:top w:val="single" w:sz="4" w:space="0" w:color="auto"/>
              <w:left w:val="single" w:sz="4" w:space="0" w:color="auto"/>
              <w:bottom w:val="single" w:sz="4" w:space="0" w:color="auto"/>
              <w:right w:val="single" w:sz="4" w:space="0" w:color="auto"/>
            </w:tcBorders>
            <w:noWrap/>
            <w:vAlign w:val="center"/>
          </w:tcPr>
          <w:p w:rsidR="00B2512C" w14:paraId="3D575403"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 xml:space="preserve">          （2）公务用车运行维护费</w:t>
            </w:r>
          </w:p>
        </w:tc>
        <w:tc>
          <w:tcPr>
            <w:tcW w:w="780" w:type="dxa"/>
            <w:tcBorders>
              <w:top w:val="single" w:sz="4" w:space="0" w:color="auto"/>
              <w:left w:val="nil"/>
              <w:bottom w:val="single" w:sz="4" w:space="0" w:color="auto"/>
              <w:right w:val="single" w:sz="4" w:space="0" w:color="auto"/>
            </w:tcBorders>
            <w:noWrap/>
            <w:vAlign w:val="center"/>
          </w:tcPr>
          <w:p w:rsidR="00B2512C" w14:paraId="5A3ED08E"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5</w:t>
            </w:r>
          </w:p>
        </w:tc>
        <w:tc>
          <w:tcPr>
            <w:tcW w:w="3415" w:type="dxa"/>
            <w:gridSpan w:val="2"/>
            <w:tcBorders>
              <w:top w:val="single" w:sz="4" w:space="0" w:color="auto"/>
              <w:left w:val="nil"/>
              <w:bottom w:val="single" w:sz="4" w:space="0" w:color="auto"/>
              <w:right w:val="single" w:sz="4" w:space="0" w:color="auto"/>
            </w:tcBorders>
            <w:noWrap/>
            <w:vAlign w:val="center"/>
          </w:tcPr>
          <w:p w:rsidR="00B2512C" w14:paraId="36D3ACC8"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2.38</w:t>
            </w:r>
          </w:p>
        </w:tc>
      </w:tr>
      <w:tr w14:paraId="403E587A" w14:textId="77777777">
        <w:tblPrEx>
          <w:tblW w:w="8375" w:type="dxa"/>
          <w:jc w:val="center"/>
          <w:tblLayout w:type="fixed"/>
          <w:tblLook w:val="04A0"/>
        </w:tblPrEx>
        <w:trPr>
          <w:trHeight w:val="612"/>
          <w:jc w:val="center"/>
        </w:trPr>
        <w:tc>
          <w:tcPr>
            <w:tcW w:w="4180" w:type="dxa"/>
            <w:tcBorders>
              <w:top w:val="nil"/>
              <w:left w:val="single" w:sz="4" w:space="0" w:color="auto"/>
              <w:bottom w:val="single" w:sz="4" w:space="0" w:color="auto"/>
              <w:right w:val="single" w:sz="4" w:space="0" w:color="auto"/>
            </w:tcBorders>
            <w:noWrap/>
            <w:vAlign w:val="center"/>
          </w:tcPr>
          <w:p w:rsidR="00B2512C" w14:paraId="784DAF3B" w14:textId="77777777">
            <w:pPr>
              <w:widowControl/>
              <w:spacing w:line="240" w:lineRule="auto"/>
              <w:jc w:val="left"/>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3. 公务接待费</w:t>
            </w:r>
          </w:p>
        </w:tc>
        <w:tc>
          <w:tcPr>
            <w:tcW w:w="780" w:type="dxa"/>
            <w:tcBorders>
              <w:top w:val="nil"/>
              <w:left w:val="nil"/>
              <w:bottom w:val="single" w:sz="4" w:space="0" w:color="auto"/>
              <w:right w:val="single" w:sz="4" w:space="0" w:color="auto"/>
            </w:tcBorders>
            <w:noWrap/>
            <w:vAlign w:val="center"/>
          </w:tcPr>
          <w:p w:rsidR="00B2512C" w14:paraId="57486E3B" w14:textId="77777777">
            <w:pPr>
              <w:widowControl/>
              <w:spacing w:line="240" w:lineRule="auto"/>
              <w:jc w:val="center"/>
              <w:rPr>
                <w:rFonts w:ascii="宋体" w:eastAsia="宋体" w:hAnsi="宋体" w:cs="宋体" w:hint="eastAsia"/>
                <w:color w:val="000000"/>
                <w:kern w:val="0"/>
                <w:sz w:val="24"/>
                <w:szCs w:val="24"/>
              </w:rPr>
            </w:pPr>
            <w:r>
              <w:rPr>
                <w:rFonts w:ascii="宋体" w:eastAsia="宋体" w:hAnsi="宋体" w:cs="宋体" w:hint="eastAsia"/>
                <w:color w:val="000000"/>
                <w:kern w:val="0"/>
                <w:sz w:val="24"/>
                <w:szCs w:val="24"/>
              </w:rPr>
              <w:t>6</w:t>
            </w:r>
          </w:p>
        </w:tc>
        <w:tc>
          <w:tcPr>
            <w:tcW w:w="3415" w:type="dxa"/>
            <w:gridSpan w:val="2"/>
            <w:tcBorders>
              <w:top w:val="nil"/>
              <w:left w:val="nil"/>
              <w:bottom w:val="single" w:sz="4" w:space="0" w:color="auto"/>
              <w:right w:val="single" w:sz="4" w:space="0" w:color="auto"/>
            </w:tcBorders>
            <w:noWrap/>
            <w:vAlign w:val="center"/>
          </w:tcPr>
          <w:p w:rsidR="00B2512C" w14:paraId="10B9BAC2" w14:textId="77777777">
            <w:pPr>
              <w:widowControl/>
              <w:spacing w:line="240" w:lineRule="auto"/>
              <w:jc w:val="right"/>
              <w:rPr>
                <w:rFonts w:ascii="宋体" w:eastAsia="宋体" w:hAnsi="宋体" w:cs="宋体" w:hint="eastAsia"/>
                <w:color w:val="000000"/>
                <w:kern w:val="0"/>
                <w:sz w:val="22"/>
              </w:rPr>
            </w:pPr>
            <w:r>
              <w:rPr>
                <w:rFonts w:ascii="宋体" w:eastAsia="宋体" w:hAnsi="宋体" w:cs="宋体" w:hint="eastAsia"/>
                <w:color w:val="000000"/>
                <w:kern w:val="0"/>
                <w:sz w:val="22"/>
              </w:rPr>
              <w:t>　0.52</w:t>
            </w:r>
          </w:p>
        </w:tc>
      </w:tr>
      <w:tr w14:paraId="34AFA4B0" w14:textId="77777777">
        <w:tblPrEx>
          <w:tblW w:w="8375" w:type="dxa"/>
          <w:jc w:val="center"/>
          <w:tblLayout w:type="fixed"/>
          <w:tblLook w:val="04A0"/>
        </w:tblPrEx>
        <w:trPr>
          <w:trHeight w:val="495"/>
          <w:jc w:val="center"/>
        </w:trPr>
        <w:tc>
          <w:tcPr>
            <w:tcW w:w="8375" w:type="dxa"/>
            <w:gridSpan w:val="4"/>
            <w:tcBorders>
              <w:top w:val="single" w:sz="4" w:space="0" w:color="auto"/>
              <w:left w:val="nil"/>
              <w:bottom w:val="nil"/>
              <w:right w:val="nil"/>
            </w:tcBorders>
            <w:vAlign w:val="center"/>
          </w:tcPr>
          <w:p w:rsidR="00B2512C" w14:paraId="32D51C69" w14:textId="77777777">
            <w:pPr>
              <w:widowControl/>
              <w:spacing w:line="240" w:lineRule="auto"/>
              <w:jc w:val="left"/>
              <w:rPr>
                <w:rFonts w:ascii="宋体" w:eastAsia="宋体" w:hAnsi="宋体" w:cs="宋体" w:hint="eastAsia"/>
                <w:kern w:val="0"/>
                <w:sz w:val="24"/>
                <w:szCs w:val="24"/>
              </w:rPr>
            </w:pPr>
            <w:r>
              <w:rPr>
                <w:rFonts w:ascii="宋体" w:eastAsia="宋体" w:hAnsi="宋体" w:cs="宋体" w:hint="eastAsia"/>
                <w:kern w:val="0"/>
                <w:sz w:val="24"/>
                <w:szCs w:val="24"/>
              </w:rPr>
              <w:t>注：本表反映部门本年度“三公”经费支出决算情况，包括当年一般公共预算财政拨款和以前年度结转资金安排的实际支出。</w:t>
            </w:r>
          </w:p>
        </w:tc>
      </w:tr>
    </w:tbl>
    <w:p w:rsidR="00B2512C" w:rsidRPr="00786421" w:rsidP="00786421" w14:paraId="514DC4C9" w14:textId="77777777">
      <w:pPr>
        <w:widowControl/>
        <w:spacing w:line="240" w:lineRule="auto"/>
        <w:ind w:firstLine="480" w:firstLineChars="200"/>
        <w:rPr>
          <w:rFonts w:ascii="宋体" w:eastAsia="宋体" w:hAnsi="宋体" w:cs="宋体" w:hint="eastAsia"/>
          <w:kern w:val="0"/>
          <w:sz w:val="24"/>
          <w:szCs w:val="24"/>
        </w:rPr>
      </w:pPr>
      <w:r>
        <w:rPr>
          <w:rFonts w:ascii="宋体" w:eastAsia="宋体" w:hAnsi="宋体" w:cs="宋体" w:hint="eastAsia"/>
          <w:kern w:val="0"/>
          <w:sz w:val="24"/>
          <w:szCs w:val="24"/>
        </w:rPr>
        <w:t xml:space="preserve"> </w:t>
      </w:r>
    </w:p>
    <w:p w:rsidR="00B2512C" w14:paraId="2F832C7C" w14:textId="77777777">
      <w:pPr>
        <w:jc w:val="left"/>
        <w:rPr>
          <w:rFonts w:ascii="黑体" w:eastAsia="黑体" w:hAnsi="仿宋" w:hint="eastAsia"/>
          <w:sz w:val="32"/>
          <w:szCs w:val="32"/>
        </w:rPr>
        <w:sectPr>
          <w:pgSz w:w="11906" w:h="16838"/>
          <w:pgMar w:top="1702" w:right="1800" w:bottom="1843" w:left="1800" w:header="851" w:footer="992" w:gutter="0"/>
          <w:cols w:space="425"/>
          <w:docGrid w:type="lines" w:linePitch="312"/>
        </w:sectPr>
      </w:pPr>
    </w:p>
    <w:p w:rsidR="00B2512C" w14:paraId="564E663D" w14:textId="77777777">
      <w:pPr>
        <w:pStyle w:val="Heading2"/>
        <w:spacing w:before="0" w:after="0"/>
      </w:pPr>
      <w:bookmarkStart w:id="24" w:name="_Toc16394"/>
      <w:bookmarkStart w:id="25" w:name="_Toc141520074"/>
      <w:r>
        <w:rPr>
          <w:rFonts w:hint="eastAsia"/>
        </w:rPr>
        <w:t>八、政府性基金预算财政拨款收入支出决算表</w:t>
      </w:r>
      <w:bookmarkEnd w:id="24"/>
      <w:bookmarkEnd w:id="25"/>
      <w:r>
        <w:rPr>
          <w:rFonts w:hint="eastAsia"/>
        </w:rPr>
        <w:t xml:space="preserve"> </w:t>
      </w:r>
    </w:p>
    <w:p w:rsidR="00B2512C" w14:paraId="18B52028" w14:textId="77777777">
      <w:pPr>
        <w:widowControl/>
        <w:spacing w:line="240" w:lineRule="auto"/>
        <w:jc w:val="center"/>
        <w:rPr>
          <w:rFonts w:ascii="宋体" w:eastAsia="宋体" w:hAnsi="宋体" w:cs="宋体" w:hint="eastAsia"/>
          <w:kern w:val="0"/>
          <w:sz w:val="24"/>
          <w:szCs w:val="24"/>
        </w:rPr>
      </w:pPr>
      <w:r>
        <w:rPr>
          <w:rFonts w:ascii="黑体" w:eastAsia="黑体" w:hAnsi="宋体" w:cs="黑体" w:hint="eastAsia"/>
          <w:color w:val="000000"/>
          <w:kern w:val="0"/>
          <w:sz w:val="36"/>
          <w:szCs w:val="36"/>
          <w:lang w:bidi="ar"/>
        </w:rPr>
        <w:t>政府性基金预算财政拨款收入支出决算表</w:t>
      </w:r>
    </w:p>
    <w:p w:rsidR="00B2512C" w14:paraId="779F6AE1" w14:textId="77777777">
      <w:pPr>
        <w:widowControl/>
        <w:spacing w:line="240" w:lineRule="auto"/>
        <w:jc w:val="right"/>
        <w:rPr>
          <w:rFonts w:ascii="宋体" w:eastAsia="宋体" w:hAnsi="宋体" w:cs="宋体" w:hint="eastAsia"/>
          <w:kern w:val="0"/>
          <w:sz w:val="20"/>
          <w:szCs w:val="20"/>
        </w:rPr>
      </w:pPr>
      <w:r>
        <w:rPr>
          <w:rFonts w:ascii="宋体" w:eastAsia="宋体" w:hAnsi="宋体" w:cs="宋体" w:hint="eastAsia"/>
          <w:color w:val="000000"/>
          <w:kern w:val="0"/>
          <w:sz w:val="20"/>
          <w:szCs w:val="20"/>
          <w:lang w:bidi="ar"/>
        </w:rPr>
        <w:t>公开08表</w:t>
      </w:r>
    </w:p>
    <w:tbl>
      <w:tblPr>
        <w:tblStyle w:val="TableGrid"/>
        <w:tblW w:w="0" w:type="auto"/>
        <w:tblLook w:val="04A0"/>
      </w:tblPr>
      <w:tblGrid>
        <w:gridCol w:w="1644"/>
        <w:gridCol w:w="3759"/>
        <w:gridCol w:w="1351"/>
        <w:gridCol w:w="1351"/>
        <w:gridCol w:w="1351"/>
        <w:gridCol w:w="1351"/>
        <w:gridCol w:w="1351"/>
        <w:gridCol w:w="1351"/>
      </w:tblGrid>
      <w:tr w14:paraId="1AFF28B4" w14:textId="77777777">
        <w:tblPrEx>
          <w:tblW w:w="0" w:type="auto"/>
          <w:tblLook w:val="04A0"/>
        </w:tblPrEx>
        <w:trPr>
          <w:trHeight w:val="138"/>
        </w:trPr>
        <w:tc>
          <w:tcPr>
            <w:tcW w:w="10807" w:type="dxa"/>
            <w:gridSpan w:val="6"/>
            <w:tcBorders>
              <w:top w:val="nil"/>
              <w:left w:val="nil"/>
              <w:right w:val="nil"/>
            </w:tcBorders>
            <w:vAlign w:val="center"/>
          </w:tcPr>
          <w:p w:rsidR="00B2512C" w14:paraId="39D43D77" w14:textId="77777777">
            <w:pPr>
              <w:widowControl/>
              <w:spacing w:line="240" w:lineRule="auto"/>
              <w:jc w:val="left"/>
              <w:rPr>
                <w:rFonts w:ascii="宋体" w:eastAsia="宋体" w:hAnsi="宋体" w:cs="宋体" w:hint="eastAsia"/>
                <w:color w:val="000000"/>
                <w:kern w:val="0"/>
                <w:sz w:val="20"/>
                <w:szCs w:val="20"/>
                <w:lang w:bidi="ar"/>
              </w:rPr>
            </w:pPr>
            <w:r>
              <w:rPr>
                <w:rFonts w:ascii="宋体" w:eastAsia="宋体" w:hAnsi="宋体" w:cs="Arial"/>
                <w:color w:val="000000"/>
                <w:kern w:val="0"/>
                <w:sz w:val="20"/>
                <w:szCs w:val="20"/>
              </w:rPr>
              <w:t>部门：南安市林业局</w:t>
            </w:r>
          </w:p>
        </w:tc>
        <w:tc>
          <w:tcPr>
            <w:tcW w:w="2702" w:type="dxa"/>
            <w:gridSpan w:val="2"/>
            <w:tcBorders>
              <w:top w:val="nil"/>
              <w:left w:val="nil"/>
              <w:right w:val="nil"/>
            </w:tcBorders>
            <w:vAlign w:val="center"/>
          </w:tcPr>
          <w:p w:rsidR="00B2512C" w14:paraId="1E46BE4C" w14:textId="77777777">
            <w:pPr>
              <w:widowControl/>
              <w:spacing w:line="240" w:lineRule="auto"/>
              <w:jc w:val="right"/>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单位：万元</w:t>
            </w:r>
          </w:p>
        </w:tc>
      </w:tr>
      <w:tr w14:paraId="405D1756" w14:textId="77777777">
        <w:tblPrEx>
          <w:tblW w:w="0" w:type="auto"/>
          <w:tblLook w:val="04A0"/>
        </w:tblPrEx>
        <w:tc>
          <w:tcPr>
            <w:tcW w:w="5403" w:type="dxa"/>
            <w:gridSpan w:val="2"/>
            <w:vAlign w:val="center"/>
          </w:tcPr>
          <w:p w:rsidR="00B2512C" w14:paraId="49C9329E"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项目</w:t>
            </w:r>
          </w:p>
        </w:tc>
        <w:tc>
          <w:tcPr>
            <w:tcW w:w="1351" w:type="dxa"/>
            <w:vMerge w:val="restart"/>
            <w:vAlign w:val="center"/>
          </w:tcPr>
          <w:p w:rsidR="00B2512C" w14:paraId="46A7BE33"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年初结转和结余</w:t>
            </w:r>
          </w:p>
        </w:tc>
        <w:tc>
          <w:tcPr>
            <w:tcW w:w="1351" w:type="dxa"/>
            <w:vMerge w:val="restart"/>
            <w:vAlign w:val="center"/>
          </w:tcPr>
          <w:p w:rsidR="00B2512C" w14:paraId="2C388C76"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本年收入</w:t>
            </w:r>
          </w:p>
        </w:tc>
        <w:tc>
          <w:tcPr>
            <w:tcW w:w="4053" w:type="dxa"/>
            <w:gridSpan w:val="3"/>
            <w:vAlign w:val="center"/>
          </w:tcPr>
          <w:p w:rsidR="00B2512C" w14:paraId="10714DDB" w14:textId="77777777">
            <w:pPr>
              <w:widowControl/>
              <w:tabs>
                <w:tab w:val="left" w:pos="1233"/>
              </w:tabs>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本年支出</w:t>
            </w:r>
          </w:p>
        </w:tc>
        <w:tc>
          <w:tcPr>
            <w:tcW w:w="1351" w:type="dxa"/>
            <w:vMerge w:val="restart"/>
            <w:vAlign w:val="center"/>
          </w:tcPr>
          <w:p w:rsidR="00B2512C" w14:paraId="65C48CDE"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年末结转和结余</w:t>
            </w:r>
          </w:p>
        </w:tc>
      </w:tr>
      <w:tr w14:paraId="00E0B0B4" w14:textId="77777777">
        <w:tblPrEx>
          <w:tblW w:w="0" w:type="auto"/>
          <w:tblLook w:val="04A0"/>
        </w:tblPrEx>
        <w:tc>
          <w:tcPr>
            <w:tcW w:w="1644" w:type="dxa"/>
            <w:vAlign w:val="center"/>
          </w:tcPr>
          <w:p w:rsidR="00B2512C" w14:paraId="4E550D4A" w14:textId="77777777">
            <w:pPr>
              <w:widowControl/>
              <w:jc w:val="center"/>
              <w:textAlignment w:val="center"/>
              <w:rPr>
                <w:rFonts w:ascii="宋体" w:eastAsia="宋体" w:hAnsi="宋体" w:cs="宋体" w:hint="eastAsia"/>
                <w:color w:val="000000"/>
                <w:kern w:val="0"/>
                <w:sz w:val="22"/>
                <w:lang w:bidi="ar"/>
              </w:rPr>
            </w:pPr>
            <w:r>
              <w:rPr>
                <w:rFonts w:ascii="宋体" w:eastAsia="宋体" w:hAnsi="宋体" w:cs="宋体" w:hint="eastAsia"/>
                <w:color w:val="000000"/>
                <w:kern w:val="0"/>
                <w:sz w:val="22"/>
                <w:lang w:bidi="ar"/>
              </w:rPr>
              <w:t>支出功能分类</w:t>
            </w:r>
          </w:p>
          <w:p w:rsidR="00B2512C" w14:paraId="2FEBC1ED"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科目编码</w:t>
            </w:r>
          </w:p>
        </w:tc>
        <w:tc>
          <w:tcPr>
            <w:tcW w:w="3759" w:type="dxa"/>
            <w:vAlign w:val="center"/>
          </w:tcPr>
          <w:p w:rsidR="00B2512C" w14:paraId="027B661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科目名称</w:t>
            </w:r>
          </w:p>
        </w:tc>
        <w:tc>
          <w:tcPr>
            <w:tcW w:w="1351" w:type="dxa"/>
            <w:vMerge/>
            <w:vAlign w:val="center"/>
          </w:tcPr>
          <w:p w:rsidR="00B2512C" w14:paraId="5308FED0" w14:textId="77777777">
            <w:pPr>
              <w:widowControl/>
              <w:spacing w:line="240" w:lineRule="auto"/>
              <w:jc w:val="center"/>
              <w:rPr>
                <w:rFonts w:ascii="宋体" w:eastAsia="宋体" w:hAnsi="宋体" w:cs="宋体" w:hint="eastAsia"/>
                <w:kern w:val="0"/>
                <w:sz w:val="24"/>
                <w:szCs w:val="24"/>
              </w:rPr>
            </w:pPr>
          </w:p>
        </w:tc>
        <w:tc>
          <w:tcPr>
            <w:tcW w:w="1351" w:type="dxa"/>
            <w:vMerge/>
            <w:vAlign w:val="center"/>
          </w:tcPr>
          <w:p w:rsidR="00B2512C" w14:paraId="1B2445B6" w14:textId="77777777">
            <w:pPr>
              <w:widowControl/>
              <w:spacing w:line="240" w:lineRule="auto"/>
              <w:jc w:val="center"/>
              <w:rPr>
                <w:rFonts w:ascii="宋体" w:eastAsia="宋体" w:hAnsi="宋体" w:cs="宋体" w:hint="eastAsia"/>
                <w:kern w:val="0"/>
                <w:sz w:val="24"/>
                <w:szCs w:val="24"/>
              </w:rPr>
            </w:pPr>
          </w:p>
        </w:tc>
        <w:tc>
          <w:tcPr>
            <w:tcW w:w="1351" w:type="dxa"/>
            <w:vAlign w:val="center"/>
          </w:tcPr>
          <w:p w:rsidR="00B2512C" w14:paraId="599320E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小计</w:t>
            </w:r>
          </w:p>
        </w:tc>
        <w:tc>
          <w:tcPr>
            <w:tcW w:w="1351" w:type="dxa"/>
            <w:vAlign w:val="center"/>
          </w:tcPr>
          <w:p w:rsidR="00B2512C" w14:paraId="7C62D459"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基本支出</w:t>
            </w:r>
          </w:p>
        </w:tc>
        <w:tc>
          <w:tcPr>
            <w:tcW w:w="1351" w:type="dxa"/>
            <w:vAlign w:val="center"/>
          </w:tcPr>
          <w:p w:rsidR="00B2512C" w14:paraId="767959A2"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项目支出</w:t>
            </w:r>
          </w:p>
        </w:tc>
        <w:tc>
          <w:tcPr>
            <w:tcW w:w="1351" w:type="dxa"/>
            <w:vMerge/>
            <w:vAlign w:val="center"/>
          </w:tcPr>
          <w:p w:rsidR="00B2512C" w14:paraId="28708D12" w14:textId="77777777">
            <w:pPr>
              <w:widowControl/>
              <w:spacing w:line="240" w:lineRule="auto"/>
              <w:jc w:val="center"/>
              <w:rPr>
                <w:rFonts w:ascii="宋体" w:eastAsia="宋体" w:hAnsi="宋体" w:cs="宋体" w:hint="eastAsia"/>
                <w:kern w:val="0"/>
                <w:sz w:val="24"/>
                <w:szCs w:val="24"/>
              </w:rPr>
            </w:pPr>
          </w:p>
        </w:tc>
      </w:tr>
      <w:tr w14:paraId="146C9155" w14:textId="77777777">
        <w:tblPrEx>
          <w:tblW w:w="0" w:type="auto"/>
          <w:tblLook w:val="04A0"/>
        </w:tblPrEx>
        <w:trPr>
          <w:trHeight w:val="422"/>
        </w:trPr>
        <w:tc>
          <w:tcPr>
            <w:tcW w:w="1644" w:type="dxa"/>
            <w:vMerge w:val="restart"/>
            <w:vAlign w:val="center"/>
          </w:tcPr>
          <w:p w:rsidR="00B2512C" w14:paraId="46E78F9B" w14:textId="77777777">
            <w:pPr>
              <w:widowControl/>
              <w:spacing w:line="240" w:lineRule="auto"/>
              <w:ind w:firstLine="220" w:firstLineChars="100"/>
              <w:rPr>
                <w:rFonts w:ascii="宋体" w:eastAsia="宋体" w:hAnsi="宋体" w:cs="宋体" w:hint="eastAsia"/>
                <w:kern w:val="0"/>
                <w:sz w:val="24"/>
                <w:szCs w:val="24"/>
              </w:rPr>
            </w:pPr>
            <w:r>
              <w:rPr>
                <w:rFonts w:ascii="宋体" w:eastAsia="宋体" w:hAnsi="宋体" w:cs="Arial" w:hint="eastAsia"/>
                <w:sz w:val="22"/>
              </w:rPr>
              <w:t>类  款  项</w:t>
            </w:r>
          </w:p>
        </w:tc>
        <w:tc>
          <w:tcPr>
            <w:tcW w:w="3759" w:type="dxa"/>
            <w:vAlign w:val="center"/>
          </w:tcPr>
          <w:p w:rsidR="00B2512C" w14:paraId="3C7CF936"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栏次</w:t>
            </w:r>
          </w:p>
        </w:tc>
        <w:tc>
          <w:tcPr>
            <w:tcW w:w="1351" w:type="dxa"/>
            <w:vAlign w:val="center"/>
          </w:tcPr>
          <w:p w:rsidR="00B2512C" w14:paraId="217171FF"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1</w:t>
            </w:r>
          </w:p>
        </w:tc>
        <w:tc>
          <w:tcPr>
            <w:tcW w:w="1351" w:type="dxa"/>
            <w:vAlign w:val="center"/>
          </w:tcPr>
          <w:p w:rsidR="00B2512C" w14:paraId="182F1443"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2</w:t>
            </w:r>
          </w:p>
        </w:tc>
        <w:tc>
          <w:tcPr>
            <w:tcW w:w="1351" w:type="dxa"/>
            <w:vAlign w:val="center"/>
          </w:tcPr>
          <w:p w:rsidR="00B2512C" w14:paraId="612912E6"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3</w:t>
            </w:r>
          </w:p>
        </w:tc>
        <w:tc>
          <w:tcPr>
            <w:tcW w:w="1351" w:type="dxa"/>
            <w:vAlign w:val="center"/>
          </w:tcPr>
          <w:p w:rsidR="00B2512C" w14:paraId="7FC6E31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4</w:t>
            </w:r>
          </w:p>
        </w:tc>
        <w:tc>
          <w:tcPr>
            <w:tcW w:w="1351" w:type="dxa"/>
            <w:vAlign w:val="center"/>
          </w:tcPr>
          <w:p w:rsidR="00B2512C" w14:paraId="0C03960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5</w:t>
            </w:r>
          </w:p>
        </w:tc>
        <w:tc>
          <w:tcPr>
            <w:tcW w:w="1351" w:type="dxa"/>
            <w:vAlign w:val="center"/>
          </w:tcPr>
          <w:p w:rsidR="00B2512C" w14:paraId="009FFAFE"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kern w:val="0"/>
                <w:sz w:val="24"/>
                <w:szCs w:val="24"/>
              </w:rPr>
              <w:t>6</w:t>
            </w:r>
          </w:p>
        </w:tc>
      </w:tr>
      <w:tr w14:paraId="1A3B1764" w14:textId="77777777">
        <w:tblPrEx>
          <w:tblW w:w="0" w:type="auto"/>
          <w:tblLook w:val="04A0"/>
        </w:tblPrEx>
        <w:trPr>
          <w:trHeight w:val="384"/>
        </w:trPr>
        <w:tc>
          <w:tcPr>
            <w:tcW w:w="1644" w:type="dxa"/>
            <w:vMerge/>
            <w:vAlign w:val="center"/>
          </w:tcPr>
          <w:p w:rsidR="00B2512C" w14:paraId="2410200E" w14:textId="77777777">
            <w:pPr>
              <w:widowControl/>
              <w:spacing w:line="240" w:lineRule="auto"/>
              <w:jc w:val="left"/>
              <w:rPr>
                <w:rFonts w:ascii="宋体" w:eastAsia="宋体" w:hAnsi="宋体" w:cs="宋体" w:hint="eastAsia"/>
                <w:kern w:val="0"/>
                <w:sz w:val="24"/>
                <w:szCs w:val="24"/>
              </w:rPr>
            </w:pPr>
          </w:p>
        </w:tc>
        <w:tc>
          <w:tcPr>
            <w:tcW w:w="3759" w:type="dxa"/>
            <w:vAlign w:val="center"/>
          </w:tcPr>
          <w:p w:rsidR="00B2512C" w14:paraId="19AA8494"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color w:val="000000"/>
                <w:kern w:val="0"/>
                <w:sz w:val="22"/>
                <w:lang w:bidi="ar"/>
              </w:rPr>
              <w:t>合计</w:t>
            </w:r>
          </w:p>
        </w:tc>
        <w:tc>
          <w:tcPr>
            <w:tcW w:w="1351" w:type="dxa"/>
            <w:vAlign w:val="center"/>
          </w:tcPr>
          <w:p w:rsidR="00B2512C" w14:paraId="3DACE889"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0.00</w:t>
            </w:r>
          </w:p>
        </w:tc>
        <w:tc>
          <w:tcPr>
            <w:tcW w:w="1351" w:type="dxa"/>
            <w:vAlign w:val="center"/>
          </w:tcPr>
          <w:p w:rsidR="00B2512C" w14:paraId="2D61ABE5"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100.00</w:t>
            </w:r>
          </w:p>
        </w:tc>
        <w:tc>
          <w:tcPr>
            <w:tcW w:w="1351" w:type="dxa"/>
            <w:vAlign w:val="center"/>
          </w:tcPr>
          <w:p w:rsidR="00B2512C" w14:paraId="170C435D"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100.00</w:t>
            </w:r>
          </w:p>
        </w:tc>
        <w:tc>
          <w:tcPr>
            <w:tcW w:w="1351" w:type="dxa"/>
            <w:vAlign w:val="center"/>
          </w:tcPr>
          <w:p w:rsidR="00B2512C" w14:paraId="4C811216"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0.00</w:t>
            </w:r>
          </w:p>
        </w:tc>
        <w:tc>
          <w:tcPr>
            <w:tcW w:w="1351" w:type="dxa"/>
            <w:vAlign w:val="center"/>
          </w:tcPr>
          <w:p w:rsidR="00B2512C" w14:paraId="0E9FC4E4"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100.00</w:t>
            </w:r>
          </w:p>
        </w:tc>
        <w:tc>
          <w:tcPr>
            <w:tcW w:w="1351" w:type="dxa"/>
            <w:vAlign w:val="center"/>
          </w:tcPr>
          <w:p w:rsidR="00B2512C" w14:paraId="22510BB6" w14:textId="77777777">
            <w:pPr>
              <w:widowControl/>
              <w:wordWrap w:val="0"/>
              <w:spacing w:line="240" w:lineRule="auto"/>
              <w:jc w:val="right"/>
              <w:rPr>
                <w:rFonts w:ascii="宋体" w:eastAsia="宋体" w:hAnsi="宋体" w:cs="宋体" w:hint="eastAsia"/>
                <w:kern w:val="0"/>
                <w:sz w:val="24"/>
                <w:szCs w:val="24"/>
              </w:rPr>
            </w:pPr>
            <w:r>
              <w:rPr>
                <w:rFonts w:ascii="宋体" w:eastAsia="宋体" w:hAnsi="宋体" w:cs="宋体"/>
                <w:color w:val="000000"/>
                <w:sz w:val="18"/>
                <w:szCs w:val="18"/>
              </w:rPr>
              <w:t>0.00</w:t>
            </w:r>
          </w:p>
        </w:tc>
      </w:tr>
      <w:tr>
        <w:tblPrEx>
          <w:tblW w:w="0" w:type="auto"/>
          <w:tblLook w:val="04A0"/>
        </w:tblPrEx>
        <w:tc>
          <w:tcPr>
            <w:tcW w:w="1644" w:type="dxa"/>
            <w:vAlign w:val="center"/>
          </w:tcPr>
          <w:p>
            <w:pPr>
              <w:pageBreakBefore w:val="0"/>
              <w:spacing w:line="240" w:lineRule="auto"/>
              <w:jc w:val="left"/>
              <w:textAlignment w:val="auto"/>
            </w:pPr>
            <w:r>
              <w:rPr>
                <w:rFonts w:ascii="宋体" w:eastAsia="宋体" w:hAnsi="宋体" w:cs="宋体"/>
                <w:b/>
                <w:i w:val="0"/>
                <w:strike w:val="0"/>
                <w:color w:val="000000"/>
                <w:position w:val="-1"/>
                <w:sz w:val="18"/>
                <w:u w:val="none"/>
              </w:rPr>
              <w:t>212</w:t>
            </w:r>
          </w:p>
        </w:tc>
        <w:tc>
          <w:tcPr>
            <w:tcW w:w="3759" w:type="dxa"/>
            <w:vAlign w:val="center"/>
          </w:tcPr>
          <w:p>
            <w:pPr>
              <w:pageBreakBefore w:val="0"/>
              <w:spacing w:line="240" w:lineRule="auto"/>
              <w:jc w:val="left"/>
              <w:textAlignment w:val="auto"/>
            </w:pPr>
            <w:r>
              <w:rPr>
                <w:rFonts w:ascii="宋体" w:eastAsia="宋体" w:hAnsi="宋体" w:cs="宋体"/>
                <w:b/>
                <w:i w:val="0"/>
                <w:strike w:val="0"/>
                <w:color w:val="000000"/>
                <w:position w:val="-1"/>
                <w:sz w:val="18"/>
                <w:u w:val="none"/>
              </w:rPr>
              <w:t>城乡社区支出</w:t>
            </w:r>
          </w:p>
        </w:tc>
        <w:tc>
          <w:tcPr>
            <w:tcW w:w="1351" w:type="dxa"/>
            <w:vAlign w:val="center"/>
          </w:tcPr>
          <w:p>
            <w:pPr>
              <w:pageBreakBefore w:val="0"/>
              <w:spacing w:line="240" w:lineRule="auto"/>
              <w:jc w:val="right"/>
              <w:textAlignment w:val="auto"/>
            </w:pPr>
            <w:r>
              <w:rPr>
                <w:rFonts w:ascii="宋体" w:eastAsia="宋体" w:hAnsi="宋体" w:cs="宋体"/>
                <w:b/>
                <w:i w:val="0"/>
                <w:strike w:val="0"/>
                <w:color w:val="000000"/>
                <w:position w:val="-1"/>
                <w:sz w:val="18"/>
                <w:u w:val="none"/>
              </w:rPr>
              <w:t>0.00</w:t>
            </w:r>
          </w:p>
        </w:tc>
        <w:tc>
          <w:tcPr>
            <w:tcW w:w="1351" w:type="dxa"/>
            <w:vAlign w:val="center"/>
          </w:tcPr>
          <w:p>
            <w:pPr>
              <w:pageBreakBefore w:val="0"/>
              <w:spacing w:line="240" w:lineRule="auto"/>
              <w:jc w:val="right"/>
              <w:textAlignment w:val="auto"/>
            </w:pPr>
            <w:r>
              <w:rPr>
                <w:rFonts w:ascii="宋体" w:eastAsia="宋体" w:hAnsi="宋体" w:cs="宋体"/>
                <w:b/>
                <w:i w:val="0"/>
                <w:strike w:val="0"/>
                <w:color w:val="000000"/>
                <w:position w:val="-1"/>
                <w:sz w:val="18"/>
                <w:u w:val="none"/>
              </w:rPr>
              <w:t>100.00</w:t>
            </w:r>
          </w:p>
        </w:tc>
        <w:tc>
          <w:tcPr>
            <w:tcW w:w="1351" w:type="dxa"/>
            <w:vAlign w:val="center"/>
          </w:tcPr>
          <w:p>
            <w:pPr>
              <w:pageBreakBefore w:val="0"/>
              <w:spacing w:line="240" w:lineRule="auto"/>
              <w:jc w:val="right"/>
              <w:textAlignment w:val="auto"/>
            </w:pPr>
            <w:r>
              <w:rPr>
                <w:rFonts w:ascii="宋体" w:eastAsia="宋体" w:hAnsi="宋体" w:cs="宋体"/>
                <w:b/>
                <w:i w:val="0"/>
                <w:strike w:val="0"/>
                <w:color w:val="000000"/>
                <w:position w:val="-1"/>
                <w:sz w:val="18"/>
                <w:u w:val="none"/>
              </w:rPr>
              <w:t>100.00</w:t>
            </w:r>
          </w:p>
        </w:tc>
        <w:tc>
          <w:tcPr>
            <w:tcW w:w="1351" w:type="dxa"/>
            <w:vAlign w:val="center"/>
          </w:tcPr>
          <w:p>
            <w:pPr>
              <w:pageBreakBefore w:val="0"/>
              <w:spacing w:line="240" w:lineRule="auto"/>
              <w:jc w:val="right"/>
              <w:textAlignment w:val="auto"/>
            </w:pPr>
            <w:r>
              <w:rPr>
                <w:rFonts w:ascii="宋体" w:eastAsia="宋体" w:hAnsi="宋体" w:cs="宋体"/>
                <w:b/>
                <w:i w:val="0"/>
                <w:strike w:val="0"/>
                <w:color w:val="000000"/>
                <w:position w:val="-1"/>
                <w:sz w:val="18"/>
                <w:u w:val="none"/>
              </w:rPr>
              <w:t>0.00</w:t>
            </w:r>
          </w:p>
        </w:tc>
        <w:tc>
          <w:tcPr>
            <w:tcW w:w="1351" w:type="dxa"/>
            <w:vAlign w:val="center"/>
          </w:tcPr>
          <w:p>
            <w:pPr>
              <w:pageBreakBefore w:val="0"/>
              <w:spacing w:line="240" w:lineRule="auto"/>
              <w:jc w:val="right"/>
              <w:textAlignment w:val="auto"/>
            </w:pPr>
            <w:r>
              <w:rPr>
                <w:rFonts w:ascii="宋体" w:eastAsia="宋体" w:hAnsi="宋体" w:cs="宋体"/>
                <w:b/>
                <w:i w:val="0"/>
                <w:strike w:val="0"/>
                <w:color w:val="000000"/>
                <w:position w:val="-1"/>
                <w:sz w:val="18"/>
                <w:u w:val="none"/>
              </w:rPr>
              <w:t>100.00</w:t>
            </w:r>
          </w:p>
        </w:tc>
        <w:tc>
          <w:tcPr>
            <w:tcW w:w="1351" w:type="dxa"/>
            <w:vAlign w:val="center"/>
          </w:tcPr>
          <w:p>
            <w:pPr>
              <w:pageBreakBefore w:val="0"/>
              <w:spacing w:line="240" w:lineRule="auto"/>
              <w:jc w:val="right"/>
              <w:textAlignment w:val="auto"/>
            </w:pPr>
            <w:r>
              <w:rPr>
                <w:rFonts w:ascii="宋体" w:eastAsia="宋体" w:hAnsi="宋体" w:cs="宋体"/>
                <w:b/>
                <w:i w:val="0"/>
                <w:strike w:val="0"/>
                <w:color w:val="000000"/>
                <w:position w:val="-1"/>
                <w:sz w:val="18"/>
                <w:u w:val="none"/>
              </w:rPr>
              <w:t>0.00</w:t>
            </w:r>
          </w:p>
        </w:tc>
      </w:tr>
      <w:tr>
        <w:tblPrEx>
          <w:tblW w:w="0" w:type="auto"/>
          <w:tblLook w:val="04A0"/>
        </w:tblPrEx>
        <w:tc>
          <w:tcPr>
            <w:tcW w:w="1644" w:type="dxa"/>
            <w:vAlign w:val="center"/>
          </w:tcPr>
          <w:p>
            <w:pPr>
              <w:pageBreakBefore w:val="0"/>
              <w:spacing w:line="240" w:lineRule="auto"/>
              <w:jc w:val="left"/>
              <w:textAlignment w:val="auto"/>
            </w:pPr>
            <w:r>
              <w:rPr>
                <w:rFonts w:ascii="宋体" w:eastAsia="宋体" w:hAnsi="宋体" w:cs="宋体"/>
                <w:b w:val="0"/>
                <w:i w:val="0"/>
                <w:strike w:val="0"/>
                <w:color w:val="000000"/>
                <w:position w:val="-1"/>
                <w:sz w:val="18"/>
                <w:u w:val="none"/>
              </w:rPr>
              <w:t>21208</w:t>
            </w:r>
          </w:p>
        </w:tc>
        <w:tc>
          <w:tcPr>
            <w:tcW w:w="3759" w:type="dxa"/>
            <w:vAlign w:val="center"/>
          </w:tcPr>
          <w:p>
            <w:pPr>
              <w:pageBreakBefore w:val="0"/>
              <w:spacing w:line="240" w:lineRule="auto"/>
              <w:jc w:val="left"/>
              <w:textAlignment w:val="auto"/>
            </w:pPr>
            <w:r>
              <w:rPr>
                <w:rFonts w:ascii="宋体" w:eastAsia="宋体" w:hAnsi="宋体" w:cs="宋体"/>
                <w:b w:val="0"/>
                <w:i w:val="0"/>
                <w:strike w:val="0"/>
                <w:color w:val="000000"/>
                <w:position w:val="-1"/>
                <w:sz w:val="18"/>
                <w:u w:val="none"/>
              </w:rPr>
              <w:t>国有土地使用权出让收入安排的支出</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0.00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100.00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100.00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0.00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100.00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0.00</w:t>
            </w:r>
          </w:p>
        </w:tc>
      </w:tr>
      <w:tr>
        <w:tblPrEx>
          <w:tblW w:w="0" w:type="auto"/>
          <w:tblLook w:val="04A0"/>
        </w:tblPrEx>
        <w:tc>
          <w:tcPr>
            <w:tcW w:w="1644" w:type="dxa"/>
            <w:vAlign w:val="center"/>
          </w:tcPr>
          <w:p>
            <w:pPr>
              <w:pageBreakBefore w:val="0"/>
              <w:spacing w:line="240" w:lineRule="auto"/>
              <w:jc w:val="left"/>
              <w:textAlignment w:val="auto"/>
            </w:pPr>
            <w:r>
              <w:rPr>
                <w:rFonts w:ascii="宋体" w:eastAsia="宋体" w:hAnsi="宋体" w:cs="宋体"/>
                <w:b w:val="0"/>
                <w:i w:val="0"/>
                <w:strike w:val="0"/>
                <w:color w:val="000000"/>
                <w:position w:val="-1"/>
                <w:sz w:val="18"/>
                <w:u w:val="none"/>
              </w:rPr>
              <w:t>2120804</w:t>
            </w:r>
          </w:p>
        </w:tc>
        <w:tc>
          <w:tcPr>
            <w:tcW w:w="3759" w:type="dxa"/>
            <w:vAlign w:val="center"/>
          </w:tcPr>
          <w:p>
            <w:pPr>
              <w:pageBreakBefore w:val="0"/>
              <w:spacing w:line="240" w:lineRule="auto"/>
              <w:jc w:val="left"/>
              <w:textAlignment w:val="auto"/>
            </w:pPr>
            <w:r>
              <w:rPr>
                <w:rFonts w:ascii="宋体" w:eastAsia="宋体" w:hAnsi="宋体" w:cs="宋体"/>
                <w:b w:val="0"/>
                <w:i w:val="0"/>
                <w:strike w:val="0"/>
                <w:color w:val="000000"/>
                <w:position w:val="-1"/>
                <w:sz w:val="18"/>
                <w:u w:val="none"/>
              </w:rPr>
              <w:t>农村基础设施建设支出</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0.00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100.00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100.00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0.00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100.00</w:t>
            </w:r>
          </w:p>
        </w:tc>
        <w:tc>
          <w:tcPr>
            <w:tcW w:w="1351" w:type="dxa"/>
            <w:vAlign w:val="center"/>
          </w:tcPr>
          <w:p>
            <w:pPr>
              <w:pageBreakBefore w:val="0"/>
              <w:spacing w:line="240" w:lineRule="auto"/>
              <w:jc w:val="right"/>
              <w:textAlignment w:val="auto"/>
            </w:pPr>
            <w:r>
              <w:rPr>
                <w:rFonts w:ascii="宋体" w:eastAsia="宋体" w:hAnsi="宋体" w:cs="宋体"/>
                <w:b w:val="0"/>
                <w:i w:val="0"/>
                <w:strike w:val="0"/>
                <w:color w:val="000000"/>
                <w:position w:val="-1"/>
                <w:sz w:val="18"/>
                <w:u w:val="none"/>
              </w:rPr>
              <w:t>0.00</w:t>
            </w:r>
          </w:p>
        </w:tc>
      </w:tr>
    </w:tbl>
    <w:p w:rsidR="00B2512C" w14:paraId="45902EDC" w14:textId="77777777">
      <w:pPr>
        <w:widowControl/>
        <w:spacing w:line="240" w:lineRule="auto"/>
        <w:jc w:val="left"/>
        <w:rPr>
          <w:rFonts w:ascii="宋体" w:eastAsia="宋体" w:hAnsi="宋体" w:cs="宋体" w:hint="eastAsia"/>
          <w:kern w:val="0"/>
          <w:sz w:val="24"/>
          <w:szCs w:val="24"/>
        </w:rPr>
      </w:pPr>
      <w:r>
        <w:rPr>
          <w:rFonts w:ascii="宋体" w:eastAsia="宋体" w:hAnsi="宋体" w:cs="宋体" w:hint="eastAsia"/>
          <w:kern w:val="0"/>
          <w:sz w:val="24"/>
          <w:szCs w:val="24"/>
        </w:rPr>
        <w:t>注：1.本表反映部门本年度政府性基金预算财政拨款收入、支出及结转和结余情况。</w:t>
      </w:r>
    </w:p>
    <w:p w:rsidR="00B2512C" w14:paraId="476283A4" w14:textId="77777777">
      <w:pPr>
        <w:widowControl/>
        <w:spacing w:line="240" w:lineRule="auto"/>
        <w:ind w:firstLine="480" w:firstLineChars="200"/>
        <w:rPr>
          <w:rFonts w:ascii="宋体" w:eastAsia="宋体" w:hAnsi="宋体" w:cs="宋体" w:hint="eastAsia"/>
          <w:kern w:val="0"/>
          <w:sz w:val="24"/>
          <w:szCs w:val="24"/>
        </w:rPr>
      </w:pPr>
      <w:r>
        <w:rPr>
          <w:rFonts w:ascii="宋体" w:eastAsia="宋体" w:hAnsi="宋体" w:cs="宋体" w:hint="eastAsia"/>
          <w:kern w:val="0"/>
          <w:sz w:val="24"/>
          <w:szCs w:val="24"/>
        </w:rPr>
        <w:t xml:space="preserve"> </w:t>
      </w:r>
    </w:p>
    <w:p w:rsidR="00B2512C" w14:paraId="2960FCA0" w14:textId="77777777">
      <w:pPr>
        <w:ind w:firstLine="480" w:firstLineChars="200"/>
        <w:jc w:val="center"/>
        <w:rPr>
          <w:rFonts w:ascii="Times New Roman" w:hAnsi="Times New Roman" w:cs="Times New Roman"/>
          <w:color w:val="000000"/>
          <w:kern w:val="0"/>
          <w:sz w:val="24"/>
          <w:szCs w:val="24"/>
        </w:rPr>
        <w:sectPr>
          <w:pgSz w:w="16838" w:h="11906" w:orient="landscape"/>
          <w:pgMar w:top="567" w:right="1702" w:bottom="567" w:left="1843" w:header="851" w:footer="992" w:gutter="0"/>
          <w:cols w:space="425"/>
          <w:docGrid w:type="lines" w:linePitch="312"/>
        </w:sectPr>
      </w:pPr>
    </w:p>
    <w:p w:rsidR="00B2512C" w14:paraId="08C85BFF" w14:textId="77777777">
      <w:pPr>
        <w:pStyle w:val="Heading2"/>
        <w:spacing w:before="0" w:after="0"/>
      </w:pPr>
      <w:bookmarkStart w:id="26" w:name="_Toc5749"/>
      <w:bookmarkStart w:id="27" w:name="_Toc141520075"/>
      <w:r>
        <w:rPr>
          <w:rFonts w:hint="eastAsia"/>
        </w:rPr>
        <w:t>九、国有资本经营预算财政拨款支出决算表</w:t>
      </w:r>
      <w:bookmarkEnd w:id="26"/>
      <w:bookmarkEnd w:id="27"/>
    </w:p>
    <w:p w:rsidR="00B2512C" w14:paraId="097DFF43" w14:textId="77777777">
      <w:pPr>
        <w:widowControl/>
        <w:spacing w:line="240" w:lineRule="auto"/>
        <w:jc w:val="center"/>
        <w:rPr>
          <w:rFonts w:ascii="黑体" w:eastAsia="黑体" w:hAnsi="宋体" w:cs="黑体" w:hint="eastAsia"/>
          <w:color w:val="000000"/>
          <w:kern w:val="0"/>
          <w:sz w:val="36"/>
          <w:szCs w:val="36"/>
          <w:lang w:bidi="ar"/>
        </w:rPr>
      </w:pPr>
      <w:bookmarkStart w:id="28" w:name="_Toc29178"/>
      <w:bookmarkStart w:id="29" w:name="_Toc12795"/>
      <w:r>
        <w:rPr>
          <w:rFonts w:ascii="黑体" w:eastAsia="黑体" w:hAnsi="宋体" w:cs="黑体" w:hint="eastAsia"/>
          <w:color w:val="000000"/>
          <w:kern w:val="0"/>
          <w:sz w:val="36"/>
          <w:szCs w:val="36"/>
          <w:lang w:bidi="ar"/>
        </w:rPr>
        <w:t>国有资本经营预算财政拨款支出决算表</w:t>
      </w:r>
      <w:bookmarkEnd w:id="28"/>
      <w:bookmarkEnd w:id="29"/>
    </w:p>
    <w:p w:rsidR="00CD1F5A" w:rsidRPr="00642AEC" w:rsidP="00642AEC" w14:paraId="41B6549A" w14:textId="77777777">
      <w:pPr>
        <w:widowControl/>
        <w:spacing w:line="240" w:lineRule="auto"/>
        <w:jc w:val="right"/>
        <w:rPr>
          <w:rFonts w:ascii="宋体" w:eastAsia="宋体" w:hAnsi="宋体" w:cs="宋体" w:hint="eastAsia"/>
          <w:color w:val="000000"/>
          <w:kern w:val="0"/>
          <w:sz w:val="20"/>
          <w:szCs w:val="20"/>
        </w:rPr>
      </w:pPr>
      <w:r>
        <w:rPr>
          <w:rFonts w:ascii="宋体" w:eastAsia="宋体" w:hAnsi="宋体" w:cs="宋体" w:hint="eastAsia"/>
          <w:color w:val="000000"/>
          <w:kern w:val="0"/>
          <w:sz w:val="20"/>
          <w:szCs w:val="20"/>
        </w:rPr>
        <w:t>公开09表</w:t>
      </w:r>
    </w:p>
    <w:tbl>
      <w:tblPr>
        <w:tblStyle w:val="TableGrid"/>
        <w:tblW w:w="0" w:type="auto"/>
        <w:tblLayout w:type="fixed"/>
        <w:tblLook w:val="04A0"/>
      </w:tblPr>
      <w:tblGrid>
        <w:gridCol w:w="1242"/>
        <w:gridCol w:w="2840"/>
        <w:gridCol w:w="1413"/>
        <w:gridCol w:w="1559"/>
        <w:gridCol w:w="1666"/>
      </w:tblGrid>
      <w:tr w14:paraId="190C56A2" w14:textId="77777777" w:rsidTr="007862B0">
        <w:tblPrEx>
          <w:tblW w:w="0" w:type="auto"/>
          <w:tblLayout w:type="fixed"/>
          <w:tblLook w:val="04A0"/>
        </w:tblPrEx>
        <w:trPr>
          <w:trHeight w:val="324"/>
        </w:trPr>
        <w:tc>
          <w:tcPr>
            <w:tcW w:w="5495" w:type="dxa"/>
            <w:gridSpan w:val="3"/>
            <w:tcBorders>
              <w:top w:val="nil"/>
              <w:left w:val="nil"/>
              <w:right w:val="nil"/>
            </w:tcBorders>
          </w:tcPr>
          <w:p w:rsidR="00CD1F5A" w14:paraId="0AD878AE" w14:textId="77777777">
            <w:pPr>
              <w:widowControl/>
              <w:spacing w:line="240" w:lineRule="auto"/>
              <w:jc w:val="left"/>
              <w:rPr>
                <w:rFonts w:ascii="宋体" w:eastAsia="宋体" w:hAnsi="宋体" w:cs="宋体" w:hint="eastAsia"/>
                <w:kern w:val="0"/>
                <w:sz w:val="24"/>
                <w:szCs w:val="24"/>
              </w:rPr>
            </w:pPr>
            <w:r>
              <w:rPr>
                <w:rFonts w:ascii="宋体" w:eastAsia="宋体" w:hAnsi="宋体" w:cs="Arial"/>
                <w:sz w:val="20"/>
                <w:szCs w:val="20"/>
              </w:rPr>
              <w:t>部门：南安市林业局</w:t>
            </w:r>
          </w:p>
        </w:tc>
        <w:tc>
          <w:tcPr>
            <w:tcW w:w="3225" w:type="dxa"/>
            <w:gridSpan w:val="2"/>
            <w:tcBorders>
              <w:top w:val="nil"/>
              <w:left w:val="nil"/>
              <w:right w:val="nil"/>
            </w:tcBorders>
          </w:tcPr>
          <w:p w:rsidR="00CD1F5A" w:rsidP="00CD1F5A" w14:paraId="2D9A71CB" w14:textId="77777777">
            <w:pPr>
              <w:widowControl/>
              <w:spacing w:line="240" w:lineRule="auto"/>
              <w:jc w:val="right"/>
              <w:rPr>
                <w:rFonts w:ascii="宋体" w:eastAsia="宋体" w:hAnsi="宋体" w:cs="宋体" w:hint="eastAsia"/>
                <w:kern w:val="0"/>
                <w:sz w:val="24"/>
                <w:szCs w:val="24"/>
              </w:rPr>
            </w:pPr>
            <w:r>
              <w:rPr>
                <w:rFonts w:ascii="宋体" w:eastAsia="宋体" w:hAnsi="宋体" w:cs="宋体" w:hint="eastAsia"/>
                <w:sz w:val="20"/>
                <w:szCs w:val="20"/>
              </w:rPr>
              <w:t>单位：万元</w:t>
            </w:r>
          </w:p>
        </w:tc>
      </w:tr>
      <w:tr w14:paraId="3FAAF37B" w14:textId="77777777" w:rsidTr="007862B0">
        <w:tblPrEx>
          <w:tblW w:w="0" w:type="auto"/>
          <w:tblLayout w:type="fixed"/>
          <w:tblLook w:val="04A0"/>
        </w:tblPrEx>
        <w:trPr>
          <w:trHeight w:val="562"/>
        </w:trPr>
        <w:tc>
          <w:tcPr>
            <w:tcW w:w="4082" w:type="dxa"/>
            <w:gridSpan w:val="2"/>
            <w:vAlign w:val="center"/>
          </w:tcPr>
          <w:p w:rsidR="00CD1F5A" w:rsidP="00CD1F5A" w14:paraId="09644F2F"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 xml:space="preserve">项 </w:t>
            </w:r>
            <w:r>
              <w:rPr>
                <w:rStyle w:val="font51"/>
                <w:rFonts w:hint="default"/>
                <w:sz w:val="22"/>
                <w:szCs w:val="22"/>
                <w:lang w:bidi="ar"/>
              </w:rPr>
              <w:t xml:space="preserve">  目</w:t>
            </w:r>
          </w:p>
        </w:tc>
        <w:tc>
          <w:tcPr>
            <w:tcW w:w="4638" w:type="dxa"/>
            <w:gridSpan w:val="3"/>
            <w:vAlign w:val="center"/>
          </w:tcPr>
          <w:p w:rsidR="00CD1F5A" w:rsidP="00CD1F5A" w14:paraId="683E78BE"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本年支出</w:t>
            </w:r>
          </w:p>
        </w:tc>
      </w:tr>
      <w:tr w14:paraId="2D7AD997" w14:textId="77777777" w:rsidTr="007862B0">
        <w:tblPrEx>
          <w:tblW w:w="0" w:type="auto"/>
          <w:tblLayout w:type="fixed"/>
          <w:tblLook w:val="04A0"/>
        </w:tblPrEx>
        <w:trPr>
          <w:trHeight w:val="554"/>
        </w:trPr>
        <w:tc>
          <w:tcPr>
            <w:tcW w:w="1242" w:type="dxa"/>
            <w:vAlign w:val="center"/>
          </w:tcPr>
          <w:p w:rsidR="00CD1F5A" w:rsidP="00CD1F5A" w14:paraId="1C4B8316"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功能分类科目编码</w:t>
            </w:r>
          </w:p>
        </w:tc>
        <w:tc>
          <w:tcPr>
            <w:tcW w:w="2840" w:type="dxa"/>
            <w:vAlign w:val="center"/>
          </w:tcPr>
          <w:p w:rsidR="00CD1F5A" w:rsidP="00CD1F5A" w14:paraId="17F0AED3"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科目名称</w:t>
            </w:r>
          </w:p>
        </w:tc>
        <w:tc>
          <w:tcPr>
            <w:tcW w:w="1413" w:type="dxa"/>
            <w:vAlign w:val="center"/>
          </w:tcPr>
          <w:p w:rsidR="00CD1F5A" w:rsidP="00CD1F5A" w14:paraId="076F813D"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rPr>
              <w:t>合计</w:t>
            </w:r>
          </w:p>
        </w:tc>
        <w:tc>
          <w:tcPr>
            <w:tcW w:w="1559" w:type="dxa"/>
            <w:vAlign w:val="center"/>
          </w:tcPr>
          <w:p w:rsidR="00CD1F5A" w:rsidP="00CD1F5A" w14:paraId="5BBDB78F"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基本支出</w:t>
            </w:r>
          </w:p>
        </w:tc>
        <w:tc>
          <w:tcPr>
            <w:tcW w:w="1666" w:type="dxa"/>
            <w:vAlign w:val="center"/>
          </w:tcPr>
          <w:p w:rsidR="00CD1F5A" w:rsidP="00CD1F5A" w14:paraId="1837BDD9"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lang w:bidi="ar"/>
              </w:rPr>
              <w:t>项目支出</w:t>
            </w:r>
          </w:p>
        </w:tc>
      </w:tr>
      <w:tr w14:paraId="4721A3C7" w14:textId="77777777" w:rsidTr="007862B0">
        <w:tblPrEx>
          <w:tblW w:w="0" w:type="auto"/>
          <w:tblLayout w:type="fixed"/>
          <w:tblLook w:val="04A0"/>
        </w:tblPrEx>
        <w:trPr>
          <w:trHeight w:val="548"/>
        </w:trPr>
        <w:tc>
          <w:tcPr>
            <w:tcW w:w="4082" w:type="dxa"/>
            <w:gridSpan w:val="2"/>
            <w:vAlign w:val="center"/>
          </w:tcPr>
          <w:p w:rsidR="00CD1F5A" w:rsidP="00CD1F5A" w14:paraId="5CFA52B1"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22"/>
              </w:rPr>
              <w:t>栏次</w:t>
            </w:r>
          </w:p>
        </w:tc>
        <w:tc>
          <w:tcPr>
            <w:tcW w:w="1413" w:type="dxa"/>
            <w:vAlign w:val="center"/>
          </w:tcPr>
          <w:p w:rsidR="00CD1F5A" w:rsidP="00CD1F5A" w14:paraId="0A432C2B"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rPr>
              <w:t>1</w:t>
            </w:r>
          </w:p>
        </w:tc>
        <w:tc>
          <w:tcPr>
            <w:tcW w:w="1559" w:type="dxa"/>
            <w:vAlign w:val="center"/>
          </w:tcPr>
          <w:p w:rsidR="00CD1F5A" w:rsidP="00CD1F5A" w14:paraId="4E021542"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rPr>
              <w:t>2</w:t>
            </w:r>
          </w:p>
        </w:tc>
        <w:tc>
          <w:tcPr>
            <w:tcW w:w="1666" w:type="dxa"/>
            <w:vAlign w:val="center"/>
          </w:tcPr>
          <w:p w:rsidR="00CD1F5A" w:rsidP="00CD1F5A" w14:paraId="40F66230"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rPr>
              <w:t>3</w:t>
            </w:r>
          </w:p>
        </w:tc>
      </w:tr>
      <w:tr w14:paraId="106D4B80" w14:textId="77777777" w:rsidTr="007862B0">
        <w:tblPrEx>
          <w:tblW w:w="0" w:type="auto"/>
          <w:tblLayout w:type="fixed"/>
          <w:tblLook w:val="04A0"/>
        </w:tblPrEx>
        <w:trPr>
          <w:trHeight w:val="570"/>
        </w:trPr>
        <w:tc>
          <w:tcPr>
            <w:tcW w:w="4082" w:type="dxa"/>
            <w:gridSpan w:val="2"/>
            <w:vAlign w:val="center"/>
          </w:tcPr>
          <w:p w:rsidR="00642AEC" w:rsidP="00642AEC" w14:paraId="7094E90C" w14:textId="77777777">
            <w:pPr>
              <w:widowControl/>
              <w:spacing w:line="240" w:lineRule="auto"/>
              <w:jc w:val="center"/>
              <w:rPr>
                <w:rFonts w:ascii="宋体" w:eastAsia="宋体" w:hAnsi="宋体" w:cs="宋体" w:hint="eastAsia"/>
                <w:kern w:val="0"/>
                <w:sz w:val="24"/>
                <w:szCs w:val="24"/>
              </w:rPr>
            </w:pPr>
            <w:r>
              <w:rPr>
                <w:rFonts w:ascii="宋体" w:eastAsia="宋体" w:hAnsi="宋体" w:cs="宋体" w:hint="eastAsia"/>
                <w:sz w:val="18"/>
                <w:szCs w:val="18"/>
                <w:lang w:bidi="ar"/>
              </w:rPr>
              <w:t>合计</w:t>
            </w:r>
          </w:p>
        </w:tc>
        <w:tc>
          <w:tcPr>
            <w:tcW w:w="1413" w:type="dxa"/>
            <w:vAlign w:val="center"/>
          </w:tcPr>
          <w:p w:rsidR="00642AEC" w:rsidP="00642AEC" w14:paraId="1BBD76CF" w14:textId="77777777">
            <w:pPr>
              <w:widowControl/>
              <w:spacing w:line="240" w:lineRule="auto"/>
              <w:jc w:val="right"/>
              <w:rPr>
                <w:rFonts w:ascii="宋体" w:eastAsia="宋体" w:hAnsi="宋体" w:cs="宋体" w:hint="eastAsia"/>
                <w:kern w:val="0"/>
                <w:sz w:val="24"/>
                <w:szCs w:val="24"/>
              </w:rPr>
            </w:pPr>
            <w:r>
              <w:rPr>
                <w:rFonts w:ascii="宋体" w:eastAsia="宋体" w:hAnsi="宋体" w:cs="宋体"/>
              </w:rPr>
              <w:t>0.00</w:t>
            </w:r>
          </w:p>
        </w:tc>
        <w:tc>
          <w:tcPr>
            <w:tcW w:w="1559" w:type="dxa"/>
            <w:vAlign w:val="center"/>
          </w:tcPr>
          <w:p w:rsidR="00642AEC" w:rsidP="00642AEC" w14:paraId="4E83AA02" w14:textId="77777777">
            <w:pPr>
              <w:widowControl/>
              <w:spacing w:line="240" w:lineRule="auto"/>
              <w:jc w:val="right"/>
              <w:rPr>
                <w:rFonts w:ascii="宋体" w:eastAsia="宋体" w:hAnsi="宋体" w:cs="宋体" w:hint="eastAsia"/>
                <w:kern w:val="0"/>
                <w:sz w:val="24"/>
                <w:szCs w:val="24"/>
              </w:rPr>
            </w:pPr>
            <w:r>
              <w:rPr>
                <w:rFonts w:ascii="宋体" w:eastAsia="宋体" w:hAnsi="宋体" w:cs="宋体"/>
              </w:rPr>
              <w:t>0.00</w:t>
            </w:r>
          </w:p>
        </w:tc>
        <w:tc>
          <w:tcPr>
            <w:tcW w:w="1666" w:type="dxa"/>
            <w:vAlign w:val="center"/>
          </w:tcPr>
          <w:p w:rsidR="00642AEC" w:rsidP="00642AEC" w14:paraId="2C1DDB28" w14:textId="77777777">
            <w:pPr>
              <w:widowControl/>
              <w:spacing w:line="240" w:lineRule="auto"/>
              <w:jc w:val="right"/>
              <w:rPr>
                <w:rFonts w:ascii="宋体" w:eastAsia="宋体" w:hAnsi="宋体" w:cs="宋体" w:hint="eastAsia"/>
                <w:kern w:val="0"/>
                <w:sz w:val="24"/>
                <w:szCs w:val="24"/>
              </w:rPr>
            </w:pPr>
            <w:r>
              <w:rPr>
                <w:rFonts w:ascii="宋体" w:eastAsia="宋体" w:hAnsi="宋体" w:cs="宋体"/>
              </w:rPr>
              <w:t>0.00</w:t>
            </w:r>
          </w:p>
        </w:tc>
      </w:tr>
    </w:tbl>
    <w:p w:rsidR="00CD1F5A" w14:paraId="37D1FB91" w14:textId="77777777">
      <w:pPr>
        <w:widowControl/>
        <w:spacing w:line="240" w:lineRule="auto"/>
        <w:jc w:val="left"/>
        <w:rPr>
          <w:rFonts w:ascii="宋体" w:eastAsia="宋体" w:hAnsi="宋体" w:cs="宋体" w:hint="eastAsia"/>
          <w:kern w:val="0"/>
          <w:sz w:val="24"/>
          <w:szCs w:val="24"/>
        </w:rPr>
      </w:pPr>
    </w:p>
    <w:p w:rsidR="00B2512C" w14:paraId="0DACBC7A" w14:textId="77777777">
      <w:pPr>
        <w:widowControl/>
        <w:spacing w:line="240" w:lineRule="auto"/>
        <w:jc w:val="left"/>
        <w:rPr>
          <w:rFonts w:ascii="宋体" w:eastAsia="宋体" w:hAnsi="宋体" w:cs="宋体" w:hint="eastAsia"/>
          <w:kern w:val="0"/>
          <w:sz w:val="24"/>
          <w:szCs w:val="24"/>
        </w:rPr>
      </w:pPr>
      <w:r>
        <w:rPr>
          <w:rFonts w:ascii="宋体" w:eastAsia="宋体" w:hAnsi="宋体" w:cs="宋体" w:hint="eastAsia"/>
          <w:kern w:val="0"/>
          <w:sz w:val="24"/>
          <w:szCs w:val="24"/>
        </w:rPr>
        <w:t>注：1.本表反映部门本年度国有资本经营预算财政拨款支出情况。</w:t>
      </w:r>
    </w:p>
    <w:p w:rsidR="00B2512C" w14:paraId="36C73CC8" w14:textId="77777777">
      <w:pPr>
        <w:widowControl/>
        <w:spacing w:line="240" w:lineRule="auto"/>
        <w:ind w:firstLine="480" w:firstLineChars="200"/>
        <w:rPr>
          <w:rFonts w:ascii="宋体" w:eastAsia="宋体" w:hAnsi="宋体" w:cs="宋体" w:hint="eastAsia"/>
          <w:kern w:val="0"/>
          <w:sz w:val="24"/>
          <w:szCs w:val="24"/>
        </w:rPr>
      </w:pPr>
      <w:r>
        <w:rPr>
          <w:rFonts w:ascii="宋体" w:eastAsia="宋体" w:hAnsi="宋体" w:cs="宋体" w:hint="eastAsia"/>
          <w:kern w:val="0"/>
          <w:sz w:val="24"/>
          <w:szCs w:val="24"/>
        </w:rPr>
        <w:t>2.本部门2025年度没有使用国有资本经营预算财政拨款安排的支出。</w:t>
      </w:r>
    </w:p>
    <w:p w:rsidR="00B2512C" w14:paraId="1473A1CC" w14:textId="77777777">
      <w:pPr>
        <w:widowControl/>
        <w:spacing w:line="240" w:lineRule="auto"/>
        <w:jc w:val="left"/>
        <w:rPr>
          <w:rFonts w:ascii="宋体" w:eastAsia="宋体" w:hAnsi="宋体" w:cs="宋体" w:hint="eastAsia"/>
          <w:kern w:val="0"/>
          <w:sz w:val="24"/>
          <w:szCs w:val="24"/>
        </w:rPr>
      </w:pPr>
      <w:r>
        <w:rPr>
          <w:rFonts w:ascii="宋体" w:eastAsia="宋体" w:hAnsi="宋体" w:cs="宋体"/>
          <w:kern w:val="0"/>
          <w:sz w:val="24"/>
          <w:szCs w:val="24"/>
        </w:rPr>
        <w:br w:type="page"/>
      </w:r>
    </w:p>
    <w:p w:rsidR="00380D33" w14:paraId="3312BA1F" w14:textId="77777777">
      <w:pPr>
        <w:pStyle w:val="Heading1"/>
        <w:rPr>
          <w:rFonts w:ascii="黑体" w:hAnsi="黑体" w:hint="eastAsia"/>
          <w:sz w:val="56"/>
          <w:szCs w:val="56"/>
        </w:rPr>
      </w:pPr>
      <w:bookmarkStart w:id="30" w:name="_Toc17666"/>
      <w:bookmarkStart w:id="31" w:name="_Toc141520076"/>
    </w:p>
    <w:p w:rsidR="00380D33" w14:paraId="707AF4C6" w14:textId="77777777">
      <w:pPr>
        <w:pStyle w:val="Heading1"/>
        <w:rPr>
          <w:rFonts w:ascii="黑体" w:hAnsi="黑体" w:hint="eastAsia"/>
          <w:sz w:val="56"/>
          <w:szCs w:val="56"/>
        </w:rPr>
      </w:pPr>
    </w:p>
    <w:p w:rsidR="00380D33" w14:paraId="380D5501" w14:textId="77777777">
      <w:pPr>
        <w:pStyle w:val="Heading1"/>
        <w:rPr>
          <w:rFonts w:ascii="黑体" w:hAnsi="黑体" w:hint="eastAsia"/>
          <w:sz w:val="56"/>
          <w:szCs w:val="56"/>
        </w:rPr>
      </w:pPr>
    </w:p>
    <w:p w:rsidR="00380D33" w14:paraId="7282D19D" w14:textId="77777777">
      <w:pPr>
        <w:pStyle w:val="Heading1"/>
        <w:rPr>
          <w:rFonts w:ascii="黑体" w:hAnsi="黑体" w:hint="eastAsia"/>
          <w:sz w:val="56"/>
          <w:szCs w:val="56"/>
        </w:rPr>
      </w:pPr>
    </w:p>
    <w:p w:rsidR="00380D33" w14:paraId="1FB07477" w14:textId="77777777">
      <w:pPr>
        <w:pStyle w:val="Heading1"/>
        <w:rPr>
          <w:rFonts w:ascii="黑体" w:hAnsi="黑体" w:hint="eastAsia"/>
          <w:sz w:val="56"/>
          <w:szCs w:val="56"/>
        </w:rPr>
      </w:pPr>
    </w:p>
    <w:p w:rsidR="00380D33" w:rsidRPr="00380D33" w:rsidP="00380D33" w14:paraId="4F70B998" w14:textId="77777777">
      <w:pPr>
        <w:pStyle w:val="Heading1"/>
        <w:jc w:val="left"/>
        <w:rPr>
          <w:rFonts w:ascii="黑体" w:hAnsi="黑体" w:hint="eastAsia"/>
          <w:sz w:val="56"/>
          <w:szCs w:val="56"/>
        </w:rPr>
      </w:pPr>
      <w:r w:rsidRPr="00380D33">
        <w:rPr>
          <w:rFonts w:ascii="黑体" w:hAnsi="黑体" w:hint="eastAsia"/>
          <w:sz w:val="56"/>
          <w:szCs w:val="56"/>
        </w:rPr>
        <w:t xml:space="preserve">第三部分 </w:t>
      </w:r>
    </w:p>
    <w:p w:rsidR="00380D33" w:rsidRPr="00380D33" w14:paraId="328CD72F" w14:textId="77777777">
      <w:pPr>
        <w:pStyle w:val="Heading1"/>
        <w:rPr>
          <w:rFonts w:ascii="黑体" w:hAnsi="黑体" w:hint="eastAsia"/>
          <w:sz w:val="56"/>
          <w:szCs w:val="56"/>
        </w:rPr>
      </w:pPr>
      <w:r w:rsidRPr="00380D33">
        <w:rPr>
          <w:rFonts w:ascii="黑体" w:hAnsi="黑体" w:hint="eastAsia"/>
          <w:sz w:val="56"/>
          <w:szCs w:val="56"/>
        </w:rPr>
        <w:t>2025年度部门决算情况说明</w:t>
      </w:r>
      <w:bookmarkEnd w:id="30"/>
      <w:bookmarkEnd w:id="31"/>
    </w:p>
    <w:p w:rsidR="00380D33" w14:paraId="6027ED2E" w14:textId="77777777">
      <w:pPr>
        <w:widowControl/>
        <w:spacing w:line="240" w:lineRule="auto"/>
        <w:jc w:val="left"/>
        <w:rPr>
          <w:rFonts w:eastAsia="黑体"/>
          <w:b/>
          <w:kern w:val="44"/>
          <w:sz w:val="36"/>
        </w:rPr>
      </w:pPr>
      <w:r>
        <w:br w:type="page"/>
      </w:r>
    </w:p>
    <w:p w:rsidR="00B2512C" w14:paraId="76C2E602" w14:textId="77777777">
      <w:pPr>
        <w:pStyle w:val="Heading1"/>
      </w:pPr>
    </w:p>
    <w:p w:rsidR="00B2512C" w14:paraId="2DFED4F0" w14:textId="77777777">
      <w:pPr>
        <w:pStyle w:val="Heading2"/>
      </w:pPr>
      <w:bookmarkStart w:id="32" w:name="_Toc21844"/>
      <w:bookmarkStart w:id="33" w:name="_Toc141520077"/>
      <w:r>
        <w:rPr>
          <w:rFonts w:hint="eastAsia"/>
        </w:rPr>
        <w:t>一、收入支出决算总体情况说明</w:t>
      </w:r>
      <w:bookmarkEnd w:id="32"/>
      <w:bookmarkEnd w:id="33"/>
    </w:p>
    <w:p w:rsidR="0080459B" w:rsidP="0080459B" w14:paraId="243BB88E" w14:textId="77777777">
      <w:pPr>
        <w:tabs>
          <w:tab w:val="left" w:pos="7513"/>
        </w:tabs>
        <w:adjustRightInd w:val="0"/>
        <w:snapToGrid w:val="0"/>
        <w:spacing w:line="600" w:lineRule="exact"/>
        <w:ind w:firstLine="640" w:firstLineChars="200"/>
        <w:rPr>
          <w:rFonts w:ascii="楷体_GB2312" w:eastAsia="楷体_GB2312" w:hAnsi="仿宋" w:cs="仿宋_GB2312" w:hint="eastAsia"/>
          <w:sz w:val="32"/>
          <w:szCs w:val="32"/>
        </w:rPr>
      </w:pPr>
      <w:r>
        <w:rPr>
          <w:rFonts w:ascii="楷体_GB2312" w:eastAsia="楷体_GB2312" w:hAnsi="仿宋" w:cs="仿宋_GB2312" w:hint="eastAsia"/>
          <w:sz w:val="32"/>
          <w:szCs w:val="32"/>
        </w:rPr>
        <w:t>（一）收入支出决算总体情况说明</w:t>
      </w:r>
    </w:p>
    <w:p w:rsidR="00B2512C" w14:paraId="2223F05C" w14:textId="77777777">
      <w:pPr>
        <w:autoSpaceDE w:val="0"/>
        <w:autoSpaceDN w:val="0"/>
        <w:adjustRightInd w:val="0"/>
        <w:spacing w:line="600" w:lineRule="exact"/>
        <w:ind w:firstLine="640" w:firstLineChars="200"/>
        <w:rPr>
          <w:rFonts w:ascii="仿宋" w:eastAsia="仿宋" w:hAnsi="仿宋" w:cs="Times New Roman" w:hint="eastAsia"/>
          <w:sz w:val="32"/>
          <w:szCs w:val="32"/>
        </w:rPr>
      </w:pPr>
      <w:r>
        <w:rPr>
          <w:rFonts w:ascii="仿宋" w:eastAsia="仿宋" w:hAnsi="仿宋" w:cs="仿宋_GB2312" w:hint="eastAsia"/>
          <w:sz w:val="32"/>
          <w:szCs w:val="32"/>
        </w:rPr>
        <w:t>2025年度本部门收入总计3447.44万元，支出总计3447.44万元，与上年决算数相比，各减少2844.41万元，下降45.21%。主要是本年度工作任务减少，各项工作经费相应减少。</w:t>
      </w:r>
    </w:p>
    <w:p w:rsidR="0080459B" w:rsidRPr="0080459B" w14:paraId="57C8CBEB" w14:textId="77777777">
      <w:pPr>
        <w:autoSpaceDE w:val="0"/>
        <w:autoSpaceDN w:val="0"/>
        <w:adjustRightInd w:val="0"/>
        <w:spacing w:line="600" w:lineRule="exact"/>
        <w:ind w:firstLine="640" w:firstLineChars="200"/>
        <w:rPr>
          <w:rFonts w:ascii="楷体_GB2312" w:eastAsia="楷体_GB2312" w:hAnsi="仿宋" w:cs="仿宋_GB2312" w:hint="eastAsia"/>
          <w:sz w:val="32"/>
          <w:szCs w:val="32"/>
        </w:rPr>
      </w:pPr>
      <w:r w:rsidRPr="0080459B">
        <w:rPr>
          <w:rFonts w:ascii="楷体_GB2312" w:eastAsia="楷体_GB2312" w:hAnsi="仿宋" w:cs="仿宋_GB2312" w:hint="eastAsia"/>
          <w:sz w:val="32"/>
          <w:szCs w:val="32"/>
        </w:rPr>
        <w:t>（二）收入决算情况说明</w:t>
      </w:r>
    </w:p>
    <w:p w:rsidR="00B2512C" w14:paraId="4D43CFAF" w14:textId="77777777">
      <w:pPr>
        <w:autoSpaceDE w:val="0"/>
        <w:autoSpaceDN w:val="0"/>
        <w:adjustRightInd w:val="0"/>
        <w:spacing w:line="600" w:lineRule="exact"/>
        <w:ind w:firstLine="640" w:firstLineChars="200"/>
        <w:rPr>
          <w:rFonts w:ascii="仿宋" w:eastAsia="仿宋" w:hAnsi="仿宋" w:cs="Times New Roman" w:hint="eastAsia"/>
          <w:sz w:val="32"/>
          <w:szCs w:val="32"/>
        </w:rPr>
      </w:pPr>
      <w:r>
        <w:rPr>
          <w:rFonts w:ascii="仿宋" w:eastAsia="仿宋" w:hAnsi="仿宋" w:cs="仿宋_GB2312" w:hint="eastAsia"/>
          <w:sz w:val="32"/>
          <w:szCs w:val="32"/>
        </w:rPr>
        <w:t>2025年度收入3442.01万元，比上年决算数减少2844.41万元，下降45.25%，具体情况如下：</w:t>
      </w:r>
    </w:p>
    <w:p w:rsidR="00B2512C" w:rsidP="007A6812" w14:paraId="3D835A32"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1.一般公共预算财政拨款收入3308.64万元。</w:t>
      </w:r>
    </w:p>
    <w:p w:rsidR="00B2512C" w:rsidP="007A6812" w14:paraId="73280009"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2.政府性基金预算财政拨款收入100.00万元。</w:t>
      </w:r>
    </w:p>
    <w:p w:rsidR="00B2512C" w:rsidP="007A6812" w14:paraId="60964B3C"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3.国有资本经营预算财政拨款收入0.00万元。</w:t>
      </w:r>
    </w:p>
    <w:p w:rsidR="00173175" w:rsidP="007A6812" w14:paraId="00D12148"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4.上级补助收入0.00万元。</w:t>
      </w:r>
    </w:p>
    <w:p w:rsidR="009D7B66" w:rsidP="007A6812" w14:paraId="71F66A85"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5.事业收入0.00万元。</w:t>
      </w:r>
    </w:p>
    <w:p w:rsidR="000F3838" w:rsidP="007A6812" w14:paraId="15616655"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6.经营收入0.00万元。</w:t>
      </w:r>
    </w:p>
    <w:p w:rsidR="00595561" w:rsidP="007A6812" w14:paraId="549F8D31"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7.附属单位上缴收入0.00万元。</w:t>
      </w:r>
    </w:p>
    <w:p w:rsidR="00B404FA" w:rsidRPr="00B404FA" w:rsidP="007A6812" w14:paraId="07F86121" w14:textId="77777777">
      <w:pPr>
        <w:autoSpaceDE w:val="0"/>
        <w:autoSpaceDN w:val="0"/>
        <w:adjustRightInd w:val="0"/>
        <w:spacing w:line="600" w:lineRule="exact"/>
        <w:ind w:firstLine="640" w:firstLineChars="200"/>
        <w:rPr>
          <w:rFonts w:ascii="仿宋" w:eastAsia="仿宋" w:hAnsi="仿宋" w:cs="仿宋_GB2312" w:hint="eastAsia"/>
          <w:sz w:val="32"/>
          <w:szCs w:val="32"/>
        </w:rPr>
      </w:pPr>
      <w:r>
        <w:rPr>
          <w:rFonts w:ascii="仿宋" w:eastAsia="仿宋" w:hAnsi="仿宋" w:cs="仿宋_GB2312"/>
          <w:sz w:val="32"/>
          <w:szCs w:val="32"/>
        </w:rPr>
        <w:t>8.其他收入33.36万元。</w:t>
      </w:r>
    </w:p>
    <w:p w:rsidR="0080459B" w:rsidP="0080459B" w14:paraId="5EB2D7AC" w14:textId="77777777">
      <w:pPr>
        <w:tabs>
          <w:tab w:val="left" w:pos="7513"/>
        </w:tabs>
        <w:adjustRightInd w:val="0"/>
        <w:snapToGrid w:val="0"/>
        <w:spacing w:line="600" w:lineRule="exact"/>
        <w:ind w:firstLine="640" w:firstLineChars="200"/>
        <w:rPr>
          <w:rFonts w:ascii="楷体_GB2312" w:eastAsia="楷体_GB2312" w:hAnsi="仿宋" w:cs="仿宋_GB2312" w:hint="eastAsia"/>
          <w:sz w:val="32"/>
          <w:szCs w:val="32"/>
        </w:rPr>
      </w:pPr>
      <w:r w:rsidRPr="0080459B">
        <w:rPr>
          <w:rFonts w:ascii="楷体_GB2312" w:eastAsia="楷体_GB2312" w:hAnsi="仿宋" w:cs="仿宋_GB2312" w:hint="eastAsia"/>
          <w:sz w:val="32"/>
          <w:szCs w:val="32"/>
        </w:rPr>
        <w:t>（三）支出决算情况说明</w:t>
      </w:r>
    </w:p>
    <w:p w:rsidR="001E290E" w:rsidP="001E290E" w14:paraId="0E08D387" w14:textId="77777777">
      <w:pPr>
        <w:autoSpaceDE w:val="0"/>
        <w:autoSpaceDN w:val="0"/>
        <w:adjustRightInd w:val="0"/>
        <w:spacing w:line="600" w:lineRule="exact"/>
        <w:ind w:firstLine="640" w:firstLineChars="200"/>
        <w:rPr>
          <w:rFonts w:ascii="仿宋" w:eastAsia="仿宋" w:hAnsi="仿宋" w:cs="Times New Roman" w:hint="eastAsia"/>
          <w:sz w:val="32"/>
          <w:szCs w:val="32"/>
        </w:rPr>
      </w:pPr>
      <w:r>
        <w:rPr>
          <w:rFonts w:ascii="仿宋" w:eastAsia="仿宋" w:hAnsi="仿宋" w:cs="仿宋_GB2312" w:hint="eastAsia"/>
          <w:sz w:val="32"/>
          <w:szCs w:val="32"/>
        </w:rPr>
        <w:t>2025年度支出3425.86万元，比上年决算数减少2860.56万元，下降45.50%，具体情况如下：</w:t>
      </w:r>
    </w:p>
    <w:p w:rsidR="001E290E" w:rsidP="001E290E" w14:paraId="03A7A70E"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sz w:val="32"/>
          <w:szCs w:val="32"/>
        </w:rPr>
        <w:t>1.基本支出1492.97万元。其中，人员支出1389.42万元，公用支出103.55万元。</w:t>
      </w:r>
    </w:p>
    <w:p w:rsidR="001E290E" w:rsidP="001E290E" w14:paraId="51C082BA"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sz w:val="32"/>
          <w:szCs w:val="32"/>
        </w:rPr>
        <w:t>2.项目支出1932.90万元。</w:t>
      </w:r>
    </w:p>
    <w:p w:rsidR="001E290E" w:rsidP="001E290E" w14:paraId="6163EDB7"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sz w:val="32"/>
          <w:szCs w:val="32"/>
        </w:rPr>
        <w:t>3.上缴上级支出0.00万元。</w:t>
      </w:r>
    </w:p>
    <w:p w:rsidR="00214F50" w:rsidP="001E290E" w14:paraId="51A35EA5"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sz w:val="32"/>
          <w:szCs w:val="32"/>
        </w:rPr>
        <w:t>4.经营支出0.00万元。</w:t>
      </w:r>
    </w:p>
    <w:p w:rsidR="001E290E" w:rsidRPr="001E290E" w:rsidP="005F7B1A" w14:paraId="0372BFA1" w14:textId="77777777">
      <w:pPr>
        <w:spacing w:line="600" w:lineRule="exact"/>
        <w:ind w:left="297" w:firstLine="420"/>
        <w:rPr>
          <w:rFonts w:ascii="仿宋" w:eastAsia="仿宋" w:hAnsi="仿宋" w:hint="eastAsia"/>
          <w:sz w:val="32"/>
          <w:szCs w:val="32"/>
        </w:rPr>
      </w:pPr>
      <w:r>
        <w:rPr>
          <w:rFonts w:ascii="仿宋" w:eastAsia="仿宋" w:hAnsi="仿宋" w:cs="仿宋_GB2312"/>
          <w:sz w:val="32"/>
          <w:szCs w:val="32"/>
        </w:rPr>
        <w:t>5.对附属单位补助支出0.00万元。</w:t>
      </w:r>
    </w:p>
    <w:p w:rsidR="00B2512C" w14:paraId="642E353D" w14:textId="77777777">
      <w:pPr>
        <w:pStyle w:val="Heading2"/>
      </w:pPr>
      <w:bookmarkStart w:id="34" w:name="_Toc6557"/>
      <w:bookmarkStart w:id="35" w:name="_Toc141520078"/>
      <w:r>
        <w:rPr>
          <w:rFonts w:hint="eastAsia"/>
        </w:rPr>
        <w:t>二、</w:t>
      </w:r>
      <w:r w:rsidR="008B629D">
        <w:rPr>
          <w:rFonts w:hint="eastAsia"/>
        </w:rPr>
        <w:t>财政拨款收入</w:t>
      </w:r>
      <w:r>
        <w:rPr>
          <w:rFonts w:hint="eastAsia"/>
        </w:rPr>
        <w:t>支出决算</w:t>
      </w:r>
      <w:r w:rsidR="004D7117">
        <w:rPr>
          <w:rFonts w:hint="eastAsia"/>
        </w:rPr>
        <w:t>总体</w:t>
      </w:r>
      <w:r>
        <w:rPr>
          <w:rFonts w:hint="eastAsia"/>
        </w:rPr>
        <w:t>情况说明</w:t>
      </w:r>
      <w:bookmarkEnd w:id="34"/>
      <w:bookmarkEnd w:id="35"/>
    </w:p>
    <w:p w:rsidR="00136E91" w:rsidRPr="00136E91" w:rsidP="00136E91" w14:paraId="5BBD5660" w14:textId="77777777">
      <w:pPr>
        <w:tabs>
          <w:tab w:val="left" w:pos="7513"/>
        </w:tabs>
        <w:adjustRightInd w:val="0"/>
        <w:snapToGrid w:val="0"/>
        <w:spacing w:line="600" w:lineRule="exact"/>
        <w:ind w:left="237" w:firstLine="480" w:leftChars="113" w:firstLineChars="150"/>
        <w:rPr>
          <w:rFonts w:ascii="仿宋" w:eastAsia="仿宋" w:hAnsi="仿宋" w:cs="仿宋_GB2312" w:hint="eastAsia"/>
          <w:sz w:val="32"/>
          <w:szCs w:val="32"/>
        </w:rPr>
      </w:pPr>
      <w:r>
        <w:rPr>
          <w:rFonts w:ascii="仿宋" w:eastAsia="仿宋" w:hAnsi="仿宋" w:cs="仿宋_GB2312" w:hint="eastAsia"/>
          <w:sz w:val="32"/>
          <w:szCs w:val="32"/>
        </w:rPr>
        <w:t>2025年度财政拨款收入总计3410.64万元，支出总计3410.64万元，与上年决算数相比，各减少2818.94万元，下降45.25%。主要是：本年度工作任务减少，各项工作经费相应减少。</w:t>
      </w:r>
    </w:p>
    <w:p w:rsidR="00FD485D" w:rsidP="00FD485D" w14:paraId="09A78C53" w14:textId="77777777">
      <w:pPr>
        <w:pStyle w:val="Heading2"/>
      </w:pPr>
      <w:bookmarkStart w:id="36" w:name="_Toc141520079"/>
      <w:r>
        <w:rPr>
          <w:rFonts w:hint="eastAsia"/>
        </w:rPr>
        <w:t>三、</w:t>
      </w:r>
      <w:r w:rsidRPr="00A566DD" w:rsidR="00A566DD">
        <w:rPr>
          <w:rFonts w:hint="eastAsia"/>
        </w:rPr>
        <w:t>一般公共预算</w:t>
      </w:r>
      <w:r w:rsidR="00AA7671">
        <w:rPr>
          <w:rFonts w:hint="eastAsia"/>
        </w:rPr>
        <w:t>财政</w:t>
      </w:r>
      <w:r w:rsidRPr="00A566DD" w:rsidR="00A566DD">
        <w:rPr>
          <w:rFonts w:hint="eastAsia"/>
        </w:rPr>
        <w:t>拨款</w:t>
      </w:r>
      <w:r>
        <w:rPr>
          <w:rFonts w:hint="eastAsia"/>
        </w:rPr>
        <w:t>支出决算情况说明</w:t>
      </w:r>
      <w:bookmarkEnd w:id="36"/>
    </w:p>
    <w:p w:rsidR="00FD485D" w:rsidRPr="00A566DD" w:rsidP="00A566DD" w14:paraId="7BBF11C2" w14:textId="77777777">
      <w:pPr>
        <w:spacing w:line="600" w:lineRule="exact"/>
        <w:ind w:firstLine="640" w:firstLineChars="200"/>
        <w:rPr>
          <w:rFonts w:ascii="仿宋" w:eastAsia="仿宋" w:hAnsi="仿宋" w:hint="eastAsia"/>
          <w:sz w:val="32"/>
          <w:szCs w:val="32"/>
        </w:rPr>
      </w:pPr>
      <w:r>
        <w:rPr>
          <w:rFonts w:ascii="仿宋" w:eastAsia="仿宋" w:hAnsi="仿宋" w:hint="eastAsia"/>
          <w:sz w:val="32"/>
          <w:szCs w:val="32"/>
        </w:rPr>
        <w:t xml:space="preserve"> 2025年度一般公共预算拨款支出3308.64万元，比上年决算数减少2718.94万元，下降45.11%，具体情况如下(按项级科目分类统计)：</w:t>
        <w:br/>
        <w:t xml:space="preserve">   （一）2080501-行政单位离退休支出39.11万元，较上年决算数增加8.07万元，增长26.00%。主要原因是行政单位离退休人员工资、慰问费及福利费支出增加，导致今年经费增加。</w:t>
        <w:br/>
        <w:t xml:space="preserve">   （二）2080502-事业单位离退休支出73.62万元，较上年决算数增加8.27万元，增长12.65%。主要原因是今年有退休人员逝世，增加抚恤金支出。</w:t>
        <w:br/>
        <w:t xml:space="preserve">   （三）2080505-机关事业单位基本养老保险缴费支出124.49万元，较上年决算数增加18.72万元，增长17.70%。主要原因是本年度本单位事业在编人数为69人，较上年度增加4人，养老保险费用支出相应增加。</w:t>
        <w:br/>
        <w:t xml:space="preserve">   （四）2080506-机关事业单位职业年金缴费支出2.54万元，较上年决算数减少26.12万元，下降91.14%。主要原因是上年有调出人员补缴该项目，本年不存在此情况。</w:t>
        <w:br/>
        <w:t xml:space="preserve">   （五）2101101-行政单位医疗支出3.10万元，较上年决算数减少3.40万元，下降52.31%。主要原因是上年度存在医保补缴等临时性支出，本年度仅发生常态化医保缴费支出。</w:t>
        <w:br/>
        <w:t xml:space="preserve">   （六）2101102-事业单位医疗支出37.92万元，较上年决算数减少1.63万元，下降4.12%。主要原因是上年度存在医保补缴等临时性支出，本年度仅发生常态化医保缴费支出。</w:t>
        <w:br/>
        <w:t xml:space="preserve">   （七）2110599-其他森林保护修复支出132.69万元，较上年决算数增加132.69万元，增加100.00%。主要原因是本年度森林保护修复项目增加。</w:t>
        <w:br/>
        <w:t xml:space="preserve">   （八）2130201-行政运行支出178.58万元，较上年决算数减少4.16万元，下降2.28%。主要原因是人员工资调整，奖金及其他工资福利支出调整至其他功能科目。</w:t>
        <w:br/>
        <w:t xml:space="preserve">   （九）2130202-一般行政管理事务支出0.73万元，较上年决算数减少7.93万元，下降91.57%。主要原因是本年度相关专项工作任务调整，对应项目经费支出大幅缩减。</w:t>
        <w:br/>
        <w:t xml:space="preserve">   （十）2130204-事业机构支出1033.62万元，较上年决算数减少12.99万元，下降1.24%。主要原因是落实过紧日子要求，压减一般性支出。</w:t>
        <w:br/>
        <w:t xml:space="preserve">   （十一）2130205-森林资源培育支出227.70万元，较上年决算数减少2534.19万元，下降91.76%。主要原因是本年度森林资源培育项目支出减少。</w:t>
        <w:br/>
        <w:t xml:space="preserve">   （十二）2130209-森林生态效益补偿支出351.37万元，较上年决算数增加247.02万元，增长236.72%。主要原因是本年度森林生态效益补偿投入的增加。</w:t>
        <w:br/>
        <w:t xml:space="preserve">   （十三）2130221-产业化管理支出26.00万元，较上年决算数减少17.05万元，下降39.61%。主要原因是本年度产业化管理项目支出减少。</w:t>
        <w:br/>
        <w:t xml:space="preserve">   （十四）2130234-林业草原防灾减灾支出67.76万元，较上年决算数减少374.48万元，下降84.68%。主要原因是本年度林业草原防灾减灾项目支出减少。</w:t>
        <w:br/>
        <w:t xml:space="preserve">   （十五）2130299-其他林业和草原支出851.76万元，较上年决算数增加66.43万元，增长8.46%。主要原因是加大生态保护投入，新增林业管护、生态修复相关项目支出。</w:t>
        <w:br/>
        <w:t xml:space="preserve">   （十六）2130803-农业保险保费补贴支出146.67万元，较上年决算数增加20.00万元，增长15.79%。主要原因是本年度农业保险保费补贴项目增加。</w:t>
        <w:br/>
        <w:t xml:space="preserve">   （十七）2159999-其他资源勘探工业信息等支出10.99万元，较上年决算数增加10.99万元，增加100.00%。主要原因是本年度其他资源勘探业支出增加，用于专用设备购置。</w:t>
        <w:br/>
        <w:t xml:space="preserve">   （十八）2130206-技术推广与转化支出0.00万元，较上年决算数减少8.00万元，下降100%。主要原因是本年度无该项目。</w:t>
        <w:br/>
        <w:t xml:space="preserve">   （十九）2130207-森林资源管理支出0.00万元，较上年决算数减少46.38万元，下降100%。主要原因是本年度无该项目。</w:t>
        <w:br/>
        <w:t xml:space="preserve">   （二十）2130213-执法与监督支出0.00万元，较上年决算数减少5.81万元，下降100%。主要原因是本年度无该项目。</w:t>
        <w:br/>
        <w:t xml:space="preserve">   （二十一）2139999-其他农林水支出0.00万元，较上年决算数减少189.00万元，下降100%。主要原因是本年度无该项目。</w:t>
      </w:r>
    </w:p>
    <w:p w:rsidR="00B2512C" w14:paraId="6C1935DC" w14:textId="77777777">
      <w:pPr>
        <w:pStyle w:val="Heading2"/>
      </w:pPr>
      <w:bookmarkStart w:id="37" w:name="_Toc14517"/>
      <w:bookmarkStart w:id="38" w:name="_Toc141520080"/>
      <w:r>
        <w:rPr>
          <w:rFonts w:hint="eastAsia"/>
        </w:rPr>
        <w:t>四</w:t>
      </w:r>
      <w:r w:rsidR="00C30F3C">
        <w:rPr>
          <w:rFonts w:hint="eastAsia"/>
        </w:rPr>
        <w:t>、政府性基金预算财政拨款支出决算情况说明</w:t>
      </w:r>
      <w:bookmarkEnd w:id="37"/>
      <w:bookmarkEnd w:id="38"/>
    </w:p>
    <w:p w:rsidR="00B2512C" w14:paraId="1E3438D4"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 xml:space="preserve"> 2025年度政府性基金支出100.00万元，比上年决算数减少100.00万元，下降50.00%，具体情况如下(按项级科目统计)：</w:t>
        <w:br/>
        <w:t xml:space="preserve">   （一）2120804-农村基础设施建设支出100.00万元，较上年决算数减少100.00万元，下降50.00%。主要原因是本年度南安市产业生态走廊（茂盛路）裸露山体整治工程项目支出减少。</w:t>
      </w:r>
    </w:p>
    <w:p w:rsidR="00B2512C" w14:paraId="5474D2E3" w14:textId="77777777">
      <w:pPr>
        <w:pStyle w:val="Heading2"/>
      </w:pPr>
      <w:bookmarkStart w:id="39" w:name="_Toc29831"/>
      <w:bookmarkStart w:id="40" w:name="_Toc141520081"/>
      <w:r>
        <w:rPr>
          <w:rFonts w:hint="eastAsia"/>
        </w:rPr>
        <w:t>五</w:t>
      </w:r>
      <w:r w:rsidR="00C30F3C">
        <w:rPr>
          <w:rFonts w:hint="eastAsia"/>
        </w:rPr>
        <w:t>、国有资本经营预算财政拨款支出决算情况说明</w:t>
      </w:r>
      <w:bookmarkEnd w:id="39"/>
      <w:bookmarkEnd w:id="40"/>
    </w:p>
    <w:p w:rsidR="00B2512C" w14:paraId="20CB3F4F"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 xml:space="preserve"> 2025年度国有资本经营预算支出0.00万元，比上年决算数增加0.00万元，增长0.00%，与上年持平，主要原因是本部门2025年度没有使用国有资本经营预算财政拨款安排的支出。</w:t>
      </w:r>
    </w:p>
    <w:p w:rsidR="00B2512C" w14:paraId="3048824E" w14:textId="77777777">
      <w:pPr>
        <w:pStyle w:val="Heading2"/>
      </w:pPr>
      <w:bookmarkStart w:id="41" w:name="_Toc7927"/>
      <w:bookmarkStart w:id="42" w:name="_Toc141520082"/>
      <w:r>
        <w:rPr>
          <w:rFonts w:hint="eastAsia"/>
        </w:rPr>
        <w:t>六</w:t>
      </w:r>
      <w:r w:rsidR="00C30F3C">
        <w:rPr>
          <w:rFonts w:hint="eastAsia"/>
        </w:rPr>
        <w:t>、一般公共预算财政拨款基本支出决算情况说明</w:t>
      </w:r>
      <w:bookmarkEnd w:id="41"/>
      <w:bookmarkEnd w:id="42"/>
    </w:p>
    <w:p w:rsidR="00B2512C" w14:paraId="68BBC48C"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2025年度一般公共预算财政拨款基本支出1492.97万元，其中：</w:t>
      </w:r>
    </w:p>
    <w:p w:rsidR="00B2512C" w14:paraId="06702360"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一）人员经费1389.42万元，主要包括：基本工资、津贴补贴、奖金、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p>
    <w:p w:rsidR="00B2512C" w14:paraId="1709DEA9" w14:textId="77777777">
      <w:pPr>
        <w:autoSpaceDE w:val="0"/>
        <w:autoSpaceDN w:val="0"/>
        <w:adjustRightInd w:val="0"/>
        <w:spacing w:line="240" w:lineRule="auto"/>
        <w:ind w:firstLine="640" w:firstLineChars="200"/>
        <w:jc w:val="left"/>
        <w:rPr>
          <w:rFonts w:ascii="仿宋" w:eastAsia="仿宋" w:hAnsi="仿宋" w:cs="仿宋_GB2312" w:hint="eastAsia"/>
          <w:sz w:val="32"/>
          <w:szCs w:val="32"/>
        </w:rPr>
      </w:pPr>
      <w:r>
        <w:rPr>
          <w:rFonts w:ascii="仿宋" w:eastAsia="仿宋" w:hAnsi="仿宋" w:cs="仿宋_GB2312" w:hint="eastAsia"/>
          <w:sz w:val="32"/>
          <w:szCs w:val="32"/>
        </w:rPr>
        <w:t>（二）公用经费103.55万元，主要包括：办公费、印刷费、咨询费、手续费、水费、电费、邮电费、取暖费、物业管理费、差旅费、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rsidR="00B2512C" w14:paraId="70AFC97D" w14:textId="77777777">
      <w:pPr>
        <w:pStyle w:val="Heading2"/>
      </w:pPr>
      <w:bookmarkStart w:id="43" w:name="_Toc19044"/>
      <w:bookmarkStart w:id="44" w:name="_Toc141520083"/>
      <w:r>
        <w:rPr>
          <w:rFonts w:hint="eastAsia"/>
        </w:rPr>
        <w:t>七</w:t>
      </w:r>
      <w:r w:rsidR="00C30F3C">
        <w:rPr>
          <w:rFonts w:hint="eastAsia"/>
        </w:rPr>
        <w:t>、一般公共预算财政拨款“三公”经费支出决算情况说明</w:t>
      </w:r>
      <w:bookmarkEnd w:id="43"/>
      <w:bookmarkEnd w:id="44"/>
    </w:p>
    <w:p w:rsidR="00AE33B2" w14:paraId="22D1C748"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2025年度一般公共预算拨款“三公”经费支出2.91万元，完成全年预算的48.34%；较上年减少2.68万元，下降47.94%。当年决算数小于全年预算数的主要原因是：厉行节约，反对浪费，严控“三公”经费支出。当年决算数小于上年决算数的主要原因是：厉行节约，反对浪费，严控“三公”经费支出。具体情况如下：</w:t>
      </w:r>
    </w:p>
    <w:p w:rsidR="00B2512C" w14:paraId="64D6ED32" w14:textId="7FD56D13">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一）因公出国（境）费支出0.00万元，完成全年预算数0.00%，与全年预算数持平；较上年增加0.00万元，增长0.00%，与上年持平。全年安排本部门组织的出国（境）团组0个，参加其他部门出国（境）团组0个；全年因公出国（境）累计0人次。当年决算数等于全年预算数的主要原因是：本年无因公出国（境）经费支出。当年决算数等于上年决算数的主要原因是：本年无因公出国（境）经费支出。</w:t>
      </w:r>
    </w:p>
    <w:p w:rsidR="00B2512C" w14:paraId="2456816A" w14:textId="77777777">
      <w:pPr>
        <w:tabs>
          <w:tab w:val="left" w:pos="7513"/>
        </w:tabs>
        <w:adjustRightInd w:val="0"/>
        <w:snapToGrid w:val="0"/>
        <w:spacing w:line="600" w:lineRule="exact"/>
        <w:ind w:firstLine="645"/>
        <w:rPr>
          <w:rFonts w:ascii="仿宋" w:eastAsia="仿宋" w:hAnsi="仿宋" w:cs="仿宋_GB2312" w:hint="eastAsia"/>
          <w:sz w:val="32"/>
          <w:szCs w:val="32"/>
        </w:rPr>
      </w:pPr>
      <w:r>
        <w:rPr>
          <w:rFonts w:ascii="仿宋" w:eastAsia="仿宋" w:hAnsi="仿宋" w:cs="仿宋_GB2312"/>
          <w:sz w:val="32"/>
          <w:szCs w:val="32"/>
        </w:rPr>
        <w:t>（二）公务用车购置及运行费支出2.38万元，完成全年预算的43.27%；较上年减少2.37万元，下降49.89%。其中：</w:t>
      </w:r>
    </w:p>
    <w:p w:rsidR="00B2512C" w14:paraId="25AF88B7" w14:textId="77777777">
      <w:pPr>
        <w:tabs>
          <w:tab w:val="left" w:pos="7513"/>
        </w:tabs>
        <w:adjustRightInd w:val="0"/>
        <w:snapToGrid w:val="0"/>
        <w:spacing w:line="600" w:lineRule="exact"/>
        <w:ind w:firstLine="645"/>
        <w:rPr>
          <w:rFonts w:ascii="仿宋" w:eastAsia="仿宋" w:hAnsi="仿宋" w:cs="仿宋_GB2312" w:hint="eastAsia"/>
          <w:sz w:val="32"/>
          <w:szCs w:val="32"/>
        </w:rPr>
      </w:pPr>
      <w:r>
        <w:rPr>
          <w:rFonts w:ascii="仿宋" w:eastAsia="仿宋" w:hAnsi="仿宋" w:cs="仿宋_GB2312"/>
          <w:sz w:val="32"/>
          <w:szCs w:val="32"/>
        </w:rPr>
        <w:t>公务用车购置费支出0.00万元，完成全年预算数0.00%，与全年预算数持平；较上年增加0.00万元，增长0.00%，与上年持平。2025年度公务用车购置0辆，当年决算数等于全年预算数的主要原因是：本年无公务用车购置经费支出。当年决算数等于上年决算数的主要原因是：本年无公务用车购置经费支出。</w:t>
      </w:r>
    </w:p>
    <w:p w:rsidR="00B2512C" w:rsidP="005B1C9D" w14:paraId="5A1C99B7" w14:textId="77777777">
      <w:pPr>
        <w:tabs>
          <w:tab w:val="left" w:pos="7513"/>
        </w:tabs>
        <w:adjustRightInd w:val="0"/>
        <w:snapToGrid w:val="0"/>
        <w:spacing w:line="600" w:lineRule="exact"/>
        <w:ind w:firstLine="645"/>
        <w:rPr>
          <w:rFonts w:ascii="仿宋" w:eastAsia="仿宋" w:hAnsi="仿宋" w:cs="仿宋_GB2312" w:hint="eastAsia"/>
          <w:sz w:val="32"/>
          <w:szCs w:val="32"/>
        </w:rPr>
      </w:pPr>
      <w:r>
        <w:rPr>
          <w:rFonts w:ascii="仿宋" w:eastAsia="仿宋" w:hAnsi="仿宋" w:cs="仿宋_GB2312" w:hint="eastAsia"/>
          <w:sz w:val="32"/>
          <w:szCs w:val="32"/>
        </w:rPr>
        <w:t>公务用车运行费支出2.38万元，完成全年预算的43.27%；较上年减少2.37万元，下降49.89%。当年决算数小于全年预算数的主要原因是：厉行节约反对浪费，严控“三公”经费支出。当年决算数小于上年决算数的主要原因是：公车运维维护费减少。截至2025年12月31日，本部门公务用车保有量为2辆。</w:t>
      </w:r>
    </w:p>
    <w:p w:rsidR="00B2512C" w14:paraId="1641D507" w14:textId="77777777">
      <w:pPr>
        <w:tabs>
          <w:tab w:val="left" w:pos="7513"/>
        </w:tabs>
        <w:adjustRightInd w:val="0"/>
        <w:snapToGrid w:val="0"/>
        <w:spacing w:line="600" w:lineRule="exact"/>
        <w:jc w:val="left"/>
        <w:rPr>
          <w:rFonts w:ascii="仿宋" w:eastAsia="仿宋" w:hAnsi="仿宋" w:cs="仿宋_GB2312" w:hint="eastAsia"/>
          <w:sz w:val="32"/>
          <w:szCs w:val="32"/>
        </w:rPr>
      </w:pPr>
      <w:r>
        <w:rPr>
          <w:rFonts w:ascii="仿宋" w:eastAsia="仿宋" w:hAnsi="仿宋" w:cs="仿宋_GB2312" w:hint="eastAsia"/>
          <w:sz w:val="32"/>
          <w:szCs w:val="32"/>
        </w:rPr>
        <w:t>　　（三）公务接待费支出0.52万元，完成全年预算的100.00%；较上年减少0.33万元，下降38.82%。当年决算数等于全年预算数的主要原因是：厉行节约，反对浪费，严控不必要接待支出。当年决算数小于上年决算数的主要原因是：接待人次批次减少。累计接待8批次、44人次。</w:t>
      </w:r>
    </w:p>
    <w:p w:rsidR="00B2512C" w14:paraId="76963552" w14:textId="77777777">
      <w:pPr>
        <w:pStyle w:val="Heading2"/>
      </w:pPr>
      <w:bookmarkStart w:id="45" w:name="_Toc14997"/>
      <w:bookmarkStart w:id="46" w:name="_Toc141520084"/>
      <w:r>
        <w:rPr>
          <w:rFonts w:hint="eastAsia"/>
        </w:rPr>
        <w:t>八</w:t>
      </w:r>
      <w:r w:rsidR="00C30F3C">
        <w:rPr>
          <w:rFonts w:hint="eastAsia"/>
        </w:rPr>
        <w:t>、预算绩效情况说明</w:t>
      </w:r>
      <w:bookmarkEnd w:id="45"/>
      <w:bookmarkEnd w:id="46"/>
    </w:p>
    <w:p w:rsidR="00EB7CD1" w:rsidP="00EB7CD1" w14:paraId="77623EDE" w14:textId="0AB6E601">
      <w:pPr>
        <w:ind w:firstLine="640" w:firstLineChars="200"/>
        <w:rPr>
          <w:rFonts w:ascii="仿宋" w:eastAsia="仿宋" w:hAnsi="仿宋" w:hint="eastAsia"/>
          <w:sz w:val="32"/>
          <w:szCs w:val="32"/>
        </w:rPr>
      </w:pPr>
      <w:r>
        <w:rPr>
          <w:rFonts w:ascii="仿宋" w:eastAsia="仿宋" w:hAnsi="仿宋" w:hint="eastAsia"/>
          <w:sz w:val="32"/>
          <w:szCs w:val="32"/>
        </w:rPr>
        <w:t>根据全面实施预算绩效管理要求，本部门组织对2025年度74个项目实施单位自评。（项目支出绩效自评表详见附件一）</w:t>
        <w:br/>
        <w:t xml:space="preserve">    对74个项目实施部门评价，分别是闽财资环指〔2025〕17号，2025年天然商品林停伐管护补助及生态效益补偿资金、闽财资环指〔2024〕50号，2025年天然商品林停伐管护补助及生态效益补偿资金、泉财指标〔2023〕1104号，2024年森林综合保险财政保费补贴资金（省级102.63万元）、泉财农指〔2024〕140号，2025年省级财政林业专项资金（林业生态保护——林业有害生物防治）、南财指标〔2024〕854号，林权档案整理工作经费、等项目，涉及财政拨款资金共计3680.75万元，评价结果等次为“优”“良”“中”“差”的项目分别是55个、18个、0个、1个。（项目支出绩效评价报告详见附件二）</w:t>
      </w:r>
    </w:p>
    <w:p w:rsidR="00B2512C" w14:paraId="405A433F" w14:textId="77777777">
      <w:pPr>
        <w:pStyle w:val="Heading2"/>
      </w:pPr>
      <w:bookmarkStart w:id="47" w:name="_Toc31367"/>
      <w:bookmarkStart w:id="48" w:name="_Toc141520085"/>
      <w:r>
        <w:rPr>
          <w:rFonts w:hint="eastAsia"/>
        </w:rPr>
        <w:t>九</w:t>
      </w:r>
      <w:r w:rsidR="00C30F3C">
        <w:rPr>
          <w:rFonts w:hint="eastAsia"/>
        </w:rPr>
        <w:t>、其他重要事项</w:t>
      </w:r>
      <w:r w:rsidR="00AA7671">
        <w:rPr>
          <w:rFonts w:hint="eastAsia"/>
        </w:rPr>
        <w:t>情况</w:t>
      </w:r>
      <w:r w:rsidR="00C30F3C">
        <w:rPr>
          <w:rFonts w:hint="eastAsia"/>
        </w:rPr>
        <w:t>说明</w:t>
      </w:r>
      <w:bookmarkEnd w:id="47"/>
      <w:bookmarkEnd w:id="48"/>
    </w:p>
    <w:p w:rsidR="00B2512C" w:rsidP="00614434" w14:paraId="61D28F97" w14:textId="77777777">
      <w:pPr>
        <w:tabs>
          <w:tab w:val="left" w:pos="7513"/>
        </w:tabs>
        <w:adjustRightInd w:val="0"/>
        <w:snapToGrid w:val="0"/>
        <w:spacing w:line="600" w:lineRule="exact"/>
        <w:ind w:firstLine="640" w:firstLineChars="200"/>
        <w:rPr>
          <w:rFonts w:ascii="黑体" w:eastAsia="黑体" w:hAnsi="黑体" w:cs="仿宋_GB2312" w:hint="eastAsia"/>
          <w:bCs/>
          <w:sz w:val="32"/>
          <w:szCs w:val="32"/>
        </w:rPr>
      </w:pPr>
      <w:r>
        <w:rPr>
          <w:rFonts w:ascii="楷体" w:eastAsia="楷体" w:hAnsi="楷体" w:hint="eastAsia"/>
          <w:b/>
          <w:sz w:val="32"/>
          <w:szCs w:val="32"/>
        </w:rPr>
        <w:t>（一）机关运行经费</w:t>
      </w:r>
      <w:r>
        <w:rPr>
          <w:rFonts w:ascii="黑体" w:eastAsia="黑体" w:hAnsi="黑体" w:cs="仿宋_GB2312"/>
          <w:bCs/>
          <w:sz w:val="32"/>
          <w:szCs w:val="32"/>
        </w:rPr>
        <w:t xml:space="preserve"> </w:t>
      </w:r>
    </w:p>
    <w:p w:rsidR="00B2512C" w14:paraId="65DB8D89" w14:textId="77777777">
      <w:pPr>
        <w:tabs>
          <w:tab w:val="left" w:pos="7513"/>
        </w:tabs>
        <w:adjustRightInd w:val="0"/>
        <w:snapToGrid w:val="0"/>
        <w:spacing w:line="600" w:lineRule="exact"/>
        <w:ind w:firstLine="640" w:firstLineChars="200"/>
        <w:rPr>
          <w:rFonts w:ascii="仿宋" w:eastAsia="仿宋" w:hAnsi="仿宋" w:cs="仿宋_GB2312" w:hint="eastAsia"/>
          <w:sz w:val="32"/>
          <w:szCs w:val="32"/>
        </w:rPr>
      </w:pPr>
      <w:r>
        <w:rPr>
          <w:rFonts w:ascii="仿宋" w:eastAsia="仿宋" w:hAnsi="仿宋" w:cs="仿宋_GB2312" w:hint="eastAsia"/>
          <w:sz w:val="32"/>
          <w:szCs w:val="32"/>
        </w:rPr>
        <w:t xml:space="preserve">2025年度机关运行经费支出103.55万元，比上年决算数增加11.67万元，增长12.70%，主要原因是:人员变动，对应支出增加。 </w:t>
      </w:r>
    </w:p>
    <w:p w:rsidR="00B2512C" w:rsidP="00614434" w14:paraId="32D1C060" w14:textId="77777777">
      <w:pPr>
        <w:autoSpaceDE w:val="0"/>
        <w:autoSpaceDN w:val="0"/>
        <w:adjustRightInd w:val="0"/>
        <w:spacing w:line="600" w:lineRule="exact"/>
        <w:ind w:firstLine="640" w:firstLineChars="200"/>
        <w:jc w:val="left"/>
        <w:rPr>
          <w:rFonts w:ascii="黑体" w:eastAsia="黑体" w:hAnsi="黑体" w:cs="仿宋_GB2312" w:hint="eastAsia"/>
          <w:kern w:val="0"/>
          <w:sz w:val="32"/>
          <w:szCs w:val="32"/>
        </w:rPr>
      </w:pPr>
      <w:r>
        <w:rPr>
          <w:rFonts w:ascii="楷体" w:eastAsia="楷体" w:hAnsi="楷体" w:hint="eastAsia"/>
          <w:b/>
          <w:sz w:val="32"/>
          <w:szCs w:val="32"/>
        </w:rPr>
        <w:t>（二）政府采购情况</w:t>
      </w:r>
    </w:p>
    <w:p w:rsidR="00B2512C" w14:paraId="33CDE32A" w14:textId="77777777">
      <w:pPr>
        <w:autoSpaceDE w:val="0"/>
        <w:autoSpaceDN w:val="0"/>
        <w:adjustRightInd w:val="0"/>
        <w:spacing w:line="600" w:lineRule="exact"/>
        <w:ind w:firstLine="640" w:firstLineChars="200"/>
        <w:jc w:val="left"/>
        <w:rPr>
          <w:rFonts w:ascii="仿宋" w:eastAsia="仿宋" w:hAnsi="仿宋" w:cs="仿宋_GB2312" w:hint="eastAsia"/>
          <w:sz w:val="32"/>
          <w:szCs w:val="32"/>
        </w:rPr>
      </w:pPr>
      <w:r>
        <w:rPr>
          <w:rFonts w:ascii="仿宋" w:eastAsia="仿宋" w:hAnsi="仿宋" w:cs="仿宋_GB2312" w:hint="eastAsia"/>
          <w:sz w:val="32"/>
          <w:szCs w:val="32"/>
        </w:rPr>
        <w:t xml:space="preserve">本部门2025年度政府采购支出总额2.05万元，其中：政府采购货物支出2.05万元、政府采购工程支出0.00万元、政府采购服务支出0.00万元。授予中小企业合同金额2.05 万元，占政府采购支出总额的100.00%，其中：授予小微企业合同金额2.05万元，占授予中小企业合同金额的100.00%；货物采购授予中小企业合同金额占货物支出金额的100.00%，工程采购授予中小企业合同金额占工程支出金额的0.00%，服务采购授予中小企业合同金额占服务支出金额的0.00%。 </w:t>
      </w:r>
    </w:p>
    <w:p w:rsidR="00B2512C" w:rsidP="00614434" w14:paraId="7C909640" w14:textId="77777777">
      <w:pPr>
        <w:tabs>
          <w:tab w:val="left" w:pos="7513"/>
        </w:tabs>
        <w:adjustRightInd w:val="0"/>
        <w:snapToGrid w:val="0"/>
        <w:spacing w:line="600" w:lineRule="exact"/>
        <w:ind w:firstLine="704" w:firstLineChars="220"/>
        <w:rPr>
          <w:rFonts w:ascii="黑体" w:eastAsia="黑体" w:hAnsi="黑体" w:cs="Times New Roman" w:hint="eastAsia"/>
          <w:sz w:val="32"/>
          <w:szCs w:val="32"/>
        </w:rPr>
      </w:pPr>
      <w:r>
        <w:rPr>
          <w:rFonts w:ascii="楷体" w:eastAsia="楷体" w:hAnsi="楷体" w:hint="eastAsia"/>
          <w:b/>
          <w:sz w:val="32"/>
          <w:szCs w:val="32"/>
        </w:rPr>
        <w:t>（三）国有资产占用使用情况</w:t>
      </w:r>
      <w:r>
        <w:rPr>
          <w:rFonts w:ascii="黑体" w:eastAsia="黑体" w:hAnsi="黑体"/>
          <w:sz w:val="32"/>
          <w:szCs w:val="32"/>
        </w:rPr>
        <w:t xml:space="preserve"> </w:t>
      </w:r>
    </w:p>
    <w:p w:rsidR="00B2512C" w14:paraId="51E106D7" w14:textId="0318E8B9">
      <w:pPr>
        <w:tabs>
          <w:tab w:val="left" w:pos="7513"/>
        </w:tabs>
        <w:adjustRightInd w:val="0"/>
        <w:snapToGrid w:val="0"/>
        <w:spacing w:line="600" w:lineRule="exact"/>
        <w:ind w:firstLine="704" w:firstLineChars="220"/>
        <w:rPr>
          <w:rFonts w:ascii="仿宋" w:eastAsia="仿宋" w:hAnsi="仿宋" w:cs="仿宋_GB2312" w:hint="eastAsia"/>
          <w:kern w:val="0"/>
          <w:sz w:val="32"/>
          <w:szCs w:val="32"/>
        </w:rPr>
      </w:pPr>
      <w:r>
        <w:rPr>
          <w:rFonts w:ascii="仿宋" w:eastAsia="仿宋" w:hAnsi="仿宋" w:cs="仿宋_GB2312" w:hint="eastAsia"/>
          <w:kern w:val="0"/>
          <w:sz w:val="32"/>
          <w:szCs w:val="32"/>
        </w:rPr>
        <w:t>截至2025年12月31日，本部门共有车辆2辆，其中：副部（省）级以上领导用车0辆、主要负责人用车0辆、机要通信用车0辆、应急保障用车0辆、执法执勤用车2辆、特种专业技术用车0辆、离退休干部服务用车0辆、其他用车0辆 ；单价100万元（含）以上设备（不含车辆）0台（套）。</w:t>
      </w:r>
    </w:p>
    <w:p w:rsidR="00B2512C" w14:paraId="40D04E08" w14:textId="77777777">
      <w:pPr>
        <w:autoSpaceDE w:val="0"/>
        <w:autoSpaceDN w:val="0"/>
        <w:adjustRightInd w:val="0"/>
        <w:spacing w:line="600" w:lineRule="exact"/>
        <w:rPr>
          <w:rFonts w:ascii="黑体" w:eastAsia="黑体" w:hAnsi="黑体" w:hint="eastAsia"/>
          <w:sz w:val="36"/>
          <w:szCs w:val="36"/>
        </w:rPr>
        <w:sectPr>
          <w:pgSz w:w="11906" w:h="16838"/>
          <w:pgMar w:top="1702" w:right="1701" w:bottom="1701" w:left="1701" w:header="851" w:footer="992" w:gutter="0"/>
          <w:cols w:space="425"/>
          <w:docGrid w:type="lines" w:linePitch="312"/>
        </w:sectPr>
      </w:pPr>
    </w:p>
    <w:p w:rsidR="00380D33" w14:paraId="124E6047" w14:textId="77777777">
      <w:pPr>
        <w:pStyle w:val="Heading1"/>
        <w:rPr>
          <w:sz w:val="56"/>
          <w:szCs w:val="56"/>
        </w:rPr>
      </w:pPr>
      <w:bookmarkStart w:id="49" w:name="_Toc4437"/>
      <w:bookmarkStart w:id="50" w:name="_Toc141520086"/>
    </w:p>
    <w:p w:rsidR="00380D33" w14:paraId="63D02F53" w14:textId="77777777">
      <w:pPr>
        <w:pStyle w:val="Heading1"/>
        <w:rPr>
          <w:sz w:val="56"/>
          <w:szCs w:val="56"/>
        </w:rPr>
      </w:pPr>
    </w:p>
    <w:p w:rsidR="00380D33" w14:paraId="44B47172" w14:textId="77777777">
      <w:pPr>
        <w:pStyle w:val="Heading1"/>
        <w:rPr>
          <w:sz w:val="56"/>
          <w:szCs w:val="56"/>
        </w:rPr>
      </w:pPr>
    </w:p>
    <w:p w:rsidR="00380D33" w14:paraId="59710AA3" w14:textId="77777777">
      <w:pPr>
        <w:pStyle w:val="Heading1"/>
        <w:rPr>
          <w:sz w:val="56"/>
          <w:szCs w:val="56"/>
        </w:rPr>
      </w:pPr>
    </w:p>
    <w:p w:rsidR="00380D33" w14:paraId="60B20274" w14:textId="77777777">
      <w:pPr>
        <w:pStyle w:val="Heading1"/>
        <w:rPr>
          <w:sz w:val="56"/>
          <w:szCs w:val="56"/>
        </w:rPr>
      </w:pPr>
    </w:p>
    <w:p w:rsidR="00380D33" w:rsidP="00380D33" w14:paraId="281503EB" w14:textId="77777777">
      <w:pPr>
        <w:pStyle w:val="Heading1"/>
        <w:jc w:val="left"/>
        <w:rPr>
          <w:sz w:val="56"/>
          <w:szCs w:val="56"/>
        </w:rPr>
      </w:pPr>
      <w:r w:rsidRPr="00380D33">
        <w:rPr>
          <w:rFonts w:hint="eastAsia"/>
          <w:sz w:val="56"/>
          <w:szCs w:val="56"/>
        </w:rPr>
        <w:t>第四部分</w:t>
      </w:r>
    </w:p>
    <w:p w:rsidR="00380D33" w:rsidRPr="00380D33" w14:paraId="494417CD" w14:textId="77777777">
      <w:pPr>
        <w:pStyle w:val="Heading1"/>
        <w:rPr>
          <w:sz w:val="56"/>
          <w:szCs w:val="56"/>
        </w:rPr>
      </w:pPr>
      <w:r w:rsidRPr="00380D33">
        <w:rPr>
          <w:rFonts w:hint="eastAsia"/>
          <w:sz w:val="56"/>
          <w:szCs w:val="56"/>
        </w:rPr>
        <w:t xml:space="preserve"> </w:t>
      </w:r>
      <w:r w:rsidRPr="00380D33">
        <w:rPr>
          <w:rFonts w:hint="eastAsia"/>
          <w:sz w:val="56"/>
          <w:szCs w:val="56"/>
        </w:rPr>
        <w:t>名词解释</w:t>
      </w:r>
      <w:bookmarkEnd w:id="49"/>
      <w:bookmarkEnd w:id="50"/>
    </w:p>
    <w:p w:rsidR="00380D33" w14:paraId="5451ED9C" w14:textId="77777777">
      <w:pPr>
        <w:widowControl/>
        <w:spacing w:line="240" w:lineRule="auto"/>
        <w:jc w:val="left"/>
        <w:rPr>
          <w:rFonts w:eastAsia="黑体"/>
          <w:b/>
          <w:kern w:val="44"/>
          <w:sz w:val="36"/>
        </w:rPr>
      </w:pPr>
      <w:r>
        <w:br w:type="page"/>
      </w:r>
    </w:p>
    <w:p w:rsidR="00B2512C" w14:paraId="66156737" w14:textId="77777777">
      <w:pPr>
        <w:pStyle w:val="Heading1"/>
      </w:pPr>
    </w:p>
    <w:p w:rsidR="00DF7EDD" w:rsidRPr="00DF7EDD" w:rsidP="00614434" w14:paraId="5E25983F"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一、财政拨款收入：</w:t>
      </w:r>
      <w:r w:rsidRPr="00DF7EDD">
        <w:rPr>
          <w:rFonts w:ascii="仿宋" w:eastAsia="仿宋" w:hAnsi="仿宋" w:cs="仿宋" w:hint="eastAsia"/>
          <w:color w:val="000000"/>
          <w:kern w:val="0"/>
          <w:sz w:val="32"/>
          <w:szCs w:val="32"/>
        </w:rPr>
        <w:t>指单位从本级财政部门取得的财政</w:t>
      </w:r>
    </w:p>
    <w:p w:rsidR="000607EE" w:rsidP="00DF7EDD" w14:paraId="634E9EF9" w14:textId="77777777">
      <w:pPr>
        <w:spacing w:line="600" w:lineRule="exact"/>
        <w:rPr>
          <w:rFonts w:ascii="仿宋" w:eastAsia="仿宋" w:hAnsi="仿宋" w:cs="仿宋" w:hint="eastAsia"/>
          <w:color w:val="000000"/>
          <w:kern w:val="0"/>
          <w:sz w:val="32"/>
          <w:szCs w:val="32"/>
        </w:rPr>
      </w:pPr>
      <w:r w:rsidRPr="00DF7EDD">
        <w:rPr>
          <w:rFonts w:ascii="仿宋" w:eastAsia="仿宋" w:hAnsi="仿宋" w:cs="仿宋" w:hint="eastAsia"/>
          <w:color w:val="000000"/>
          <w:kern w:val="0"/>
          <w:sz w:val="32"/>
          <w:szCs w:val="32"/>
        </w:rPr>
        <w:t>预算资金，包括一般公共预算财政拨款、政府性基金预算财政拨款和国有资本经营预算财政拨款。</w:t>
      </w:r>
      <w:r>
        <w:rPr>
          <w:rFonts w:ascii="仿宋" w:eastAsia="仿宋" w:hAnsi="仿宋" w:cs="仿宋" w:hint="eastAsia"/>
          <w:color w:val="000000"/>
          <w:kern w:val="0"/>
          <w:sz w:val="32"/>
          <w:szCs w:val="32"/>
        </w:rPr>
        <w:t xml:space="preserve"> </w:t>
      </w:r>
    </w:p>
    <w:p w:rsidR="000607EE" w:rsidP="00614434" w14:paraId="5A359A7C"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二、事业收入：</w:t>
      </w:r>
      <w:r>
        <w:rPr>
          <w:rFonts w:ascii="仿宋" w:eastAsia="仿宋" w:hAnsi="仿宋" w:cs="仿宋" w:hint="eastAsia"/>
          <w:color w:val="000000"/>
          <w:kern w:val="0"/>
          <w:sz w:val="32"/>
          <w:szCs w:val="32"/>
        </w:rPr>
        <w:t>指事业单位开展专业业务活动及辅助活动所取得的收入。</w:t>
      </w:r>
    </w:p>
    <w:p w:rsidR="000607EE" w:rsidP="00614434" w14:paraId="557473B1"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三、经营收入：</w:t>
      </w:r>
      <w:r>
        <w:rPr>
          <w:rFonts w:ascii="仿宋" w:eastAsia="仿宋" w:hAnsi="仿宋" w:cs="仿宋" w:hint="eastAsia"/>
          <w:color w:val="000000"/>
          <w:kern w:val="0"/>
          <w:sz w:val="32"/>
          <w:szCs w:val="32"/>
        </w:rPr>
        <w:t xml:space="preserve">指事业单位在专业业务活动及其辅助活动之外开展非独立核算经营活动取得的收入。 </w:t>
      </w:r>
    </w:p>
    <w:p w:rsidR="00DF7EDD" w:rsidRPr="00DF7EDD" w:rsidP="00614434" w14:paraId="6F8735AC"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四、其他收入：</w:t>
      </w:r>
      <w:r w:rsidRPr="00DF7EDD">
        <w:rPr>
          <w:rFonts w:ascii="仿宋" w:eastAsia="仿宋" w:hAnsi="仿宋" w:cs="仿宋" w:hint="eastAsia"/>
          <w:color w:val="000000"/>
          <w:kern w:val="0"/>
          <w:sz w:val="32"/>
          <w:szCs w:val="32"/>
        </w:rPr>
        <w:t>指除上述“财政拨款收入”“事业收入”</w:t>
      </w:r>
    </w:p>
    <w:p w:rsidR="000607EE" w:rsidP="00DF7EDD" w14:paraId="312308A9" w14:textId="77777777">
      <w:pPr>
        <w:spacing w:line="600" w:lineRule="exact"/>
        <w:rPr>
          <w:rFonts w:ascii="仿宋" w:eastAsia="仿宋" w:hAnsi="仿宋" w:cs="仿宋" w:hint="eastAsia"/>
          <w:color w:val="000000"/>
          <w:kern w:val="0"/>
          <w:sz w:val="32"/>
          <w:szCs w:val="32"/>
        </w:rPr>
      </w:pPr>
      <w:r w:rsidRPr="00DF7EDD">
        <w:rPr>
          <w:rFonts w:ascii="仿宋" w:eastAsia="仿宋" w:hAnsi="仿宋" w:cs="仿宋" w:hint="eastAsia"/>
          <w:color w:val="000000"/>
          <w:kern w:val="0"/>
          <w:sz w:val="32"/>
          <w:szCs w:val="32"/>
        </w:rPr>
        <w:t>“上级补助收入”“附属单位上缴收入”“经营收入”等以外取得的各项收入。主要是事业单位固定资产出租收入等。</w:t>
      </w:r>
      <w:r>
        <w:rPr>
          <w:rFonts w:ascii="仿宋" w:eastAsia="仿宋" w:hAnsi="仿宋" w:cs="仿宋" w:hint="eastAsia"/>
          <w:color w:val="000000"/>
          <w:kern w:val="0"/>
          <w:sz w:val="32"/>
          <w:szCs w:val="32"/>
        </w:rPr>
        <w:t xml:space="preserve"> </w:t>
      </w:r>
    </w:p>
    <w:p w:rsidR="000607EE" w:rsidP="00614434" w14:paraId="28101AEE" w14:textId="7990A526">
      <w:pPr>
        <w:spacing w:line="600" w:lineRule="exact"/>
        <w:ind w:firstLine="707" w:firstLineChars="221"/>
        <w:rPr>
          <w:rFonts w:ascii="仿宋" w:eastAsia="仿宋" w:hAnsi="仿宋" w:cs="仿宋" w:hint="eastAsia"/>
          <w:color w:val="000000"/>
          <w:kern w:val="0"/>
          <w:sz w:val="32"/>
          <w:szCs w:val="32"/>
        </w:rPr>
      </w:pPr>
      <w:r w:rsidRPr="00C41B69">
        <w:rPr>
          <w:rFonts w:ascii="仿宋" w:eastAsia="仿宋" w:hAnsi="仿宋" w:cs="仿宋"/>
          <w:b/>
          <w:color w:val="000000"/>
          <w:kern w:val="0"/>
          <w:sz w:val="32"/>
          <w:szCs w:val="32"/>
        </w:rPr>
        <w:t>五、使用非财政拨款结余（含专用结余）：</w:t>
      </w:r>
      <w:r w:rsidRPr="00C41B69">
        <w:rPr>
          <w:rFonts w:ascii="仿宋" w:eastAsia="仿宋" w:hAnsi="仿宋" w:cs="仿宋"/>
          <w:bCs/>
          <w:color w:val="000000"/>
          <w:kern w:val="0"/>
          <w:sz w:val="32"/>
          <w:szCs w:val="32"/>
        </w:rPr>
        <w:t>指事业单位按照预算管理要求使用非财政拨款结余弥补当年收支差额的金额，以及使用专用结余安排支出的金额</w:t>
      </w:r>
      <w:r w:rsidR="00D14A01">
        <w:rPr>
          <w:rFonts w:ascii="仿宋" w:eastAsia="仿宋" w:hAnsi="仿宋" w:cs="仿宋" w:hint="eastAsia"/>
          <w:color w:val="000000"/>
          <w:kern w:val="0"/>
          <w:sz w:val="32"/>
          <w:szCs w:val="32"/>
        </w:rPr>
        <w:t xml:space="preserve">。 </w:t>
      </w:r>
    </w:p>
    <w:p w:rsidR="000607EE" w:rsidP="00614434" w14:paraId="0CE5E6A5" w14:textId="77777777">
      <w:pPr>
        <w:spacing w:line="600" w:lineRule="exact"/>
        <w:ind w:firstLine="707" w:firstLineChars="221"/>
        <w:rPr>
          <w:rFonts w:ascii="仿宋" w:eastAsia="仿宋" w:hAnsi="仿宋" w:cs="仿宋" w:hint="eastAsia"/>
          <w:color w:val="000000"/>
          <w:kern w:val="0"/>
          <w:sz w:val="32"/>
          <w:szCs w:val="32"/>
        </w:rPr>
      </w:pPr>
      <w:r>
        <w:rPr>
          <w:rFonts w:ascii="仿宋" w:eastAsia="仿宋" w:hAnsi="仿宋" w:cs="仿宋" w:hint="eastAsia"/>
          <w:b/>
          <w:color w:val="000000"/>
          <w:kern w:val="0"/>
          <w:sz w:val="32"/>
          <w:szCs w:val="32"/>
        </w:rPr>
        <w:t>六、年初结转和结余：</w:t>
      </w:r>
      <w:r>
        <w:rPr>
          <w:rFonts w:ascii="仿宋" w:eastAsia="仿宋" w:hAnsi="仿宋" w:cs="仿宋" w:hint="eastAsia"/>
          <w:color w:val="000000"/>
          <w:kern w:val="0"/>
          <w:sz w:val="32"/>
          <w:szCs w:val="32"/>
        </w:rPr>
        <w:t>指单位以前年度尚未完成、结转到本年仍按原规定用途继续使用的资金，或项目已完成等产生的结余资金。</w:t>
      </w:r>
    </w:p>
    <w:p w:rsidR="000607EE" w:rsidP="000607EE" w14:paraId="6ACDF4AC"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七、结余分配：</w:t>
      </w:r>
      <w:r>
        <w:rPr>
          <w:rFonts w:ascii="仿宋" w:eastAsia="仿宋" w:hAnsi="仿宋" w:cs="仿宋" w:hint="eastAsia"/>
          <w:sz w:val="32"/>
          <w:szCs w:val="32"/>
        </w:rPr>
        <w:t xml:space="preserve">指事业单位按照会计制度规定缴纳的所得税、提取的专用结余以及转入非财政拨款结余的金额等。 </w:t>
      </w:r>
    </w:p>
    <w:p w:rsidR="000607EE" w:rsidP="000607EE" w14:paraId="7A30552E"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八、年末结转和结余：</w:t>
      </w:r>
      <w:r>
        <w:rPr>
          <w:rFonts w:ascii="仿宋" w:eastAsia="仿宋" w:hAnsi="仿宋" w:cs="仿宋" w:hint="eastAsia"/>
          <w:sz w:val="32"/>
          <w:szCs w:val="32"/>
        </w:rPr>
        <w:t xml:space="preserve">指单位按有关规定结转到下年或以后年度继续使用的资金，或项目已完成等产生的结余资金。 </w:t>
      </w:r>
    </w:p>
    <w:p w:rsidR="000607EE" w:rsidP="000607EE" w14:paraId="2B40B8BA"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九、基本支出：</w:t>
      </w:r>
      <w:r>
        <w:rPr>
          <w:rFonts w:ascii="仿宋" w:eastAsia="仿宋" w:hAnsi="仿宋" w:cs="仿宋" w:hint="eastAsia"/>
          <w:sz w:val="32"/>
          <w:szCs w:val="32"/>
        </w:rPr>
        <w:t xml:space="preserve">指为保障机构正常运转、完成日常工作任务而发生的人员支出和公用支出。 </w:t>
      </w:r>
    </w:p>
    <w:p w:rsidR="000607EE" w:rsidP="000607EE" w14:paraId="6CFB8A83"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十、项目支出：</w:t>
      </w:r>
      <w:r>
        <w:rPr>
          <w:rFonts w:ascii="仿宋" w:eastAsia="仿宋" w:hAnsi="仿宋" w:cs="仿宋" w:hint="eastAsia"/>
          <w:sz w:val="32"/>
          <w:szCs w:val="32"/>
        </w:rPr>
        <w:t xml:space="preserve">指在基本支出之外为完成特定行政任务和事业发展目标所发生的支出。 </w:t>
      </w:r>
    </w:p>
    <w:p w:rsidR="0034417C" w:rsidP="000607EE" w14:paraId="08FDC6B8" w14:textId="77777777">
      <w:pPr>
        <w:pStyle w:val="Default"/>
        <w:spacing w:line="600" w:lineRule="exact"/>
        <w:ind w:firstLine="640"/>
        <w:rPr>
          <w:rFonts w:ascii="仿宋" w:eastAsia="仿宋" w:hAnsi="仿宋" w:cs="仿宋" w:hint="eastAsia"/>
          <w:sz w:val="32"/>
          <w:szCs w:val="32"/>
        </w:rPr>
      </w:pPr>
      <w:r>
        <w:rPr>
          <w:rFonts w:ascii="仿宋" w:eastAsia="仿宋" w:hAnsi="仿宋" w:cs="仿宋" w:hint="eastAsia"/>
          <w:b/>
          <w:sz w:val="32"/>
          <w:szCs w:val="32"/>
        </w:rPr>
        <w:t>十一、经营支出：</w:t>
      </w:r>
      <w:r>
        <w:rPr>
          <w:rFonts w:ascii="仿宋" w:eastAsia="仿宋" w:hAnsi="仿宋" w:cs="仿宋" w:hint="eastAsia"/>
          <w:sz w:val="32"/>
          <w:szCs w:val="32"/>
        </w:rPr>
        <w:t>指事业单位在专业业务活动及其辅助活动之外开展非独立核算经营活动发生的支出。</w:t>
      </w:r>
    </w:p>
    <w:p w:rsidR="000607EE" w:rsidP="00E15E01" w14:paraId="0ABD2F87" w14:textId="2FDFF659">
      <w:pPr>
        <w:pStyle w:val="Default"/>
        <w:spacing w:line="600" w:lineRule="exact"/>
        <w:ind w:firstLine="640"/>
        <w:rPr>
          <w:rFonts w:ascii="仿宋" w:eastAsia="仿宋" w:hAnsi="仿宋" w:cs="仿宋" w:hint="eastAsia"/>
          <w:sz w:val="32"/>
          <w:szCs w:val="32"/>
        </w:rPr>
      </w:pPr>
      <w:r>
        <w:rPr>
          <w:rFonts w:ascii="仿宋" w:eastAsia="仿宋" w:hAnsi="仿宋" w:cs="仿宋"/>
          <w:b/>
          <w:sz w:val="32"/>
        </w:rPr>
        <w:t>十二、“三公”经费：</w:t>
      </w:r>
      <w:r>
        <w:rPr>
          <w:rFonts w:ascii="仿宋" w:eastAsia="仿宋" w:hAnsi="仿宋" w:cs="仿宋"/>
          <w:b w:val="0"/>
          <w:sz w:val="32"/>
        </w:rPr>
        <w:t>纳入本级财政预决算管理的“三公”经费，是指本级部门用一般公共预算财政拨款安排的因公出国（境）费用、公务用车购置及运行费和公务接待费。其中，因公出国（境）费用反映单位公务出国（境）的国际旅费、国外城市间交通费、住宿费、伙食费、培训费、公杂费等支出；公务用车购置及运行费反映单位公务用车车辆购置支出（含车辆购置税、牌照费）及按规定保留的公务用车燃料费、新能源汽车充电费、维修费、过桥过路费、保险费、安全奖励费用等支出；公务接待费反映单位按规定开支的各类公务接待（含外宾接待）支出。</w:t>
      </w:r>
    </w:p>
    <w:p w:rsidR="000607EE" w:rsidRPr="00C41B69" w:rsidP="00614434" w14:paraId="16D507BE" w14:textId="6D416BD4">
      <w:pPr>
        <w:ind w:firstLine="640" w:firstLineChars="200"/>
        <w:jc w:val="left"/>
        <w:rPr>
          <w:rFonts w:ascii="仿宋" w:eastAsia="仿宋" w:hAnsi="仿宋" w:hint="eastAsia"/>
          <w:bCs/>
          <w:sz w:val="32"/>
          <w:szCs w:val="32"/>
        </w:rPr>
      </w:pPr>
      <w:r w:rsidRPr="007101BA">
        <w:rPr>
          <w:rFonts w:ascii="仿宋" w:eastAsia="仿宋" w:hAnsi="仿宋" w:cs="仿宋"/>
          <w:b/>
          <w:color w:val="000000"/>
          <w:kern w:val="0"/>
          <w:sz w:val="32"/>
          <w:szCs w:val="32"/>
        </w:rPr>
        <w:t>十三、机关运行经费：</w:t>
      </w:r>
      <w:r w:rsidRPr="002C53E5">
        <w:rPr>
          <w:rFonts w:ascii="仿宋" w:eastAsia="仿宋" w:hAnsi="仿宋" w:cs="仿宋"/>
          <w:bCs/>
          <w:color w:val="000000"/>
          <w:kern w:val="0"/>
          <w:sz w:val="32"/>
          <w:szCs w:val="32"/>
        </w:rPr>
        <w:t>反映行政单位（含参照公务员法管理的事业单位）财政拨款基本支出中的公用经费支出，包括办公及印刷费、邮电费、差旅费、会议费、福利费、日常维修费、专用材料及一般设备购置费、办公用房水电费、办公用房取暖费、办公用房物业管理费、公务用车运行维护费以及其他费用</w:t>
      </w:r>
      <w:r w:rsidRPr="002C53E5" w:rsidR="00D14A01">
        <w:rPr>
          <w:rFonts w:ascii="仿宋" w:eastAsia="仿宋" w:hAnsi="仿宋" w:hint="eastAsia"/>
          <w:bCs/>
          <w:sz w:val="32"/>
          <w:szCs w:val="32"/>
        </w:rPr>
        <w:t>。</w:t>
      </w:r>
    </w:p>
    <w:p w:rsidR="00B2512C" w:rsidRPr="000607EE" w14:paraId="0596B242" w14:textId="77777777">
      <w:pPr>
        <w:autoSpaceDE w:val="0"/>
        <w:autoSpaceDN w:val="0"/>
        <w:adjustRightInd w:val="0"/>
        <w:spacing w:line="600" w:lineRule="exact"/>
        <w:ind w:firstLine="720" w:firstLineChars="200"/>
        <w:jc w:val="center"/>
        <w:rPr>
          <w:rFonts w:ascii="黑体" w:eastAsia="黑体" w:hAnsi="黑体" w:hint="eastAsia"/>
          <w:sz w:val="36"/>
          <w:szCs w:val="36"/>
        </w:rPr>
        <w:sectPr>
          <w:pgSz w:w="11906" w:h="16838"/>
          <w:pgMar w:top="1702" w:right="1800" w:bottom="1843" w:left="1800" w:header="851" w:footer="992" w:gutter="0"/>
          <w:cols w:space="425"/>
          <w:docGrid w:type="lines" w:linePitch="312"/>
        </w:sectPr>
      </w:pPr>
    </w:p>
    <w:p w:rsidR="00B90E86" w:rsidRPr="00614434" w14:paraId="0141443B" w14:textId="77777777">
      <w:pPr>
        <w:pStyle w:val="Heading1"/>
        <w:rPr>
          <w:sz w:val="56"/>
          <w:szCs w:val="56"/>
        </w:rPr>
      </w:pPr>
      <w:bookmarkStart w:id="51" w:name="_Toc28785"/>
      <w:bookmarkStart w:id="52" w:name="_Toc141520087"/>
    </w:p>
    <w:p w:rsidR="00B90E86" w14:paraId="3FE32C07" w14:textId="77777777">
      <w:pPr>
        <w:pStyle w:val="Heading1"/>
        <w:rPr>
          <w:sz w:val="56"/>
          <w:szCs w:val="56"/>
        </w:rPr>
      </w:pPr>
    </w:p>
    <w:p w:rsidR="00B90E86" w14:paraId="091CE2E9" w14:textId="77777777">
      <w:pPr>
        <w:pStyle w:val="Heading1"/>
        <w:rPr>
          <w:sz w:val="56"/>
          <w:szCs w:val="56"/>
        </w:rPr>
      </w:pPr>
    </w:p>
    <w:p w:rsidR="00B90E86" w14:paraId="3439C5D5" w14:textId="77777777">
      <w:pPr>
        <w:pStyle w:val="Heading1"/>
        <w:rPr>
          <w:sz w:val="56"/>
          <w:szCs w:val="56"/>
        </w:rPr>
      </w:pPr>
    </w:p>
    <w:p w:rsidR="00B90E86" w14:paraId="27675745" w14:textId="77777777">
      <w:pPr>
        <w:pStyle w:val="Heading1"/>
        <w:rPr>
          <w:sz w:val="56"/>
          <w:szCs w:val="56"/>
        </w:rPr>
      </w:pPr>
    </w:p>
    <w:p w:rsidR="00B90E86" w:rsidP="00B90E86" w14:paraId="428BB235" w14:textId="77777777">
      <w:pPr>
        <w:pStyle w:val="Heading1"/>
        <w:jc w:val="left"/>
        <w:rPr>
          <w:sz w:val="56"/>
          <w:szCs w:val="56"/>
        </w:rPr>
      </w:pPr>
      <w:r w:rsidRPr="00B90E86">
        <w:rPr>
          <w:rFonts w:hint="eastAsia"/>
          <w:sz w:val="56"/>
          <w:szCs w:val="56"/>
        </w:rPr>
        <w:t>第五部分</w:t>
      </w:r>
      <w:r w:rsidRPr="00B90E86">
        <w:rPr>
          <w:rFonts w:hint="eastAsia"/>
          <w:sz w:val="56"/>
          <w:szCs w:val="56"/>
        </w:rPr>
        <w:t xml:space="preserve"> </w:t>
      </w:r>
    </w:p>
    <w:p w:rsidR="00B90E86" w:rsidRPr="00B90E86" w14:paraId="04406151" w14:textId="77777777">
      <w:pPr>
        <w:pStyle w:val="Heading1"/>
        <w:rPr>
          <w:sz w:val="56"/>
          <w:szCs w:val="56"/>
        </w:rPr>
      </w:pPr>
      <w:r w:rsidRPr="00B90E86">
        <w:rPr>
          <w:rFonts w:hint="eastAsia"/>
          <w:sz w:val="56"/>
          <w:szCs w:val="56"/>
        </w:rPr>
        <w:t>附件</w:t>
      </w:r>
      <w:bookmarkEnd w:id="51"/>
      <w:bookmarkEnd w:id="52"/>
    </w:p>
    <w:p w:rsidR="00B90E86" w14:paraId="34E20D89" w14:textId="77777777">
      <w:pPr>
        <w:widowControl/>
        <w:spacing w:line="240" w:lineRule="auto"/>
        <w:jc w:val="left"/>
        <w:rPr>
          <w:rFonts w:eastAsia="黑体"/>
          <w:b/>
          <w:kern w:val="44"/>
          <w:sz w:val="36"/>
        </w:rPr>
      </w:pPr>
      <w:r>
        <w:br w:type="page"/>
      </w:r>
    </w:p>
    <w:p w:rsidR="00B2512C" w14:paraId="5F2E0195" w14:textId="77777777">
      <w:pPr>
        <w:pStyle w:val="Heading1"/>
      </w:pPr>
    </w:p>
    <w:p w:rsidR="00B2512C" w14:paraId="02FF8F8B" w14:textId="2E1053CF">
      <w:pPr>
        <w:pStyle w:val="Heading2"/>
      </w:pPr>
      <w:bookmarkStart w:id="53" w:name="_Toc12855"/>
      <w:bookmarkStart w:id="54" w:name="_Toc30757"/>
      <w:bookmarkStart w:id="55" w:name="_Toc32727"/>
      <w:bookmarkStart w:id="56" w:name="_Toc14446"/>
      <w:bookmarkStart w:id="57" w:name="_Toc141520088"/>
      <w:r>
        <w:rPr>
          <w:rFonts w:hint="eastAsia"/>
        </w:rPr>
        <w:t>一、项目支出绩效自评表</w:t>
      </w:r>
      <w:bookmarkEnd w:id="53"/>
      <w:bookmarkEnd w:id="54"/>
      <w:bookmarkEnd w:id="55"/>
      <w:bookmarkEnd w:id="56"/>
      <w:bookmarkEnd w:id="57"/>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泉财指标〔2023〕1060号2024年省级财政林业专项资金（林业有害生物防治55万元、林草资源监测1万元）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1.00</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0.50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50.00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1.00</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0.50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50.00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开展2024年林草资源监测</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开展2024年林草资源监测相关工作。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图斑监测数据汇总数量（个）</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图斑监测情况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按上级部署时间节点监测完成情况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=按时无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按时</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用于购置打印机，资金待财政审批权</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森林效益持续发挥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85</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良（90&gt;S≧80）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Merge w:val="restart"/>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r>
        <w:tc>
          <w:tcPr>
            <w:hMerge w:val="restart"/>
            <w:vMerge w:val="continue"/>
            <w:vAlign w:val="center"/>
          </w:tcPr>
          <w:tcPr>
            <w:tcW w:type="dxa" w:w="1691"/>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建立和维护监测网络，在购买维护先进设备，需要长期稳定的资金投入，目前财政难以支撑。</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建立和维护监测网络，在购买维护先进设备，需要长期稳定的资金投入，目前财政难以支撑。</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2021结转-退费</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0.02</w:t>
            </w:r>
          </w:p>
        </w:tc>
        <w:tc>
          <w:tcPr>
            <w:hMerge w:val="restart"/>
            <w:vAlign w:val="center"/>
          </w:tcPr>
          <w:tcPr>
            <w:tcW w:type="dxa" w:w="1691"/>
          </w:tcPr>
          <w:p>
            <w:pPr>
              <w:jc w:val="center"/>
            </w:pPr>
            <w:r>
              <w:rPr>
                <w:rFonts w:ascii="宋体" w:hAnsi="宋体" w:cs="宋体" w:eastAsia="宋体"/>
                <w:b w:val="false"/>
                <w:i w:val="false"/>
                <w:sz w:val="24"/>
              </w:rPr>
              <w:t>0.02</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0.02</w:t>
            </w:r>
          </w:p>
        </w:tc>
        <w:tc>
          <w:tcPr>
            <w:hMerge w:val="restart"/>
            <w:vAlign w:val="center"/>
          </w:tcPr>
          <w:tcPr>
            <w:tcW w:type="dxa" w:w="1691"/>
          </w:tcPr>
          <w:p>
            <w:pPr>
              <w:jc w:val="center"/>
            </w:pPr>
            <w:r>
              <w:rPr>
                <w:rFonts w:ascii="宋体" w:hAnsi="宋体" w:cs="宋体" w:eastAsia="宋体"/>
                <w:b w:val="false"/>
                <w:i w:val="false"/>
                <w:sz w:val="24"/>
              </w:rPr>
              <w:t>0.02</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完成多缴交社保的退费等工作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2021结转-退费</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2021结转-退费（是/否）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年度结转（是/否）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年度决算(年/次）</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=1年/次</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2021结转-退费</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=172.76元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172.7600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维护养老制度（是/否）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服务对象满意度指标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泉财农指〔2025〕4号，2025年中央财政林业草原改革发展资金：全国性森林、草原、湿地、荒漠综合监测补助（南财指标〔2025〕129号）</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2025年中央财政林业草原改革发展资金-全国性森林、草原、湿地、荒漠综合监测补助14.9万元</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14.90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14.90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用于南安市森林草原湿地荒漠化综合监测</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完成森林、草原、湿地、荒漠综合监测工作。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图斑数量（个）</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≥475个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475</w:t>
            </w:r>
          </w:p>
        </w:tc>
        <w:tc>
          <w:tcPr>
            <w:vAlign w:val="center"/>
          </w:tcPr>
          <w:tcPr>
            <w:tcW w:type="dxa" w:w="1691"/>
          </w:tcPr>
          <w:p>
            <w:pPr>
              <w:jc w:val="right"/>
            </w:pPr>
            <w:r>
              <w:rPr>
                <w:rFonts w:ascii="宋体" w:hAnsi="宋体" w:cs="宋体" w:eastAsia="宋体"/>
                <w:b w:val="false"/>
                <w:i w:val="false"/>
                <w:sz w:val="24"/>
              </w:rPr>
              <w:t>25</w:t>
            </w:r>
          </w:p>
        </w:tc>
        <w:tc>
          <w:tcPr>
            <w:vAlign w:val="center"/>
          </w:tcPr>
          <w:tcPr>
            <w:tcW w:type="dxa" w:w="1691"/>
          </w:tcPr>
          <w:p>
            <w:pPr>
              <w:jc w:val="right"/>
            </w:pPr>
            <w:r>
              <w:rPr>
                <w:rFonts w:ascii="宋体" w:hAnsi="宋体" w:cs="宋体" w:eastAsia="宋体"/>
                <w:b w:val="false"/>
                <w:i w:val="false"/>
                <w:sz w:val="24"/>
              </w:rPr>
              <w:t>25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图斑调查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≥159.87万亩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159.87</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预算执行进度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项目待验收</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森林草原湿地荒漠化综合监测经费</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≥14.9万元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14.9</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生态环境成本指标</w:t>
            </w:r>
          </w:p>
        </w:tc>
        <w:tc>
          <w:tcPr>
            <w:hMerge w:val="restart"/>
            <w:vAlign w:val="center"/>
          </w:tcPr>
          <w:tcPr>
            <w:tcW w:type="dxa" w:w="1691"/>
          </w:tcPr>
          <w:p>
            <w:pPr>
              <w:jc w:val="right"/>
            </w:pPr>
            <w:r>
              <w:rPr>
                <w:rFonts w:ascii="宋体" w:hAnsi="宋体" w:cs="宋体" w:eastAsia="宋体"/>
                <w:b w:val="false"/>
                <w:i w:val="false"/>
                <w:sz w:val="22"/>
              </w:rPr>
              <w:t>森林经营可持续发展</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=发展良好无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发展良好</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加强林草湿资源管护</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=有效促进无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有效促进</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林区源头治理能力</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=有效治理无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有效治理</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林区职工和周边群众满意度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85</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良（90&gt;S≧80）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Merge w:val="restart"/>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r>
        <w:tc>
          <w:tcPr>
            <w:hMerge w:val="restart"/>
            <w:vMerge w:val="continue"/>
            <w:vAlign w:val="center"/>
          </w:tcPr>
          <w:tcPr>
            <w:tcW w:type="dxa" w:w="1691"/>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按照省林业局统一部署，森林草原湿地监测成果需省级林业主管部门审核后，县级按照审批结果进行项目验收工作。</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按照省林业局统一部署，森林草原湿地监测成果需省级林业主管部门审核后，县级按照审批结果进行项目验收工作。</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泉财指标〔2023〕652号国土绿化试点示范项目（南财指标〔2023〕886号）</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145.78</w:t>
            </w:r>
          </w:p>
        </w:tc>
        <w:tc>
          <w:tcPr>
            <w:hMerge w:val="restart"/>
            <w:vAlign w:val="center"/>
          </w:tcPr>
          <w:tcPr>
            <w:tcW w:type="dxa" w:w="1691"/>
          </w:tcPr>
          <w:p>
            <w:pPr>
              <w:jc w:val="center"/>
            </w:pPr>
            <w:r>
              <w:rPr>
                <w:rFonts w:ascii="宋体" w:hAnsi="宋体" w:cs="宋体" w:eastAsia="宋体"/>
                <w:b w:val="false"/>
                <w:i w:val="false"/>
                <w:sz w:val="24"/>
              </w:rPr>
              <w:t>145.78</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121.64</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83.44</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7</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145.78</w:t>
            </w:r>
          </w:p>
        </w:tc>
        <w:tc>
          <w:tcPr>
            <w:hMerge w:val="restart"/>
            <w:vAlign w:val="center"/>
          </w:tcPr>
          <w:tcPr>
            <w:tcW w:type="dxa" w:w="1691"/>
          </w:tcPr>
          <w:p>
            <w:pPr>
              <w:jc w:val="center"/>
            </w:pPr>
            <w:r>
              <w:rPr>
                <w:rFonts w:ascii="宋体" w:hAnsi="宋体" w:cs="宋体" w:eastAsia="宋体"/>
                <w:b w:val="false"/>
                <w:i w:val="false"/>
                <w:sz w:val="24"/>
              </w:rPr>
              <w:t>145.78</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121.64</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83.44</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开展国土绿化试点示范项目</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完成国土绿化试点示范项目，造林绿化面积84307亩。</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造林及时率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造林成活率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85</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年度任务完成率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≥145.784万元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121.64</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8.34</w:t>
            </w:r>
          </w:p>
        </w:tc>
        <w:tc>
          <w:tcPr>
            <w:hMerge w:val="restart"/>
            <w:vAlign w:val="center"/>
          </w:tcPr>
          <w:tcPr>
            <w:tcW w:type="dxa" w:w="1691"/>
          </w:tcPr>
          <w:p>
            <w:pPr>
              <w:jc w:val="right"/>
            </w:pPr>
            <w:r>
              <w:rPr>
                <w:rFonts w:ascii="宋体" w:hAnsi="宋体" w:cs="宋体" w:eastAsia="宋体"/>
                <w:b w:val="false"/>
                <w:i w:val="false"/>
                <w:sz w:val="24"/>
              </w:rPr>
              <w:t>尾款未拨付。</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生态环境持续改善</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95.34</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南财指标〔2024〕962号南惠支线裸山整治</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12.12</w:t>
            </w:r>
          </w:p>
        </w:tc>
        <w:tc>
          <w:tcPr>
            <w:hMerge w:val="restart"/>
            <w:vAlign w:val="center"/>
          </w:tcPr>
          <w:tcPr>
            <w:tcW w:type="dxa" w:w="1691"/>
          </w:tcPr>
          <w:p>
            <w:pPr>
              <w:jc w:val="center"/>
            </w:pPr>
            <w:r>
              <w:rPr>
                <w:rFonts w:ascii="宋体" w:hAnsi="宋体" w:cs="宋体" w:eastAsia="宋体"/>
                <w:b w:val="false"/>
                <w:i w:val="false"/>
                <w:sz w:val="24"/>
              </w:rPr>
              <w:t>12.12</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12.12</w:t>
            </w:r>
          </w:p>
        </w:tc>
        <w:tc>
          <w:tcPr>
            <w:hMerge w:val="restart"/>
            <w:vAlign w:val="center"/>
          </w:tcPr>
          <w:tcPr>
            <w:tcW w:type="dxa" w:w="1691"/>
          </w:tcPr>
          <w:p>
            <w:pPr>
              <w:jc w:val="center"/>
            </w:pPr>
            <w:r>
              <w:rPr>
                <w:rFonts w:ascii="宋体" w:hAnsi="宋体" w:cs="宋体" w:eastAsia="宋体"/>
                <w:b w:val="false"/>
                <w:i w:val="false"/>
                <w:sz w:val="24"/>
              </w:rPr>
              <w:t>12.12</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年终结转结余(南惠支线裸山整治)</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完成南惠支线裸山整治。</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种植数量</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≥400株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400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苗木成活率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项目建设完成率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≥12.12万元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资金待财政批复</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森林蓄积持续提升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良（90&gt;S≧80）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Merge w:val="restart"/>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r>
        <w:tc>
          <w:tcPr>
            <w:hMerge w:val="restart"/>
            <w:vMerge w:val="continue"/>
            <w:vAlign w:val="center"/>
          </w:tcPr>
          <w:tcPr>
            <w:tcW w:type="dxa" w:w="1691"/>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该资金系2024年南安市财政配套我市南惠支线裸山整治项目配套资金，用于支付项目尾款，由于市财政紧张，暂未支付。</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该资金系2024年南安市财政配套我市南惠支线裸山整治项目配套资金，用于支付项目尾款，继续与财政部门沟通协调。</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泉财指标〔2023〕880号，2023年泉州市级财政森林资源培育与管护专项资金（第二批）：造林绿化——中央财政国土绿化试点示范项目配套37.37万元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37.37</w:t>
            </w:r>
          </w:p>
        </w:tc>
        <w:tc>
          <w:tcPr>
            <w:hMerge w:val="restart"/>
            <w:vAlign w:val="center"/>
          </w:tcPr>
          <w:tcPr>
            <w:tcW w:type="dxa" w:w="1691"/>
          </w:tcPr>
          <w:p>
            <w:pPr>
              <w:jc w:val="center"/>
            </w:pPr>
            <w:r>
              <w:rPr>
                <w:rFonts w:ascii="宋体" w:hAnsi="宋体" w:cs="宋体" w:eastAsia="宋体"/>
                <w:b w:val="false"/>
                <w:i w:val="false"/>
                <w:sz w:val="24"/>
              </w:rPr>
              <w:t>37.37</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37.37</w:t>
            </w:r>
          </w:p>
        </w:tc>
        <w:tc>
          <w:tcPr>
            <w:hMerge w:val="restart"/>
            <w:vAlign w:val="center"/>
          </w:tcPr>
          <w:tcPr>
            <w:tcW w:type="dxa" w:w="1691"/>
          </w:tcPr>
          <w:p>
            <w:pPr>
              <w:jc w:val="center"/>
            </w:pPr>
            <w:r>
              <w:rPr>
                <w:rFonts w:ascii="宋体" w:hAnsi="宋体" w:cs="宋体" w:eastAsia="宋体"/>
                <w:b w:val="false"/>
                <w:i w:val="false"/>
                <w:sz w:val="24"/>
              </w:rPr>
              <w:t>37.37</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年终结转结余（中央财政国土绿化试点示范项目配套）</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完成2024年国土绿化试点示范项目作业设计工作。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作业设计区域</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完成2024年国土绿化试点作业设计</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作业设计完成率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≥37.37万元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资金等财政批复</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森林生态效益发挥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=持续发挥无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持续发挥</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 xml:space="preserve">	
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良（90&gt;S≧80）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Merge w:val="restart"/>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r>
        <w:tc>
          <w:tcPr>
            <w:hMerge w:val="restart"/>
            <w:vMerge w:val="continue"/>
            <w:vAlign w:val="center"/>
          </w:tcPr>
          <w:tcPr>
            <w:tcW w:type="dxa" w:w="1691"/>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一是个别地块仍不够深入，后期需要开展设计变更。二是市财政紧张，一直未能拨付合同进度款。</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加大检查力度，对个别地块仍开展后期设计变更。二是加大与财政局沟通力度，根据工作进程序拨付相合同款。</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南林函〔2025〕459号， 国土绿化试点示范项目监理费用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完成2023-2024年度国土绿化试点示范项目监理工作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37.81</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37.81</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完成2023-2024年度国土绿化试点示范项目监理工作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完成2023-2024年度国土绿化试点示范项目监理工作。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完成项目监理面积面积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≥82413亩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82413</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hMerge w:val="restart"/>
            <w:vMerge w:val="restart"/>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完成造林监理</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=5264无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5264</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hMerge w:val="restart"/>
            <w:vMerge w:val="continue"/>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监理工作符合技术要求</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=符合无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符合</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完成监理时间</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≤4年</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4</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≥59.9853万元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22.1753</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0.37</w:t>
            </w:r>
          </w:p>
        </w:tc>
        <w:tc>
          <w:tcPr>
            <w:hMerge w:val="restart"/>
            <w:vAlign w:val="center"/>
          </w:tcPr>
          <w:tcPr>
            <w:tcW w:type="dxa" w:w="1691"/>
          </w:tcPr>
          <w:p>
            <w:pPr>
              <w:jc w:val="right"/>
            </w:pPr>
            <w:r>
              <w:rPr>
                <w:rFonts w:ascii="宋体" w:hAnsi="宋体" w:cs="宋体" w:eastAsia="宋体"/>
                <w:b w:val="false"/>
                <w:i w:val="false"/>
                <w:sz w:val="24"/>
              </w:rPr>
              <w:t>资金待财政批复</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生态环境成本指标</w:t>
            </w:r>
          </w:p>
        </w:tc>
        <w:tc>
          <w:tcPr>
            <w:hMerge w:val="restart"/>
            <w:vAlign w:val="center"/>
          </w:tcPr>
          <w:tcPr>
            <w:tcW w:type="dxa" w:w="1691"/>
          </w:tcPr>
          <w:p>
            <w:pPr>
              <w:jc w:val="right"/>
            </w:pPr>
            <w:r>
              <w:rPr>
                <w:rFonts w:ascii="宋体" w:hAnsi="宋体" w:cs="宋体" w:eastAsia="宋体"/>
                <w:b w:val="false"/>
                <w:i w:val="false"/>
                <w:sz w:val="22"/>
              </w:rPr>
              <w:t>对周边环境可持续影响</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=促进无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促进</w:t>
            </w:r>
          </w:p>
        </w:tc>
        <w:tc>
          <w:tcPr>
            <w:vAlign w:val="center"/>
          </w:tcPr>
          <w:tcPr>
            <w:tcW w:type="dxa" w:w="1691"/>
          </w:tcPr>
          <w:p>
            <w:pPr>
              <w:jc w:val="right"/>
            </w:pPr>
            <w:r>
              <w:rPr>
                <w:rFonts w:ascii="宋体" w:hAnsi="宋体" w:cs="宋体" w:eastAsia="宋体"/>
                <w:b w:val="false"/>
                <w:i w:val="false"/>
                <w:sz w:val="24"/>
              </w:rPr>
              <w:t>9</w:t>
            </w:r>
          </w:p>
        </w:tc>
        <w:tc>
          <w:tcPr>
            <w:vAlign w:val="center"/>
          </w:tcPr>
          <w:tcPr>
            <w:tcW w:type="dxa" w:w="1691"/>
          </w:tcPr>
          <w:p>
            <w:pPr>
              <w:jc w:val="right"/>
            </w:pPr>
            <w:r>
              <w:rPr>
                <w:rFonts w:ascii="宋体" w:hAnsi="宋体" w:cs="宋体" w:eastAsia="宋体"/>
                <w:b w:val="false"/>
                <w:i w:val="false"/>
                <w:sz w:val="24"/>
              </w:rPr>
              <w:t>9</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对生态环境可持续影响</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=促进无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促进</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89.37</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良（90&gt;S≧80）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Merge w:val="restart"/>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r>
        <w:tc>
          <w:tcPr>
            <w:hMerge w:val="restart"/>
            <w:vMerge w:val="continue"/>
            <w:vAlign w:val="center"/>
          </w:tcPr>
          <w:tcPr>
            <w:tcW w:type="dxa" w:w="1691"/>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该资金属国土绿化试点示范项目部本级配套资金，用于监理工作，已形成初验报告，资金待财政批复。</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该资金属国土绿化试点示范项目部本级配套资金，用于监理工作，已形成初验报告，资金待财政批复。</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南财指标〔2024〕961号森林草原湿地荒漠化普查工作经费</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188.00</w:t>
            </w:r>
          </w:p>
        </w:tc>
        <w:tc>
          <w:tcPr>
            <w:hMerge w:val="restart"/>
            <w:vAlign w:val="center"/>
          </w:tcPr>
          <w:tcPr>
            <w:tcW w:type="dxa" w:w="1691"/>
          </w:tcPr>
          <w:p>
            <w:pPr>
              <w:jc w:val="center"/>
            </w:pPr>
            <w:r>
              <w:rPr>
                <w:rFonts w:ascii="宋体" w:hAnsi="宋体" w:cs="宋体" w:eastAsia="宋体"/>
                <w:b w:val="false"/>
                <w:i w:val="false"/>
                <w:sz w:val="24"/>
              </w:rPr>
              <w:t>188.00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45.68</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24.30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188.00</w:t>
            </w:r>
          </w:p>
        </w:tc>
        <w:tc>
          <w:tcPr>
            <w:hMerge w:val="restart"/>
            <w:vAlign w:val="center"/>
          </w:tcPr>
          <w:tcPr>
            <w:tcW w:type="dxa" w:w="1691"/>
          </w:tcPr>
          <w:p>
            <w:pPr>
              <w:jc w:val="center"/>
            </w:pPr>
            <w:r>
              <w:rPr>
                <w:rFonts w:ascii="宋体" w:hAnsi="宋体" w:cs="宋体" w:eastAsia="宋体"/>
                <w:b w:val="false"/>
                <w:i w:val="false"/>
                <w:sz w:val="24"/>
              </w:rPr>
              <w:t>188.00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45.68</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24.30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开展森林草原湿地荒漠化普查工作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完成森林草原湿地荒漠化普查工作。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图斑调查面积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≥159.87万亩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159.87</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地类对接不一致图斑数量（个）</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≥93346个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93346</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监测工作完成情况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≤188万元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45.68</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森林生态效益发挥可持续</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泉财农指〔2024〕140号，2025年省级财政林业专项资金（林业生态保护——古树名木保护4.5万元）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完成古树名木保护1株</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4.50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4.50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保护古树1株</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古树名木保护1株。</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保护古树株数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保护措施到位</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=到位无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措施到位</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完成时间</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≤12月</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12</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措施费用</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≥4.5元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4.5</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生态环境成本指标</w:t>
            </w:r>
          </w:p>
        </w:tc>
        <w:tc>
          <w:tcPr>
            <w:hMerge w:val="restart"/>
            <w:vAlign w:val="center"/>
          </w:tcPr>
          <w:tcPr>
            <w:tcW w:type="dxa" w:w="1691"/>
          </w:tcPr>
          <w:p>
            <w:pPr>
              <w:jc w:val="right"/>
            </w:pPr>
            <w:r>
              <w:rPr>
                <w:rFonts w:ascii="宋体" w:hAnsi="宋体" w:cs="宋体" w:eastAsia="宋体"/>
                <w:b w:val="false"/>
                <w:i w:val="false"/>
                <w:sz w:val="22"/>
              </w:rPr>
              <w:t>古树生境改善情况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古树成活率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15</w:t>
            </w:r>
          </w:p>
        </w:tc>
        <w:tc>
          <w:tcPr>
            <w:vAlign w:val="center"/>
          </w:tcPr>
          <w:tcPr>
            <w:tcW w:type="dxa" w:w="1691"/>
          </w:tcPr>
          <w:p>
            <w:pPr>
              <w:jc w:val="right"/>
            </w:pPr>
            <w:r>
              <w:rPr>
                <w:rFonts w:ascii="宋体" w:hAnsi="宋体" w:cs="宋体" w:eastAsia="宋体"/>
                <w:b w:val="false"/>
                <w:i w:val="false"/>
                <w:sz w:val="24"/>
              </w:rPr>
              <w:t>15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对生态环境可持续影响</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15</w:t>
            </w:r>
          </w:p>
        </w:tc>
        <w:tc>
          <w:tcPr>
            <w:vAlign w:val="center"/>
          </w:tcPr>
          <w:tcPr>
            <w:tcW w:type="dxa" w:w="1691"/>
          </w:tcPr>
          <w:p>
            <w:pPr>
              <w:jc w:val="right"/>
            </w:pPr>
            <w:r>
              <w:rPr>
                <w:rFonts w:ascii="宋体" w:hAnsi="宋体" w:cs="宋体" w:eastAsia="宋体"/>
                <w:b w:val="false"/>
                <w:i w:val="false"/>
                <w:sz w:val="24"/>
              </w:rPr>
              <w:t>15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南财指标〔2024〕1154号2024年市直机关“3.12”义务植树基地建设经费</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19.33</w:t>
            </w:r>
          </w:p>
        </w:tc>
        <w:tc>
          <w:tcPr>
            <w:hMerge w:val="restart"/>
            <w:vAlign w:val="center"/>
          </w:tcPr>
          <w:tcPr>
            <w:tcW w:type="dxa" w:w="1691"/>
          </w:tcPr>
          <w:p>
            <w:pPr>
              <w:jc w:val="center"/>
            </w:pPr>
            <w:r>
              <w:rPr>
                <w:rFonts w:ascii="宋体" w:hAnsi="宋体" w:cs="宋体" w:eastAsia="宋体"/>
                <w:b w:val="false"/>
                <w:i w:val="false"/>
                <w:sz w:val="24"/>
              </w:rPr>
              <w:t>19.33</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19.33</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19.33</w:t>
            </w:r>
          </w:p>
        </w:tc>
        <w:tc>
          <w:tcPr>
            <w:hMerge w:val="restart"/>
            <w:vAlign w:val="center"/>
          </w:tcPr>
          <w:tcPr>
            <w:tcW w:type="dxa" w:w="1691"/>
          </w:tcPr>
          <w:p>
            <w:pPr>
              <w:jc w:val="center"/>
            </w:pPr>
            <w:r>
              <w:rPr>
                <w:rFonts w:ascii="宋体" w:hAnsi="宋体" w:cs="宋体" w:eastAsia="宋体"/>
                <w:b w:val="false"/>
                <w:i w:val="false"/>
                <w:sz w:val="24"/>
              </w:rPr>
              <w:t>19.33</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19.33</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开展2024年市直机关“3.12”义务植树基地建设</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开展2024年市直机关“3.12”义务植树基地建设。</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植苗面积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≥43亩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43</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苗木成活率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修复矿山图斑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预算金额</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≥19.327万元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19.327</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义务植树基地建设</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泉财指标〔2023〕880号，2023年泉州市级财政森林资源培育与管护专项资金（第二批）：林业生态保护——新建生物防火阻隔带60万元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60.00</w:t>
            </w:r>
          </w:p>
        </w:tc>
        <w:tc>
          <w:tcPr>
            <w:hMerge w:val="restart"/>
            <w:vAlign w:val="center"/>
          </w:tcPr>
          <w:tcPr>
            <w:tcW w:type="dxa" w:w="1691"/>
          </w:tcPr>
          <w:p>
            <w:pPr>
              <w:jc w:val="center"/>
            </w:pPr>
            <w:r>
              <w:rPr>
                <w:rFonts w:ascii="宋体" w:hAnsi="宋体" w:cs="宋体" w:eastAsia="宋体"/>
                <w:b w:val="false"/>
                <w:i w:val="false"/>
                <w:sz w:val="24"/>
              </w:rPr>
              <w:t>60.00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60.00</w:t>
            </w:r>
          </w:p>
        </w:tc>
        <w:tc>
          <w:tcPr>
            <w:hMerge w:val="restart"/>
            <w:vAlign w:val="center"/>
          </w:tcPr>
          <w:tcPr>
            <w:tcW w:type="dxa" w:w="1691"/>
          </w:tcPr>
          <w:p>
            <w:pPr>
              <w:jc w:val="center"/>
            </w:pPr>
            <w:r>
              <w:rPr>
                <w:rFonts w:ascii="宋体" w:hAnsi="宋体" w:cs="宋体" w:eastAsia="宋体"/>
                <w:b w:val="false"/>
                <w:i w:val="false"/>
                <w:sz w:val="24"/>
              </w:rPr>
              <w:t>60.00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2023年林业生态保护——新建生物防火阻隔带</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完成生物防火阻隔带10公里建设，项目建设中。</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新建工程阻隔带（亩）</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≥240亩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240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提升森林火灾防控能力</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=有效提升无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有效提升</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年度任务完成率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≥60万元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项目建设中</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森林生态效益发挥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良（90&gt;S≧80）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Merge w:val="restart"/>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r>
        <w:tc>
          <w:tcPr>
            <w:hMerge w:val="restart"/>
            <w:vMerge w:val="continue"/>
            <w:vAlign w:val="center"/>
          </w:tcPr>
          <w:tcPr>
            <w:tcW w:type="dxa" w:w="1691"/>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新建生物防火阻隔带后续抚育、养护的人力、物力投入相当大，长效管护措施仍需细化。</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加大生物防火阻隔带后续抚育，细化长效管护措施，保障树种成林成带、持续发挥防火阻隔功能。</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泉财农指〔2025〕43号，2025年泉州市级财政森林资源培育与管护专项资金（第一批）：乡村绿化提升40万元创建国家森林城市活动（义务植树基地示范点建设3万元古树名木保护管理示范点建设2万元）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完成泉州市级乡村绿化提升项目建设8个、义务植树基地示范点项目建设1个、古树名木保护管理示范点项目建设1个。</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45.00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45.00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完成泉州市级乡村绿化提升项目建设8个、义务植树基地示范点项目建设1个、古树名木保护管理示范点项目建设1个。</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完成泉州市级乡村绿化提升项目建设8个、义务植树基地示范点项目建设1个、古树名木保护管理示范点项目建设1个。</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hMerge w:val="restart"/>
            <w:vMerge w:val="restart"/>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乡村绿化提升项目个数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hMerge w:val="restart"/>
            <w:vMerge w:val="continue"/>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义务植树基地尽责点个数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hMerge w:val="restart"/>
            <w:vMerge w:val="continue"/>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古树名木保护管理示范点个数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培育苗木数量</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≥39万株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39</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造林完成及时率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乡村绿化提升补助标准</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生态环境可持续发展</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泉财指标〔2022〕1032号提前下达2023年省级财政林业专项资金</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195.61</w:t>
            </w:r>
          </w:p>
        </w:tc>
        <w:tc>
          <w:tcPr>
            <w:hMerge w:val="restart"/>
            <w:vAlign w:val="center"/>
          </w:tcPr>
          <w:tcPr>
            <w:tcW w:type="dxa" w:w="1691"/>
          </w:tcPr>
          <w:p>
            <w:pPr>
              <w:jc w:val="center"/>
            </w:pPr>
            <w:r>
              <w:rPr>
                <w:rFonts w:ascii="宋体" w:hAnsi="宋体" w:cs="宋体" w:eastAsia="宋体"/>
                <w:b w:val="false"/>
                <w:i w:val="false"/>
                <w:sz w:val="24"/>
              </w:rPr>
              <w:t>195.61</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66.51</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34.00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195.61</w:t>
            </w:r>
          </w:p>
        </w:tc>
        <w:tc>
          <w:tcPr>
            <w:hMerge w:val="restart"/>
            <w:vAlign w:val="center"/>
          </w:tcPr>
          <w:tcPr>
            <w:tcW w:type="dxa" w:w="1691"/>
          </w:tcPr>
          <w:p>
            <w:pPr>
              <w:jc w:val="center"/>
            </w:pPr>
            <w:r>
              <w:rPr>
                <w:rFonts w:ascii="宋体" w:hAnsi="宋体" w:cs="宋体" w:eastAsia="宋体"/>
                <w:b w:val="false"/>
                <w:i w:val="false"/>
                <w:sz w:val="24"/>
              </w:rPr>
              <w:t>195.61</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66.51</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34.00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2023年完成植树造林11055亩，松林择（间）伐抚育改造任务4500亩。</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森林抚育面积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≥3.06万亩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3.06</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造林成活率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造林完成及时率（%）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生态环境成本指标</w:t>
            </w:r>
          </w:p>
        </w:tc>
        <w:tc>
          <w:tcPr>
            <w:hMerge w:val="restart"/>
            <w:vAlign w:val="center"/>
          </w:tcPr>
          <w:tcPr>
            <w:tcW w:type="dxa" w:w="1691"/>
          </w:tcPr>
          <w:p>
            <w:pPr>
              <w:jc w:val="right"/>
            </w:pPr>
            <w:r>
              <w:rPr>
                <w:rFonts w:ascii="宋体" w:hAnsi="宋体" w:cs="宋体" w:eastAsia="宋体"/>
                <w:b w:val="false"/>
                <w:i w:val="false"/>
                <w:sz w:val="22"/>
              </w:rPr>
              <w:t>植树造林任务</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≥1.044万亩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1.044</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松林择间伐抚育完成率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2021结转-基本支出1</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0.02</w:t>
            </w:r>
          </w:p>
        </w:tc>
        <w:tc>
          <w:tcPr>
            <w:hMerge w:val="restart"/>
            <w:vAlign w:val="center"/>
          </w:tcPr>
          <w:tcPr>
            <w:tcW w:type="dxa" w:w="1691"/>
          </w:tcPr>
          <w:p>
            <w:pPr>
              <w:jc w:val="center"/>
            </w:pPr>
            <w:r>
              <w:rPr>
                <w:rFonts w:ascii="宋体" w:hAnsi="宋体" w:cs="宋体" w:eastAsia="宋体"/>
                <w:b w:val="false"/>
                <w:i w:val="false"/>
                <w:sz w:val="24"/>
              </w:rPr>
              <w:t>0.02</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0.02</w:t>
            </w:r>
          </w:p>
        </w:tc>
        <w:tc>
          <w:tcPr>
            <w:hMerge w:val="restart"/>
            <w:vAlign w:val="center"/>
          </w:tcPr>
          <w:tcPr>
            <w:tcW w:type="dxa" w:w="1691"/>
          </w:tcPr>
          <w:p>
            <w:pPr>
              <w:jc w:val="center"/>
            </w:pPr>
            <w:r>
              <w:rPr>
                <w:rFonts w:ascii="宋体" w:hAnsi="宋体" w:cs="宋体" w:eastAsia="宋体"/>
                <w:b w:val="false"/>
                <w:i w:val="false"/>
                <w:sz w:val="24"/>
              </w:rPr>
              <w:t>0.02</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2021结转-基本支出1</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2021结转-基本支出1</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=187元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187.0000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是否年度结转</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年度决算（年/次）</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=1年/次</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2021结转-基本支出1</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=187元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187</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完成决算</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=是否</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良（90&gt;S≧80）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Merge w:val="restart"/>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r>
        <w:tc>
          <w:tcPr>
            <w:hMerge w:val="restart"/>
            <w:vMerge w:val="continue"/>
            <w:vAlign w:val="center"/>
          </w:tcPr>
          <w:tcPr>
            <w:tcW w:type="dxa" w:w="1691"/>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该笔资金系2021结转-基本支出1，属于历史遗留下来的款项结余，每年度进行结转，建议财政部进行收回处理。</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该笔资金系2021结转-基本支出1，属于历史遗留下来的款项结余，每年度进行结转，建议财政部进行收回处理。</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r>
        <w:tc>
          <w:tcPr>
            <w:hMerge w:val="restart"/>
            <w:vMerge w:val="continue"/>
            <w:vAlign w:val="center"/>
          </w:tcPr>
          <w:tcPr>
            <w:tcW w:type="dxa" w:w="1691"/>
          </w:tcPr>
          <w:tcPr>
            <w:tcBorders>
              <w:left w:val="single"/>
              <w:bottom w:val="single"/>
              <w:right w:val="nil"/>
            </w:tcBorders>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该笔资金系2021结转-基本支出1，属于历史遗留下来的款项结余，每年度进行结转，建议财政部进行收回处理</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该笔资金系2021结转-基本支出1，属于历史遗留下来的款项结余，每年度进行结转，建议财政部进行收回处理</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2021结转-罚没款</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18.32</w:t>
            </w:r>
          </w:p>
        </w:tc>
        <w:tc>
          <w:tcPr>
            <w:hMerge w:val="restart"/>
            <w:vAlign w:val="center"/>
          </w:tcPr>
          <w:tcPr>
            <w:tcW w:type="dxa" w:w="1691"/>
          </w:tcPr>
          <w:p>
            <w:pPr>
              <w:jc w:val="center"/>
            </w:pPr>
            <w:r>
              <w:rPr>
                <w:rFonts w:ascii="宋体" w:hAnsi="宋体" w:cs="宋体" w:eastAsia="宋体"/>
                <w:b w:val="false"/>
                <w:i w:val="false"/>
                <w:sz w:val="24"/>
              </w:rPr>
              <w:t>18.32</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18.32</w:t>
            </w:r>
          </w:p>
        </w:tc>
        <w:tc>
          <w:tcPr>
            <w:hMerge w:val="restart"/>
            <w:vAlign w:val="center"/>
          </w:tcPr>
          <w:tcPr>
            <w:tcW w:type="dxa" w:w="1691"/>
          </w:tcPr>
          <w:p>
            <w:pPr>
              <w:jc w:val="center"/>
            </w:pPr>
            <w:r>
              <w:rPr>
                <w:rFonts w:ascii="宋体" w:hAnsi="宋体" w:cs="宋体" w:eastAsia="宋体"/>
                <w:b w:val="false"/>
                <w:i w:val="false"/>
                <w:sz w:val="24"/>
              </w:rPr>
              <w:t>18.32</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年终结转结余（2021结转-罚没款）</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2021结转-罚没款</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2021结转-罚没款</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=18.315万元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18.3150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年度结转（是/否）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年度决算（是/否）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2021结转-罚没款</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=18.315万元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18.3150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维护社会安全</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泉财农指〔2024〕101号，2024年泉州市级财政现代林业经济专项资金（第二批）：现代油茶竹林24万元（油茶抚育含绿色栽培21万元、竹林抚育3万元）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24.00</w:t>
            </w:r>
          </w:p>
        </w:tc>
        <w:tc>
          <w:tcPr>
            <w:hMerge w:val="restart"/>
            <w:vAlign w:val="center"/>
          </w:tcPr>
          <w:tcPr>
            <w:tcW w:type="dxa" w:w="1691"/>
          </w:tcPr>
          <w:p>
            <w:pPr>
              <w:jc w:val="center"/>
            </w:pPr>
            <w:r>
              <w:rPr>
                <w:rFonts w:ascii="宋体" w:hAnsi="宋体" w:cs="宋体" w:eastAsia="宋体"/>
                <w:b w:val="false"/>
                <w:i w:val="false"/>
                <w:sz w:val="24"/>
              </w:rPr>
              <w:t>24.00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24.00</w:t>
            </w:r>
          </w:p>
        </w:tc>
        <w:tc>
          <w:tcPr>
            <w:hMerge w:val="restart"/>
            <w:vAlign w:val="center"/>
          </w:tcPr>
          <w:tcPr>
            <w:tcW w:type="dxa" w:w="1691"/>
          </w:tcPr>
          <w:p>
            <w:pPr>
              <w:jc w:val="center"/>
            </w:pPr>
            <w:r>
              <w:rPr>
                <w:rFonts w:ascii="宋体" w:hAnsi="宋体" w:cs="宋体" w:eastAsia="宋体"/>
                <w:b w:val="false"/>
                <w:i w:val="false"/>
                <w:sz w:val="24"/>
              </w:rPr>
              <w:t>24.00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开展2024年现代油茶竹林（油茶抚育含绿色栽培、竹林抚育）工作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完成设施油茶900亩、设施竹林建设100亩，剩余设施油茶500亩、竹林100亩仍在建设中。</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设施油茶、竹林（亩）</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≥1600亩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1600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实用林产品质量监测</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项目建设情况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=有序推进无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有序推进</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≥25万元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项目建设中</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增加企业收入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=逐步增加无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逐步增加</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 xml:space="preserve">	
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良（90&gt;S≧80）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Merge w:val="restart"/>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r>
        <w:tc>
          <w:tcPr>
            <w:hMerge w:val="restart"/>
            <w:vMerge w:val="continue"/>
            <w:vAlign w:val="center"/>
          </w:tcPr>
          <w:tcPr>
            <w:tcW w:type="dxa" w:w="1691"/>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一是实施单位工作推进缓慢，二是项目补助资金标准低，企业积极性不高。</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一是加大督促实施单位工作进度，提高工作效率，二是加强与上级及财政部门的沟通协调，努力争取提高项目补助资金标准，鼓励企业积极完成建设。</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泉财指标〔2023〕433号,2023年泉州市级天然商品林停伐管护补助资金</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已完成2023天然商品林停伐管护补助</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完成2023年泉州市级天然商品林停伐管护补助。</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天然商品林停伐补助面积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≥13.616万亩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13.616</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森林生态系统可持续影响</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补助及时性</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补助情况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森林生态系统效益发挥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泉财农指〔2024〕140号，2025年省级财政林业专项资金（林业生态保护——林业有害生物防治）</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进行林业有害生物防治,降低松材线虫病疫情发生面积</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85.48</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85.48</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85.48</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85.48</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进行林业有害生物防治,降低松材线虫病疫情发生面积</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完成防治性采伐5072亩，枯死木清理除害率达100%，林业有害生物成灾率为0.53‰，低于省控制指标3‰。</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防治面积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≥5072亩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5072</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任务完成情况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=全面完成无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全面完成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预算执行进度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补助资金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≥85.48万元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85.48</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社会成本指标</w:t>
            </w:r>
          </w:p>
        </w:tc>
        <w:tc>
          <w:tcPr>
            <w:hMerge w:val="restart"/>
            <w:vAlign w:val="center"/>
          </w:tcPr>
          <w:tcPr>
            <w:tcW w:type="dxa" w:w="1691"/>
          </w:tcPr>
          <w:p>
            <w:pPr>
              <w:jc w:val="right"/>
            </w:pPr>
            <w:r>
              <w:rPr>
                <w:rFonts w:ascii="宋体" w:hAnsi="宋体" w:cs="宋体" w:eastAsia="宋体"/>
                <w:b w:val="false"/>
                <w:i w:val="false"/>
                <w:sz w:val="22"/>
              </w:rPr>
              <w:t>促进社会经济发展</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=有效促进无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有效促进</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综合防范能力提升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=有效促进无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有效促进</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可持续发展</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=发展良好无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发展良好</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社会公众对湿地保护工作满意度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2022年造林绿化省级补助</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269.78</w:t>
            </w:r>
          </w:p>
        </w:tc>
        <w:tc>
          <w:tcPr>
            <w:hMerge w:val="restart"/>
            <w:vAlign w:val="center"/>
          </w:tcPr>
          <w:tcPr>
            <w:tcW w:type="dxa" w:w="1691"/>
          </w:tcPr>
          <w:p>
            <w:pPr>
              <w:jc w:val="center"/>
            </w:pPr>
            <w:r>
              <w:rPr>
                <w:rFonts w:ascii="宋体" w:hAnsi="宋体" w:cs="宋体" w:eastAsia="宋体"/>
                <w:b w:val="false"/>
                <w:i w:val="false"/>
                <w:sz w:val="24"/>
              </w:rPr>
              <w:t>269.78</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38.44</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14.25</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269.78</w:t>
            </w:r>
          </w:p>
        </w:tc>
        <w:tc>
          <w:tcPr>
            <w:hMerge w:val="restart"/>
            <w:vAlign w:val="center"/>
          </w:tcPr>
          <w:tcPr>
            <w:tcW w:type="dxa" w:w="1691"/>
          </w:tcPr>
          <w:p>
            <w:pPr>
              <w:jc w:val="center"/>
            </w:pPr>
            <w:r>
              <w:rPr>
                <w:rFonts w:ascii="宋体" w:hAnsi="宋体" w:cs="宋体" w:eastAsia="宋体"/>
                <w:b w:val="false"/>
                <w:i w:val="false"/>
                <w:sz w:val="24"/>
              </w:rPr>
              <w:t>269.78</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38.44</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14.25</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开展造林绿化工作，完成植树造林面积12318亩，占目标任务10160亩的121.2%。</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植树造林面积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≥10160亩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12318</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造林成活率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森林抚育年度完成率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生态环境成本指标</w:t>
            </w:r>
          </w:p>
        </w:tc>
        <w:tc>
          <w:tcPr>
            <w:hMerge w:val="restart"/>
            <w:vAlign w:val="center"/>
          </w:tcPr>
          <w:tcPr>
            <w:tcW w:type="dxa" w:w="1691"/>
          </w:tcPr>
          <w:p>
            <w:pPr>
              <w:jc w:val="right"/>
            </w:pPr>
            <w:r>
              <w:rPr>
                <w:rFonts w:ascii="宋体" w:hAnsi="宋体" w:cs="宋体" w:eastAsia="宋体"/>
                <w:b w:val="false"/>
                <w:i w:val="false"/>
                <w:sz w:val="22"/>
              </w:rPr>
              <w:t>松林改造提升完成情况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森林资源持续提升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闽财资环指〔2023〕36号，2023年省级财政林业专项资金（市县第三批）：国土绿化（零星造林补助）</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5.00</w:t>
            </w:r>
          </w:p>
        </w:tc>
        <w:tc>
          <w:tcPr>
            <w:hMerge w:val="restart"/>
            <w:vAlign w:val="center"/>
          </w:tcPr>
          <w:tcPr>
            <w:tcW w:type="dxa" w:w="1691"/>
          </w:tcPr>
          <w:p>
            <w:pPr>
              <w:jc w:val="center"/>
            </w:pPr>
            <w:r>
              <w:rPr>
                <w:rFonts w:ascii="宋体" w:hAnsi="宋体" w:cs="宋体" w:eastAsia="宋体"/>
                <w:b w:val="false"/>
                <w:i w:val="false"/>
                <w:sz w:val="24"/>
              </w:rPr>
              <w:t>5.00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5.00</w:t>
            </w:r>
          </w:p>
        </w:tc>
        <w:tc>
          <w:tcPr>
            <w:hMerge w:val="restart"/>
            <w:vAlign w:val="center"/>
          </w:tcPr>
          <w:tcPr>
            <w:tcW w:type="dxa" w:w="1691"/>
          </w:tcPr>
          <w:p>
            <w:pPr>
              <w:jc w:val="center"/>
            </w:pPr>
            <w:r>
              <w:rPr>
                <w:rFonts w:ascii="宋体" w:hAnsi="宋体" w:cs="宋体" w:eastAsia="宋体"/>
                <w:b w:val="false"/>
                <w:i w:val="false"/>
                <w:sz w:val="24"/>
              </w:rPr>
              <w:t>5.00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开展2023年零星造林补助项目</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完成零星造林补助.</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补助乡镇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完成零星造林</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预算执行情况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资金投入情况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是否明显促进森质量提升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闽财资环指〔2024〕42号，2025年省级财政林业专项资金（林业经济发展—竹产业发展61万元）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省级下达林下经济专项资金61万元</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61.00</w:t>
            </w:r>
          </w:p>
        </w:tc>
        <w:tc>
          <w:tcPr>
            <w:hMerge w:val="restart"/>
            <w:vAlign w:val="center"/>
          </w:tcPr>
          <w:tcPr>
            <w:tcW w:type="dxa" w:w="1691"/>
          </w:tcPr>
          <w:p>
            <w:pPr>
              <w:jc w:val="center"/>
            </w:pPr>
            <w:r>
              <w:rPr>
                <w:rFonts w:ascii="宋体" w:hAnsi="宋体" w:cs="宋体" w:eastAsia="宋体"/>
                <w:b w:val="false"/>
                <w:i w:val="false"/>
                <w:sz w:val="24"/>
              </w:rPr>
              <w:t>61.00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61.00</w:t>
            </w:r>
          </w:p>
        </w:tc>
        <w:tc>
          <w:tcPr>
            <w:hMerge w:val="restart"/>
            <w:vAlign w:val="center"/>
          </w:tcPr>
          <w:tcPr>
            <w:tcW w:type="dxa" w:w="1691"/>
          </w:tcPr>
          <w:p>
            <w:pPr>
              <w:jc w:val="center"/>
            </w:pPr>
            <w:r>
              <w:rPr>
                <w:rFonts w:ascii="宋体" w:hAnsi="宋体" w:cs="宋体" w:eastAsia="宋体"/>
                <w:b w:val="false"/>
                <w:i w:val="false"/>
                <w:sz w:val="24"/>
              </w:rPr>
              <w:t>61.00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完成省级林下经济补助项目建设</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全年新增新型林业经营主体20个，新建规模化林下经济基地30个，利用林地面积近5000亩，超额完成上级下达的目标任务。</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参与林下经济就业人数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≥300人</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hMerge w:val="restart"/>
            <w:vMerge w:val="restart"/>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林下经济项目验收合格率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95</w:t>
            </w:r>
          </w:p>
        </w:tc>
        <w:tc>
          <w:tcPr>
            <w:vAlign w:val="center"/>
          </w:tcPr>
          <w:tcPr>
            <w:tcW w:type="dxa" w:w="1691"/>
          </w:tcPr>
          <w:p>
            <w:pPr>
              <w:jc w:val="right"/>
            </w:pPr>
            <w:r>
              <w:rPr>
                <w:rFonts w:ascii="宋体" w:hAnsi="宋体" w:cs="宋体" w:eastAsia="宋体"/>
                <w:b w:val="false"/>
                <w:i w:val="false"/>
                <w:sz w:val="24"/>
              </w:rPr>
              <w:t>15</w:t>
            </w:r>
          </w:p>
        </w:tc>
        <w:tc>
          <w:tcPr>
            <w:vAlign w:val="center"/>
          </w:tcPr>
          <w:tcPr>
            <w:tcW w:type="dxa" w:w="1691"/>
          </w:tcPr>
          <w:p>
            <w:pPr>
              <w:jc w:val="right"/>
            </w:pPr>
            <w:r>
              <w:rPr>
                <w:rFonts w:ascii="宋体" w:hAnsi="宋体" w:cs="宋体" w:eastAsia="宋体"/>
                <w:b w:val="false"/>
                <w:i w:val="false"/>
                <w:sz w:val="24"/>
              </w:rPr>
              <w:t>15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hMerge w:val="restart"/>
            <w:vMerge w:val="continue"/>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项目申报及时率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≥92%</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92</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预算执行进度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财政困难</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生态环境成本指标</w:t>
            </w:r>
          </w:p>
        </w:tc>
        <w:tc>
          <w:tcPr>
            <w:hMerge w:val="restart"/>
            <w:vAlign w:val="center"/>
          </w:tcPr>
          <w:tcPr>
            <w:tcW w:type="dxa" w:w="1691"/>
          </w:tcPr>
          <w:p>
            <w:pPr>
              <w:jc w:val="right"/>
            </w:pPr>
            <w:r>
              <w:rPr>
                <w:rFonts w:ascii="宋体" w:hAnsi="宋体" w:cs="宋体" w:eastAsia="宋体"/>
                <w:b w:val="false"/>
                <w:i w:val="false"/>
                <w:sz w:val="22"/>
              </w:rPr>
              <w:t>新增林下经济利用面积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≥1500亩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1500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经济效益指标</w:t>
            </w:r>
          </w:p>
        </w:tc>
        <w:tc>
          <w:tcPr>
            <w:hMerge w:val="restart"/>
            <w:vAlign w:val="center"/>
          </w:tcPr>
          <w:tcPr>
            <w:tcW w:type="dxa" w:w="1691"/>
          </w:tcPr>
          <w:p>
            <w:pPr>
              <w:jc w:val="right"/>
            </w:pPr>
            <w:r>
              <w:rPr>
                <w:rFonts w:ascii="宋体" w:hAnsi="宋体" w:cs="宋体" w:eastAsia="宋体"/>
                <w:b w:val="false"/>
                <w:i w:val="false"/>
                <w:sz w:val="22"/>
              </w:rPr>
              <w:t>参与林下经济林农增加的收入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≥5500元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5500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带动周边农民形成区域产业带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=效果显著无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效果显著</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林下经济项目参与农户满意度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≥91%</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85</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良（90&gt;S≧80）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Merge w:val="restart"/>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r>
        <w:tc>
          <w:tcPr>
            <w:hMerge w:val="restart"/>
            <w:vMerge w:val="continue"/>
            <w:vAlign w:val="center"/>
          </w:tcPr>
          <w:tcPr>
            <w:tcW w:type="dxa" w:w="1691"/>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林下经济产业同质化现象较为突出，特色优势品种培育力度不足；产品多以初级原料为主，精深加工环节短板明显，附加值偏低；市场销售渠道仍以传统模式为主，稳定性不足。</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优化产业结构，精深加工环节，培育特色优势品种，加强产业整体抵御市场风险的能力。</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泉财指标〔2023〕1235号2014年省级财政林业专项资金（第二批）新型经营主体标准化建设</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101.50</w:t>
            </w:r>
          </w:p>
        </w:tc>
        <w:tc>
          <w:tcPr>
            <w:hMerge w:val="restart"/>
            <w:vAlign w:val="center"/>
          </w:tcPr>
          <w:tcPr>
            <w:tcW w:type="dxa" w:w="1691"/>
          </w:tcPr>
          <w:p>
            <w:pPr>
              <w:jc w:val="center"/>
            </w:pPr>
            <w:r>
              <w:rPr>
                <w:rFonts w:ascii="宋体" w:hAnsi="宋体" w:cs="宋体" w:eastAsia="宋体"/>
                <w:b w:val="false"/>
                <w:i w:val="false"/>
                <w:sz w:val="24"/>
              </w:rPr>
              <w:t>101.50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101.50</w:t>
            </w:r>
          </w:p>
        </w:tc>
        <w:tc>
          <w:tcPr>
            <w:hMerge w:val="restart"/>
            <w:vAlign w:val="center"/>
          </w:tcPr>
          <w:tcPr>
            <w:tcW w:type="dxa" w:w="1691"/>
          </w:tcPr>
          <w:p>
            <w:pPr>
              <w:jc w:val="center"/>
            </w:pPr>
            <w:r>
              <w:rPr>
                <w:rFonts w:ascii="宋体" w:hAnsi="宋体" w:cs="宋体" w:eastAsia="宋体"/>
                <w:b w:val="false"/>
                <w:i w:val="false"/>
                <w:sz w:val="24"/>
              </w:rPr>
              <w:t>101.50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2014年新型经营主体标准化建设</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开展新型经营主体标准化建设工作。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新型经营主体标准化建设项目达标率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项目建设合格率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项目完成率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≥101.5万元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财政紧张，资金待批复。</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新型经营主体标准化建设项目参与户数量</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≥70户</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70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林农满意度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良（90&gt;S≧80）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Merge w:val="restart"/>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r>
        <w:tc>
          <w:tcPr>
            <w:hMerge w:val="restart"/>
            <w:vMerge w:val="continue"/>
            <w:vAlign w:val="center"/>
          </w:tcPr>
          <w:tcPr>
            <w:tcW w:type="dxa" w:w="1691"/>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xml:space="preserve"> 新型林业经营主体普遍存在规模小、组织化程度低、经营管理粗放等问题，合作社、家庭林场等发展不够规范。</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加大龙头企业带动作用，规范合作社、家庭林场发展，实现集约化、标准化生产。</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2025年森林生态效益补偿本级配套资金</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2025年生态效益补偿南安本级配套资金</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4.99</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4.99</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4.99</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4.99</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用于森林综合保险及森林资源管护员工资等。</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已完成2025年生态效益补偿南安本级配套。</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生态林乔木和其他林管护面积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≥49.9323万亩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49.9332</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森林资源管护责任落实率%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预算执行率%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每亩生态林乔木和其他林提高的补偿标准（元/亩）</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≥1（元/亩）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持续发挥生态作用</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泉财指标〔2023〕1104号，2024年森林综合保险财政保费补贴资金（省级102.63万元）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102.63</w:t>
            </w:r>
          </w:p>
        </w:tc>
        <w:tc>
          <w:tcPr>
            <w:hMerge w:val="restart"/>
            <w:vAlign w:val="center"/>
          </w:tcPr>
          <w:tcPr>
            <w:tcW w:type="dxa" w:w="1691"/>
          </w:tcPr>
          <w:p>
            <w:pPr>
              <w:jc w:val="center"/>
            </w:pPr>
            <w:r>
              <w:rPr>
                <w:rFonts w:ascii="宋体" w:hAnsi="宋体" w:cs="宋体" w:eastAsia="宋体"/>
                <w:b w:val="false"/>
                <w:i w:val="false"/>
                <w:sz w:val="24"/>
              </w:rPr>
              <w:t>102.63</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102.63</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102.63</w:t>
            </w:r>
          </w:p>
        </w:tc>
        <w:tc>
          <w:tcPr>
            <w:hMerge w:val="restart"/>
            <w:vAlign w:val="center"/>
          </w:tcPr>
          <w:tcPr>
            <w:tcW w:type="dxa" w:w="1691"/>
          </w:tcPr>
          <w:p>
            <w:pPr>
              <w:jc w:val="center"/>
            </w:pPr>
            <w:r>
              <w:rPr>
                <w:rFonts w:ascii="宋体" w:hAnsi="宋体" w:cs="宋体" w:eastAsia="宋体"/>
                <w:b w:val="false"/>
                <w:i w:val="false"/>
                <w:sz w:val="24"/>
              </w:rPr>
              <w:t>102.63</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102.63</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年终结转结余（2024年森林综合保险财政保费补贴资金）</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完成2024年森林综合保险财政投保工作。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省级以上生态公益林面积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≥nullnull</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51.0866</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风险保障水平</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=高于去年无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高于去年</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项目完成时间（年）</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≥1年</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≥102.63万元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102.63</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经济效益指标</w:t>
            </w:r>
          </w:p>
        </w:tc>
        <w:tc>
          <w:tcPr>
            <w:hMerge w:val="restart"/>
            <w:vAlign w:val="center"/>
          </w:tcPr>
          <w:tcPr>
            <w:tcW w:type="dxa" w:w="1691"/>
          </w:tcPr>
          <w:p>
            <w:pPr>
              <w:jc w:val="right"/>
            </w:pPr>
            <w:r>
              <w:rPr>
                <w:rFonts w:ascii="宋体" w:hAnsi="宋体" w:cs="宋体" w:eastAsia="宋体"/>
                <w:b w:val="false"/>
                <w:i w:val="false"/>
                <w:sz w:val="22"/>
              </w:rPr>
              <w:t>农业保险综合费用率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≤20%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闽财资环指〔2025〕1号，中央财政林业草原资金</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中央财政林业草原资金396386元（天然商品林停伐管护补助290398元，国家级公益林生态补偿资金105988元）</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39.64</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39.64</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39.64</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39.64</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用于森林综合保险和直接管护费及公共管护支出。</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用于森林综合保险和直接管护费及公共管护支出。</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hMerge w:val="restart"/>
            <w:vMerge w:val="restart"/>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国有林管护面积（万亩）</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≥0.0002万亩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0.00020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hMerge w:val="restart"/>
            <w:vMerge w:val="continue"/>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国家级公益林生态保护补偿面积（万亩）</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≥4.7099万亩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4.7099</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森林资源管护责任落实率%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非国有林生态保护当期任务完成率%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非国有林生态保护补偿标准（元/亩）</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≥16元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16</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社会成本指标</w:t>
            </w:r>
          </w:p>
        </w:tc>
        <w:tc>
          <w:tcPr>
            <w:hMerge w:val="restart"/>
            <w:vAlign w:val="center"/>
          </w:tcPr>
          <w:tcPr>
            <w:tcW w:type="dxa" w:w="1691"/>
          </w:tcPr>
          <w:p>
            <w:pPr>
              <w:jc w:val="right"/>
            </w:pPr>
            <w:r>
              <w:rPr>
                <w:rFonts w:ascii="宋体" w:hAnsi="宋体" w:cs="宋体" w:eastAsia="宋体"/>
                <w:b w:val="false"/>
                <w:i w:val="false"/>
                <w:sz w:val="22"/>
              </w:rPr>
              <w:t>已落实管护责任的天然商品林</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≥12.9623万亩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12.9623</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持续发挥生态作用</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=逐步提升无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逐步提升</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≥89%</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89</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泉财农指〔2024〕101号，2024年泉州市级财政现代林业经济专项资金（第二批）：实用林产品质量监测1万元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1.00</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1.00</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开展2024年实用林产品质量监测</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开展实用林产品质量监测工作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新增食用林产品入驻可追溯体系建设（个）</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≥2个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2</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林产品和土壤检测</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≥10批次</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监测完成率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增加企业收入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=逐步增加无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逐步增加</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 xml:space="preserve">	
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泉财农指〔2024〕56号，2024年泉州市级财政森林资源培育与管护专项资金（第一批）：造林绿化——中央财政国土绿化试点示范项目配套</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20.00</w:t>
            </w:r>
          </w:p>
        </w:tc>
        <w:tc>
          <w:tcPr>
            <w:hMerge w:val="restart"/>
            <w:vAlign w:val="center"/>
          </w:tcPr>
          <w:tcPr>
            <w:tcW w:type="dxa" w:w="1691"/>
          </w:tcPr>
          <w:p>
            <w:pPr>
              <w:jc w:val="center"/>
            </w:pPr>
            <w:r>
              <w:rPr>
                <w:rFonts w:ascii="宋体" w:hAnsi="宋体" w:cs="宋体" w:eastAsia="宋体"/>
                <w:b w:val="false"/>
                <w:i w:val="false"/>
                <w:sz w:val="24"/>
              </w:rPr>
              <w:t>20.00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20.00</w:t>
            </w:r>
          </w:p>
        </w:tc>
        <w:tc>
          <w:tcPr>
            <w:hMerge w:val="restart"/>
            <w:vAlign w:val="center"/>
          </w:tcPr>
          <w:tcPr>
            <w:tcW w:type="dxa" w:w="1691"/>
          </w:tcPr>
          <w:p>
            <w:pPr>
              <w:jc w:val="center"/>
            </w:pPr>
            <w:r>
              <w:rPr>
                <w:rFonts w:ascii="宋体" w:hAnsi="宋体" w:cs="宋体" w:eastAsia="宋体"/>
                <w:b w:val="false"/>
                <w:i w:val="false"/>
                <w:sz w:val="24"/>
              </w:rPr>
              <w:t>20.00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年终结转结余（中央财政国土绿化试点示范项目配套）</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完成乡村绿化提升项目10个。</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乡村绿化提升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≥10万亩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森林蓄积提升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=有效提升无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有效提升</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任务分解情况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≥20万元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林业政策知晓率率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泉财指标〔2023〕1235号，2024年省级财政林业专项资金（第二批）：造林绿化426.21万元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实施2024年省级造林绿化工作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426.21</w:t>
            </w:r>
          </w:p>
        </w:tc>
        <w:tc>
          <w:tcPr>
            <w:hMerge w:val="restart"/>
            <w:vAlign w:val="center"/>
          </w:tcPr>
          <w:tcPr>
            <w:tcW w:type="dxa" w:w="1691"/>
          </w:tcPr>
          <w:p>
            <w:pPr>
              <w:jc w:val="center"/>
            </w:pPr>
            <w:r>
              <w:rPr>
                <w:rFonts w:ascii="宋体" w:hAnsi="宋体" w:cs="宋体" w:eastAsia="宋体"/>
                <w:b w:val="false"/>
                <w:i w:val="false"/>
                <w:sz w:val="24"/>
              </w:rPr>
              <w:t>426.21</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29.20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6.85</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426.21</w:t>
            </w:r>
          </w:p>
        </w:tc>
        <w:tc>
          <w:tcPr>
            <w:hMerge w:val="restart"/>
            <w:vAlign w:val="center"/>
          </w:tcPr>
          <w:tcPr>
            <w:tcW w:type="dxa" w:w="1691"/>
          </w:tcPr>
          <w:p>
            <w:pPr>
              <w:jc w:val="center"/>
            </w:pPr>
            <w:r>
              <w:rPr>
                <w:rFonts w:ascii="宋体" w:hAnsi="宋体" w:cs="宋体" w:eastAsia="宋体"/>
                <w:b w:val="false"/>
                <w:i w:val="false"/>
                <w:sz w:val="24"/>
              </w:rPr>
              <w:t>426.21</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29.20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6.85</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实施2024年省级植树造林任务</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已完成实施2024年省级植树造林任务，植树造林面积5500亩（油茶发展2420亩、珍贵树种2550亩）、森林抚育3000亩，建设省级森林城镇1个、森林村庄2个。</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hMerge w:val="restart"/>
            <w:vMerge w:val="restart"/>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植树造林面积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≥5500亩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5500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hMerge w:val="restart"/>
            <w:vMerge w:val="continue"/>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森林抚育面积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≥3000亩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3000</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hMerge w:val="restart"/>
            <w:vMerge w:val="restart"/>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造林成活率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hMerge w:val="restart"/>
            <w:vMerge w:val="continue"/>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森林抚育质量合格率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项目完成时效</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≥12月</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12</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珍贵树种造林平均补助标准</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≥550元/亩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550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 xml:space="preserve">生态环境可持续发展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社会群众对造林绿化满意度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泉财指标【2022】224号2022年省级财政林业专项资金（市县第一批）南财指标【2022】504号</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14.64</w:t>
            </w:r>
          </w:p>
        </w:tc>
        <w:tc>
          <w:tcPr>
            <w:hMerge w:val="restart"/>
            <w:vAlign w:val="center"/>
          </w:tcPr>
          <w:tcPr>
            <w:tcW w:type="dxa" w:w="1691"/>
          </w:tcPr>
          <w:p>
            <w:pPr>
              <w:jc w:val="center"/>
            </w:pPr>
            <w:r>
              <w:rPr>
                <w:rFonts w:ascii="宋体" w:hAnsi="宋体" w:cs="宋体" w:eastAsia="宋体"/>
                <w:b w:val="false"/>
                <w:i w:val="false"/>
                <w:sz w:val="24"/>
              </w:rPr>
              <w:t>14.64</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14.64</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14.64</w:t>
            </w:r>
          </w:p>
        </w:tc>
        <w:tc>
          <w:tcPr>
            <w:hMerge w:val="restart"/>
            <w:vAlign w:val="center"/>
          </w:tcPr>
          <w:tcPr>
            <w:tcW w:type="dxa" w:w="1691"/>
          </w:tcPr>
          <w:p>
            <w:pPr>
              <w:jc w:val="center"/>
            </w:pPr>
            <w:r>
              <w:rPr>
                <w:rFonts w:ascii="宋体" w:hAnsi="宋体" w:cs="宋体" w:eastAsia="宋体"/>
                <w:b w:val="false"/>
                <w:i w:val="false"/>
                <w:sz w:val="24"/>
              </w:rPr>
              <w:t>14.64</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14.64</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完成2022年林草湿调查工作。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核实变化图斑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≥4034个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4034</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森林资源数据年度更新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工作进度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=按上级规定时间部署无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工作经费</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≥14.64万元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14.64</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评估自然防御能力（是/否）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泉财农指〔2025〕41号，2025年泉州市级财政现代林业经济专项资金（第一批）林下经济45万元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完成9个泉州市级林下经济基地建设。</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45.00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45.00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完成9个泉州市级林下经济基地建设。</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完成9个泉州市级林下经济基地建设</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新增林下经济项目个数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项目建设合格率（%）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项目建设任务完成率（%）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林下经济扶持项目补助（元/个）</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=50000元/个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50000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经济效益指标</w:t>
            </w:r>
          </w:p>
        </w:tc>
        <w:tc>
          <w:tcPr>
            <w:hMerge w:val="restart"/>
            <w:vAlign w:val="center"/>
          </w:tcPr>
          <w:tcPr>
            <w:tcW w:type="dxa" w:w="1691"/>
          </w:tcPr>
          <w:p>
            <w:pPr>
              <w:jc w:val="right"/>
            </w:pPr>
            <w:r>
              <w:rPr>
                <w:rFonts w:ascii="宋体" w:hAnsi="宋体" w:cs="宋体" w:eastAsia="宋体"/>
                <w:b w:val="false"/>
                <w:i w:val="false"/>
                <w:sz w:val="22"/>
              </w:rPr>
              <w:t>增加企业收入%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反映经营主体满意度%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南财指标〔2024〕854号，林权档案整理工作经费</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15.98</w:t>
            </w:r>
          </w:p>
        </w:tc>
        <w:tc>
          <w:tcPr>
            <w:hMerge w:val="restart"/>
            <w:vAlign w:val="center"/>
          </w:tcPr>
          <w:tcPr>
            <w:tcW w:type="dxa" w:w="1691"/>
          </w:tcPr>
          <w:p>
            <w:pPr>
              <w:jc w:val="center"/>
            </w:pPr>
            <w:r>
              <w:rPr>
                <w:rFonts w:ascii="宋体" w:hAnsi="宋体" w:cs="宋体" w:eastAsia="宋体"/>
                <w:b w:val="false"/>
                <w:i w:val="false"/>
                <w:sz w:val="24"/>
              </w:rPr>
              <w:t>15.98</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15.98</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15.98</w:t>
            </w:r>
          </w:p>
        </w:tc>
        <w:tc>
          <w:tcPr>
            <w:hMerge w:val="restart"/>
            <w:vAlign w:val="center"/>
          </w:tcPr>
          <w:tcPr>
            <w:tcW w:type="dxa" w:w="1691"/>
          </w:tcPr>
          <w:p>
            <w:pPr>
              <w:jc w:val="center"/>
            </w:pPr>
            <w:r>
              <w:rPr>
                <w:rFonts w:ascii="宋体" w:hAnsi="宋体" w:cs="宋体" w:eastAsia="宋体"/>
                <w:b w:val="false"/>
                <w:i w:val="false"/>
                <w:sz w:val="24"/>
              </w:rPr>
              <w:t>15.98</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15.98</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年终结转结余（林权档案整理工作经费）</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完成林权档案整理及数字化处理。</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林权档案数量</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≥12783册</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12793</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电子信息化完成情况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预算执行率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≤15.97875万元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15.9787</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林权信息查询效率提升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泉财农指〔2024〕101号，2024年泉州市级财政现代林业经济专项资金（第二批）：一品一码4万元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4.00</w:t>
            </w:r>
          </w:p>
        </w:tc>
        <w:tc>
          <w:tcPr>
            <w:hMerge w:val="restart"/>
            <w:vAlign w:val="center"/>
          </w:tcPr>
          <w:tcPr>
            <w:tcW w:type="dxa" w:w="1691"/>
          </w:tcPr>
          <w:p>
            <w:pPr>
              <w:jc w:val="center"/>
            </w:pPr>
            <w:r>
              <w:rPr>
                <w:rFonts w:ascii="宋体" w:hAnsi="宋体" w:cs="宋体" w:eastAsia="宋体"/>
                <w:b w:val="false"/>
                <w:i w:val="false"/>
                <w:sz w:val="24"/>
              </w:rPr>
              <w:t>4.00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4.00</w:t>
            </w:r>
          </w:p>
        </w:tc>
        <w:tc>
          <w:tcPr>
            <w:hMerge w:val="restart"/>
            <w:vAlign w:val="center"/>
          </w:tcPr>
          <w:tcPr>
            <w:tcW w:type="dxa" w:w="1691"/>
          </w:tcPr>
          <w:p>
            <w:pPr>
              <w:jc w:val="center"/>
            </w:pPr>
            <w:r>
              <w:rPr>
                <w:rFonts w:ascii="宋体" w:hAnsi="宋体" w:cs="宋体" w:eastAsia="宋体"/>
                <w:b w:val="false"/>
                <w:i w:val="false"/>
                <w:sz w:val="24"/>
              </w:rPr>
              <w:t>4.00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开展2024年一品一码工作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开展2024年一品一码工作。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科技推广项目（个）</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林业技术水平提升（是/否）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完成情况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科技推广项目补助标准（万元/个）</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≥4万元/个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4</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生态环境明显改善（是/否）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 xml:space="preserve">	
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泉财指标〔2023〕435号2023年市级财政现代林业经济专项资金（第一批）</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25.00</w:t>
            </w:r>
          </w:p>
        </w:tc>
        <w:tc>
          <w:tcPr>
            <w:hMerge w:val="restart"/>
            <w:vAlign w:val="center"/>
          </w:tcPr>
          <w:tcPr>
            <w:tcW w:type="dxa" w:w="1691"/>
          </w:tcPr>
          <w:p>
            <w:pPr>
              <w:jc w:val="center"/>
            </w:pPr>
            <w:r>
              <w:rPr>
                <w:rFonts w:ascii="宋体" w:hAnsi="宋体" w:cs="宋体" w:eastAsia="宋体"/>
                <w:b w:val="false"/>
                <w:i w:val="false"/>
                <w:sz w:val="24"/>
              </w:rPr>
              <w:t>25.00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25.00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25.00</w:t>
            </w:r>
          </w:p>
        </w:tc>
        <w:tc>
          <w:tcPr>
            <w:hMerge w:val="restart"/>
            <w:vAlign w:val="center"/>
          </w:tcPr>
          <w:tcPr>
            <w:tcW w:type="dxa" w:w="1691"/>
          </w:tcPr>
          <w:p>
            <w:pPr>
              <w:jc w:val="center"/>
            </w:pPr>
            <w:r>
              <w:rPr>
                <w:rFonts w:ascii="宋体" w:hAnsi="宋体" w:cs="宋体" w:eastAsia="宋体"/>
                <w:b w:val="false"/>
                <w:i w:val="false"/>
                <w:sz w:val="24"/>
              </w:rPr>
              <w:t>25.00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25.00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完成花卉一、二、三产业融合发展转型增效建设2个，林业保障性苗圃建设1个。</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苗圃建设（个）</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转型增效建设</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≥2个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2</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增加企业收入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=逐步增加无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逐步增加</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带动苗农增收（万元）</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≥50万元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提高生产技术水平和知名度（是/否）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2025年全市森林资源管护员工资</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2025年全市森林资源管护员工资</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154.20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138.57</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89.86</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7</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154.20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138.57</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89.86</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2025年全市森林管护员工资</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发放2025年全市森林资源管护员工资。</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管护人数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≥154人</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154</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人均每月基本工资</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≥3000元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3000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预算执行进度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预算执行率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89.86</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8.99</w:t>
            </w:r>
          </w:p>
        </w:tc>
        <w:tc>
          <w:tcPr>
            <w:hMerge w:val="restart"/>
            <w:vAlign w:val="center"/>
          </w:tcPr>
          <w:tcPr>
            <w:tcW w:type="dxa" w:w="1691"/>
          </w:tcPr>
          <w:p>
            <w:pPr>
              <w:jc w:val="right"/>
            </w:pPr>
            <w:r>
              <w:rPr>
                <w:rFonts w:ascii="宋体" w:hAnsi="宋体" w:cs="宋体" w:eastAsia="宋体"/>
                <w:b w:val="false"/>
                <w:i w:val="false"/>
                <w:sz w:val="24"/>
              </w:rPr>
              <w:t>待财政批复资金</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加强森林资源管护</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社会公众对森林管护工作满意度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95.99</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泉财指标〔2023〕1243号--林业有害生物防治资金补助</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111.00</w:t>
            </w:r>
          </w:p>
        </w:tc>
        <w:tc>
          <w:tcPr>
            <w:hMerge w:val="restart"/>
            <w:vAlign w:val="center"/>
          </w:tcPr>
          <w:tcPr>
            <w:tcW w:type="dxa" w:w="1691"/>
          </w:tcPr>
          <w:p>
            <w:pPr>
              <w:jc w:val="center"/>
            </w:pPr>
            <w:r>
              <w:rPr>
                <w:rFonts w:ascii="宋体" w:hAnsi="宋体" w:cs="宋体" w:eastAsia="宋体"/>
                <w:b w:val="false"/>
                <w:i w:val="false"/>
                <w:sz w:val="24"/>
              </w:rPr>
              <w:t>111.00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111.00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111.00</w:t>
            </w:r>
          </w:p>
        </w:tc>
        <w:tc>
          <w:tcPr>
            <w:hMerge w:val="restart"/>
            <w:vAlign w:val="center"/>
          </w:tcPr>
          <w:tcPr>
            <w:tcW w:type="dxa" w:w="1691"/>
          </w:tcPr>
          <w:p>
            <w:pPr>
              <w:jc w:val="center"/>
            </w:pPr>
            <w:r>
              <w:rPr>
                <w:rFonts w:ascii="宋体" w:hAnsi="宋体" w:cs="宋体" w:eastAsia="宋体"/>
                <w:b w:val="false"/>
                <w:i w:val="false"/>
                <w:sz w:val="24"/>
              </w:rPr>
              <w:t>111.00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111.00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开展林业有害生物防治工作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开展林业有害生物防治工作。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防治任务完成率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松材线虫病防控目标完成率（%）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40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可持续影响</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补助资金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≥111万元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111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林业草原有害生物元公害防治成效</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泉财指标〔2023〕433号泉州市级绿化、生态项目（南财指标〔2023〕639号）</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82.00</w:t>
            </w:r>
          </w:p>
        </w:tc>
        <w:tc>
          <w:tcPr>
            <w:hMerge w:val="restart"/>
            <w:vAlign w:val="center"/>
          </w:tcPr>
          <w:tcPr>
            <w:tcW w:type="dxa" w:w="1691"/>
          </w:tcPr>
          <w:p>
            <w:pPr>
              <w:jc w:val="center"/>
            </w:pPr>
            <w:r>
              <w:rPr>
                <w:rFonts w:ascii="宋体" w:hAnsi="宋体" w:cs="宋体" w:eastAsia="宋体"/>
                <w:b w:val="false"/>
                <w:i w:val="false"/>
                <w:sz w:val="24"/>
              </w:rPr>
              <w:t>82.00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62.62</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76.37</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82.00</w:t>
            </w:r>
          </w:p>
        </w:tc>
        <w:tc>
          <w:tcPr>
            <w:hMerge w:val="restart"/>
            <w:vAlign w:val="center"/>
          </w:tcPr>
          <w:tcPr>
            <w:tcW w:type="dxa" w:w="1691"/>
          </w:tcPr>
          <w:p>
            <w:pPr>
              <w:jc w:val="center"/>
            </w:pPr>
            <w:r>
              <w:rPr>
                <w:rFonts w:ascii="宋体" w:hAnsi="宋体" w:cs="宋体" w:eastAsia="宋体"/>
                <w:b w:val="false"/>
                <w:i w:val="false"/>
                <w:sz w:val="24"/>
              </w:rPr>
              <w:t>82.00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62.62</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76.37</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完成建设重点区域林相改善1800亩、乡村绿化提升6个、古树名木保护管理示范点1个、森林生态文明宣传示范点1个、义务植树基地示范点1个。</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乡村绿化提升行动村庄个数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≥6个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6</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建设森林生态文明宣传示范点</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分解下达任务率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建设重点区域林相改善</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≥1800亩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1800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森林生态系统功能改善可持续影响</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公益林林权所有者满意度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南安市产业生态走廊（茂盛路）裸露山体整治工程 南财指标〔2023〕365号</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开展茂盛路裸露山体整治</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194.80</w:t>
            </w:r>
          </w:p>
        </w:tc>
        <w:tc>
          <w:tcPr>
            <w:hMerge w:val="restart"/>
            <w:vAlign w:val="center"/>
          </w:tcPr>
          <w:tcPr>
            <w:tcW w:type="dxa" w:w="1691"/>
          </w:tcPr>
          <w:p>
            <w:pPr>
              <w:jc w:val="center"/>
            </w:pPr>
            <w:r>
              <w:rPr>
                <w:rFonts w:ascii="宋体" w:hAnsi="宋体" w:cs="宋体" w:eastAsia="宋体"/>
                <w:b w:val="false"/>
                <w:i w:val="false"/>
                <w:sz w:val="24"/>
              </w:rPr>
              <w:t>194.80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100.00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51.33</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194.80</w:t>
            </w:r>
          </w:p>
        </w:tc>
        <w:tc>
          <w:tcPr>
            <w:hMerge w:val="restart"/>
            <w:vAlign w:val="center"/>
          </w:tcPr>
          <w:tcPr>
            <w:tcW w:type="dxa" w:w="1691"/>
          </w:tcPr>
          <w:p>
            <w:pPr>
              <w:jc w:val="center"/>
            </w:pPr>
            <w:r>
              <w:rPr>
                <w:rFonts w:ascii="宋体" w:hAnsi="宋体" w:cs="宋体" w:eastAsia="宋体"/>
                <w:b w:val="false"/>
                <w:i w:val="false"/>
                <w:sz w:val="24"/>
              </w:rPr>
              <w:t>194.80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100.00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51.33</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开展茂盛路裸露山体整治</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已完成产业生态走廊（茂盛路）裸露山体整治工程项目建设。</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完成边坡整治数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项目验收合格情况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合格无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合格</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整治完成时效</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≤8个月</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项目成本控制</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≤358万</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358</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生态环境成本指标</w:t>
            </w:r>
          </w:p>
        </w:tc>
        <w:tc>
          <w:tcPr>
            <w:hMerge w:val="restart"/>
            <w:vAlign w:val="center"/>
          </w:tcPr>
          <w:tcPr>
            <w:tcW w:type="dxa" w:w="1691"/>
          </w:tcPr>
          <w:p>
            <w:pPr>
              <w:jc w:val="right"/>
            </w:pPr>
            <w:r>
              <w:rPr>
                <w:rFonts w:ascii="宋体" w:hAnsi="宋体" w:cs="宋体" w:eastAsia="宋体"/>
                <w:b w:val="false"/>
                <w:i w:val="false"/>
                <w:sz w:val="22"/>
              </w:rPr>
              <w:t>边坡整治情况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受益乡镇个数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 xml:space="preserve">"生态环境可持续发展
"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 xml:space="preserve">社会群众对造林绿化满意度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泉财农指〔2024〕53号，2024年泉州市级财政现代林业经济专项资金（第一批）：林业保障性苗圃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20.00</w:t>
            </w:r>
          </w:p>
        </w:tc>
        <w:tc>
          <w:tcPr>
            <w:hMerge w:val="restart"/>
            <w:vAlign w:val="center"/>
          </w:tcPr>
          <w:tcPr>
            <w:tcW w:type="dxa" w:w="1691"/>
          </w:tcPr>
          <w:p>
            <w:pPr>
              <w:jc w:val="center"/>
            </w:pPr>
            <w:r>
              <w:rPr>
                <w:rFonts w:ascii="宋体" w:hAnsi="宋体" w:cs="宋体" w:eastAsia="宋体"/>
                <w:b w:val="false"/>
                <w:i w:val="false"/>
                <w:sz w:val="24"/>
              </w:rPr>
              <w:t>20.00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20.00</w:t>
            </w:r>
          </w:p>
        </w:tc>
        <w:tc>
          <w:tcPr>
            <w:hMerge w:val="restart"/>
            <w:vAlign w:val="center"/>
          </w:tcPr>
          <w:tcPr>
            <w:tcW w:type="dxa" w:w="1691"/>
          </w:tcPr>
          <w:p>
            <w:pPr>
              <w:jc w:val="center"/>
            </w:pPr>
            <w:r>
              <w:rPr>
                <w:rFonts w:ascii="宋体" w:hAnsi="宋体" w:cs="宋体" w:eastAsia="宋体"/>
                <w:b w:val="false"/>
                <w:i w:val="false"/>
                <w:sz w:val="24"/>
              </w:rPr>
              <w:t>20.00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年终结转结余（开展林业保障性苗圃工作）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根据上级文件规定，当年已获得中央、省级或上年获得市级同类财政补助的，原则上不予安排市级补助资金（市级应配套资金除外），因溪美琼玉苗圃场在2023年已实施过林业保障性苗圃项目，故我市2024年未实施该项目，将项目补助资金20万元结转至2025年使用。该项目仍在建设中。</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绿化苗木基地数量</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项目建设中</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苗木质量合格率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项目推进</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=有序推进无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有序推进</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补助资金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=20万元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经济效益指标</w:t>
            </w:r>
          </w:p>
        </w:tc>
        <w:tc>
          <w:tcPr>
            <w:hMerge w:val="restart"/>
            <w:vAlign w:val="center"/>
          </w:tcPr>
          <w:tcPr>
            <w:tcW w:type="dxa" w:w="1691"/>
          </w:tcPr>
          <w:p>
            <w:pPr>
              <w:jc w:val="right"/>
            </w:pPr>
            <w:r>
              <w:rPr>
                <w:rFonts w:ascii="宋体" w:hAnsi="宋体" w:cs="宋体" w:eastAsia="宋体"/>
                <w:b w:val="false"/>
                <w:i w:val="false"/>
                <w:sz w:val="22"/>
              </w:rPr>
              <w:t>增加收入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=逐步增加无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逐步增加</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良（90&gt;S≧80）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Merge w:val="restart"/>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r>
        <w:tc>
          <w:tcPr>
            <w:hMerge w:val="restart"/>
            <w:vMerge w:val="continue"/>
            <w:vAlign w:val="center"/>
          </w:tcPr>
          <w:tcPr>
            <w:tcW w:type="dxa" w:w="1691"/>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根据上级文件规定，当年已获得中央、省级或上年获得市级同类财政补助的，原则上不予安排市级补助资金（市级应配套资金除外），因溪美琼玉苗圃场在2023年已实施过林业保障性苗圃项目，故我市2024年未实施该项目，将项目补助资金20万元结转至2025年使用。</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根据上级文件规定，当年已获得中央、省级或上年获得市级同类财政补助的，原则上不予安排市级补助资金（市级应配套资金除外），因溪美琼玉苗圃场在2023年已实施过林业保障性苗圃项目，故我市2024年未实施该项目，将项目补助资金20万元结转至2025年使用。目前，该项目仍在建设中。</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林业技能竞赛</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0.30</w:t>
            </w:r>
          </w:p>
        </w:tc>
        <w:tc>
          <w:tcPr>
            <w:hMerge w:val="restart"/>
            <w:vAlign w:val="center"/>
          </w:tcPr>
          <w:tcPr>
            <w:tcW w:type="dxa" w:w="1691"/>
          </w:tcPr>
          <w:p>
            <w:pPr>
              <w:jc w:val="center"/>
            </w:pPr>
            <w:r>
              <w:rPr>
                <w:rFonts w:ascii="宋体" w:hAnsi="宋体" w:cs="宋体" w:eastAsia="宋体"/>
                <w:b w:val="false"/>
                <w:i w:val="false"/>
                <w:sz w:val="24"/>
              </w:rPr>
              <w:t>0.30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0.30</w:t>
            </w:r>
          </w:p>
        </w:tc>
        <w:tc>
          <w:tcPr>
            <w:hMerge w:val="restart"/>
            <w:vAlign w:val="center"/>
          </w:tcPr>
          <w:tcPr>
            <w:tcW w:type="dxa" w:w="1691"/>
          </w:tcPr>
          <w:p>
            <w:pPr>
              <w:jc w:val="center"/>
            </w:pPr>
            <w:r>
              <w:rPr>
                <w:rFonts w:ascii="宋体" w:hAnsi="宋体" w:cs="宋体" w:eastAsia="宋体"/>
                <w:b w:val="false"/>
                <w:i w:val="false"/>
                <w:sz w:val="24"/>
              </w:rPr>
              <w:t>0.30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对参加花卉竞赛的队伍进行补助</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已完成泉州市林业局组织的花卉竞赛。活动已结束，建议该资金收回国库。</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林地保有量面积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≥10.9252万公顷</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10.9252</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资金使用合规性</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合理使用无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合理使用</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项目建设完成及时率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预算执行率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经济效益指标</w:t>
            </w:r>
          </w:p>
        </w:tc>
        <w:tc>
          <w:tcPr>
            <w:hMerge w:val="restart"/>
            <w:vAlign w:val="center"/>
          </w:tcPr>
          <w:tcPr>
            <w:tcW w:type="dxa" w:w="1691"/>
          </w:tcPr>
          <w:p>
            <w:pPr>
              <w:jc w:val="right"/>
            </w:pPr>
            <w:r>
              <w:rPr>
                <w:rFonts w:ascii="宋体" w:hAnsi="宋体" w:cs="宋体" w:eastAsia="宋体"/>
                <w:b w:val="false"/>
                <w:i w:val="false"/>
                <w:sz w:val="22"/>
              </w:rPr>
              <w:t>参与林下经济林农增加的收入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≥5000元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5000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林业企事业单位满意度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≥88%</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88</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泉财农指〔2025〕56号，2025年中央财政林业草原专项资金（市县部分第二批）：森林生态保护修复补偿支出（森林修复）30.69万元）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完成森林保护修复补偿项目（天然林修复）建设1000亩。</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30.69</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30.69</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完成项目建设1000亩。</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完成天然林修复建设1000亩。</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保护修复面积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≥1000亩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保护修复合格率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项目完成及时率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森林生态修复补助兑现率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≥550%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550</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社会成本指标</w:t>
            </w:r>
          </w:p>
        </w:tc>
        <w:tc>
          <w:tcPr>
            <w:hMerge w:val="restart"/>
            <w:vAlign w:val="center"/>
          </w:tcPr>
          <w:tcPr>
            <w:tcW w:type="dxa" w:w="1691"/>
          </w:tcPr>
          <w:p>
            <w:pPr>
              <w:jc w:val="right"/>
            </w:pPr>
            <w:r>
              <w:rPr>
                <w:rFonts w:ascii="宋体" w:hAnsi="宋体" w:cs="宋体" w:eastAsia="宋体"/>
                <w:b w:val="false"/>
                <w:i w:val="false"/>
                <w:sz w:val="22"/>
              </w:rPr>
              <w:t>项目投入金额</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≥30.69万元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30.69</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森林生态系统功能改善可持续影响</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森林生态系统生态效益发挥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 xml:space="preserve">社会群众对造林绿化满意度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泉财农指〔2024〕147号，2025年省级财政林业生态补偿补助资金</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省级财政林业生态补偿资金3.91万元用于补偿自然保护地所有者</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3.91</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3.91</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对省级以上自然保护地林权所有者补偿</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已下达相关文件，资金待财政局批复后拨付。</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省级以上自然保护地林权所有者补助面积（万亩）</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≥1.31万亩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1.31</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省级以上自然地林权所有者补助面积变化（%）</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15</w:t>
            </w:r>
          </w:p>
        </w:tc>
        <w:tc>
          <w:tcPr>
            <w:vAlign w:val="center"/>
          </w:tcPr>
          <w:tcPr>
            <w:tcW w:type="dxa" w:w="1691"/>
          </w:tcPr>
          <w:p>
            <w:pPr>
              <w:jc w:val="right"/>
            </w:pPr>
            <w:r>
              <w:rPr>
                <w:rFonts w:ascii="宋体" w:hAnsi="宋体" w:cs="宋体" w:eastAsia="宋体"/>
                <w:b w:val="false"/>
                <w:i w:val="false"/>
                <w:sz w:val="24"/>
              </w:rPr>
              <w:t>15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省级以上自然地林权所有者补助任务完成率（%）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待财政资金批复</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省级以上自然保护地林权所有者补助（元/亩）</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≥3（元/亩）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w:t>
            </w:r>
          </w:p>
        </w:tc>
        <w:tc>
          <w:tcPr>
            <w:vAlign w:val="center"/>
          </w:tcPr>
          <w:tcPr>
            <w:tcW w:type="dxa" w:w="1691"/>
          </w:tcPr>
          <w:p>
            <w:pPr>
              <w:jc w:val="right"/>
            </w:pPr>
            <w:r>
              <w:rPr>
                <w:rFonts w:ascii="宋体" w:hAnsi="宋体" w:cs="宋体" w:eastAsia="宋体"/>
                <w:b w:val="false"/>
                <w:i w:val="false"/>
                <w:sz w:val="24"/>
              </w:rPr>
              <w:t>3</w:t>
            </w:r>
          </w:p>
        </w:tc>
        <w:tc>
          <w:tcPr>
            <w:vAlign w:val="center"/>
          </w:tcPr>
          <w:tcPr>
            <w:tcW w:type="dxa" w:w="1691"/>
          </w:tcPr>
          <w:p>
            <w:pPr>
              <w:jc w:val="right"/>
            </w:pPr>
            <w:r>
              <w:rPr>
                <w:rFonts w:ascii="宋体" w:hAnsi="宋体" w:cs="宋体" w:eastAsia="宋体"/>
                <w:b w:val="false"/>
                <w:i w:val="false"/>
                <w:sz w:val="24"/>
              </w:rPr>
              <w:t>3</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社会成本指标</w:t>
            </w:r>
          </w:p>
        </w:tc>
        <w:tc>
          <w:tcPr>
            <w:hMerge w:val="restart"/>
            <w:vAlign w:val="center"/>
          </w:tcPr>
          <w:tcPr>
            <w:tcW w:type="dxa" w:w="1691"/>
          </w:tcPr>
          <w:p>
            <w:pPr>
              <w:jc w:val="right"/>
            </w:pPr>
            <w:r>
              <w:rPr>
                <w:rFonts w:ascii="宋体" w:hAnsi="宋体" w:cs="宋体" w:eastAsia="宋体"/>
                <w:b w:val="false"/>
                <w:i w:val="false"/>
                <w:sz w:val="22"/>
              </w:rPr>
              <w:t>财政投入资金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≥3.91万元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3.91</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生态环境成本指标</w:t>
            </w:r>
          </w:p>
        </w:tc>
        <w:tc>
          <w:tcPr>
            <w:hMerge w:val="restart"/>
            <w:vAlign w:val="center"/>
          </w:tcPr>
          <w:tcPr>
            <w:tcW w:type="dxa" w:w="1691"/>
          </w:tcPr>
          <w:p>
            <w:pPr>
              <w:jc w:val="right"/>
            </w:pPr>
            <w:r>
              <w:rPr>
                <w:rFonts w:ascii="宋体" w:hAnsi="宋体" w:cs="宋体" w:eastAsia="宋体"/>
                <w:b w:val="false"/>
                <w:i w:val="false"/>
                <w:sz w:val="22"/>
              </w:rPr>
              <w:t>促进生态保护情况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=有效促进无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有效促进</w:t>
            </w:r>
          </w:p>
        </w:tc>
        <w:tc>
          <w:tcPr>
            <w:vAlign w:val="center"/>
          </w:tcPr>
          <w:tcPr>
            <w:tcW w:type="dxa" w:w="1691"/>
          </w:tcPr>
          <w:p>
            <w:pPr>
              <w:jc w:val="right"/>
            </w:pPr>
            <w:r>
              <w:rPr>
                <w:rFonts w:ascii="宋体" w:hAnsi="宋体" w:cs="宋体" w:eastAsia="宋体"/>
                <w:b w:val="false"/>
                <w:i w:val="false"/>
                <w:sz w:val="24"/>
              </w:rPr>
              <w:t>2</w:t>
            </w:r>
          </w:p>
        </w:tc>
        <w:tc>
          <w:tcPr>
            <w:vAlign w:val="center"/>
          </w:tcPr>
          <w:tcPr>
            <w:tcW w:type="dxa" w:w="1691"/>
          </w:tcPr>
          <w:p>
            <w:pPr>
              <w:jc w:val="right"/>
            </w:pPr>
            <w:r>
              <w:rPr>
                <w:rFonts w:ascii="宋体" w:hAnsi="宋体" w:cs="宋体" w:eastAsia="宋体"/>
                <w:b w:val="false"/>
                <w:i w:val="false"/>
                <w:sz w:val="24"/>
              </w:rPr>
              <w:t>2</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省级以上自然保护地生态效益</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=有效促进无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有效促进</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反映省级以上自然保护地林权所有者满意度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85</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良（90&gt;S≧80）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Merge w:val="restart"/>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r>
        <w:tc>
          <w:tcPr>
            <w:hMerge w:val="restart"/>
            <w:vMerge w:val="continue"/>
            <w:vAlign w:val="center"/>
          </w:tcPr>
          <w:tcPr>
            <w:tcW w:type="dxa" w:w="1691"/>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自然保护地补偿标准不高，忽略实际损失，补偿方式单一，缺乏长效发展机制。宣传不到位。</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建议结合实际，提高自然保护地补偿标准。充分制定长效发展机制。加大宣传力度，提高影响力。</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泉财指标〔2023〕880号，2023年泉州市级财政森林资源培育与管护专项资金（第二批）：其他林业和草原支出——林长制示范乡镇（街道）创建补助</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30.00</w:t>
            </w:r>
          </w:p>
        </w:tc>
        <w:tc>
          <w:tcPr>
            <w:hMerge w:val="restart"/>
            <w:vAlign w:val="center"/>
          </w:tcPr>
          <w:tcPr>
            <w:tcW w:type="dxa" w:w="1691"/>
          </w:tcPr>
          <w:p>
            <w:pPr>
              <w:jc w:val="center"/>
            </w:pPr>
            <w:r>
              <w:rPr>
                <w:rFonts w:ascii="宋体" w:hAnsi="宋体" w:cs="宋体" w:eastAsia="宋体"/>
                <w:b w:val="false"/>
                <w:i w:val="false"/>
                <w:sz w:val="24"/>
              </w:rPr>
              <w:t>30.00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30.00</w:t>
            </w:r>
          </w:p>
        </w:tc>
        <w:tc>
          <w:tcPr>
            <w:hMerge w:val="restart"/>
            <w:vAlign w:val="center"/>
          </w:tcPr>
          <w:tcPr>
            <w:tcW w:type="dxa" w:w="1691"/>
          </w:tcPr>
          <w:p>
            <w:pPr>
              <w:jc w:val="center"/>
            </w:pPr>
            <w:r>
              <w:rPr>
                <w:rFonts w:ascii="宋体" w:hAnsi="宋体" w:cs="宋体" w:eastAsia="宋体"/>
                <w:b w:val="false"/>
                <w:i w:val="false"/>
                <w:sz w:val="24"/>
              </w:rPr>
              <w:t>30.00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2023年林长制示范乡镇（街道）创建</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完成林长制示范乡镇（街道）创建补助。</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创建林长制示范乡镇数量达目标要求</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创建林长制示范乡镇（街道）质量要求</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建设情况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≥30万元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林业生态保护宣传作用</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=有效无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有效</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泉财农指〔2025〕43号，2025年泉州市级财政森林资源培育与管护专项资金（第一批）：林业有害生物防治113万元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利用上级补助资金，进行以松材线虫病防治为主的林业有害生物防控工作。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113.00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113.00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开展以松材线虫病防治为主的林业有害生物防控工作，降低林业有害生物的危害。</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完成防治性采伐5072亩，清理松枯死木9382株。</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防治面积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≥5072亩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5072</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任务完成情况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=全面完成无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全面完成</w:t>
            </w:r>
          </w:p>
        </w:tc>
        <w:tc>
          <w:tcPr>
            <w:vAlign w:val="center"/>
          </w:tcPr>
          <w:tcPr>
            <w:tcW w:type="dxa" w:w="1691"/>
          </w:tcPr>
          <w:p>
            <w:pPr>
              <w:jc w:val="right"/>
            </w:pPr>
            <w:r>
              <w:rPr>
                <w:rFonts w:ascii="宋体" w:hAnsi="宋体" w:cs="宋体" w:eastAsia="宋体"/>
                <w:b w:val="false"/>
                <w:i w:val="false"/>
                <w:sz w:val="24"/>
              </w:rPr>
              <w:t>15</w:t>
            </w:r>
          </w:p>
        </w:tc>
        <w:tc>
          <w:tcPr>
            <w:vAlign w:val="center"/>
          </w:tcPr>
          <w:tcPr>
            <w:tcW w:type="dxa" w:w="1691"/>
          </w:tcPr>
          <w:p>
            <w:pPr>
              <w:jc w:val="right"/>
            </w:pPr>
            <w:r>
              <w:rPr>
                <w:rFonts w:ascii="宋体" w:hAnsi="宋体" w:cs="宋体" w:eastAsia="宋体"/>
                <w:b w:val="false"/>
                <w:i w:val="false"/>
                <w:sz w:val="24"/>
              </w:rPr>
              <w:t>15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预算执行进度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资金待批复</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补助资金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=113万元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113</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社会成本指标</w:t>
            </w:r>
          </w:p>
        </w:tc>
        <w:tc>
          <w:tcPr>
            <w:hMerge w:val="restart"/>
            <w:vAlign w:val="center"/>
          </w:tcPr>
          <w:tcPr>
            <w:tcW w:type="dxa" w:w="1691"/>
          </w:tcPr>
          <w:p>
            <w:pPr>
              <w:jc w:val="right"/>
            </w:pPr>
            <w:r>
              <w:rPr>
                <w:rFonts w:ascii="宋体" w:hAnsi="宋体" w:cs="宋体" w:eastAsia="宋体"/>
                <w:b w:val="false"/>
                <w:i w:val="false"/>
                <w:sz w:val="22"/>
              </w:rPr>
              <w:t>促进社会经济发展</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=有效促进无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有效促进</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综合防范能力提升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=有效促进无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有效促进</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可持续发展</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=发展良好无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发展良好</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社会公众对湿地保护工作满意度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85</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良（90&gt;S≧80）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Merge w:val="restart"/>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r>
        <w:tc>
          <w:tcPr>
            <w:hMerge w:val="restart"/>
            <w:vMerge w:val="continue"/>
            <w:vAlign w:val="center"/>
          </w:tcPr>
          <w:tcPr>
            <w:tcW w:type="dxa" w:w="1691"/>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我市林业有害生物防控工作任务重，需投入较多工作经费，目前缺口较大。</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我市林业有害生物防控工作任务重，需投入较多工作经费，目前缺口较大，加大投入力度，建立长效工作机制。</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闽财资环指〔2024〕35号，2025年天然商品林停伐管护补助及生态效益补偿资金</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森林生态效益补偿资金2696238元。</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269.62</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269.62</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269.62</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269.62</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用于森林综合保险及森林资源管护员工资等。</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实施森林生态效益补偿，用于森林资源管护员工资。</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生态林管护面积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≥51.0864亩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51.0864</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森林资源管护责任落实率%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预算执行率%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森林生态效益补偿标准（元/亩）</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≥22元/亩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22</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持续发挥生态作用</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2021结转-基本支出2</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0.01</w:t>
            </w:r>
          </w:p>
        </w:tc>
        <w:tc>
          <w:tcPr>
            <w:hMerge w:val="restart"/>
            <w:vAlign w:val="center"/>
          </w:tcPr>
          <w:tcPr>
            <w:tcW w:type="dxa" w:w="1691"/>
          </w:tcPr>
          <w:p>
            <w:pPr>
              <w:jc w:val="center"/>
            </w:pPr>
            <w:r>
              <w:rPr>
                <w:rFonts w:ascii="宋体" w:hAnsi="宋体" w:cs="宋体" w:eastAsia="宋体"/>
                <w:b w:val="false"/>
                <w:i w:val="false"/>
                <w:sz w:val="24"/>
              </w:rPr>
              <w:t>0.01</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0.01</w:t>
            </w:r>
          </w:p>
        </w:tc>
        <w:tc>
          <w:tcPr>
            <w:hMerge w:val="restart"/>
            <w:vAlign w:val="center"/>
          </w:tcPr>
          <w:tcPr>
            <w:tcW w:type="dxa" w:w="1691"/>
          </w:tcPr>
          <w:p>
            <w:pPr>
              <w:jc w:val="center"/>
            </w:pPr>
            <w:r>
              <w:rPr>
                <w:rFonts w:ascii="宋体" w:hAnsi="宋体" w:cs="宋体" w:eastAsia="宋体"/>
                <w:b w:val="false"/>
                <w:i w:val="false"/>
                <w:sz w:val="24"/>
              </w:rPr>
              <w:t>0.01</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基本支出</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2021结转-基本支出2</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2021结转-基本支出2</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=58无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58</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是否结转</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年度结转（年/次）</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=1年/次</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2021结转-基本支出2</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=58元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58</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是否年度决算</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&gt;90%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泉财农指〔2024〕56号，2024年泉州市级财政森林资源培育与管护专项资金（第一批）：造林绿化—古树名木保护管理示范点建设</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2.00</w:t>
            </w:r>
          </w:p>
        </w:tc>
        <w:tc>
          <w:tcPr>
            <w:hMerge w:val="restart"/>
            <w:vAlign w:val="center"/>
          </w:tcPr>
          <w:tcPr>
            <w:tcW w:type="dxa" w:w="1691"/>
          </w:tcPr>
          <w:p>
            <w:pPr>
              <w:jc w:val="center"/>
            </w:pPr>
            <w:r>
              <w:rPr>
                <w:rFonts w:ascii="宋体" w:hAnsi="宋体" w:cs="宋体" w:eastAsia="宋体"/>
                <w:b w:val="false"/>
                <w:i w:val="false"/>
                <w:sz w:val="24"/>
              </w:rPr>
              <w:t>2.00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2.00</w:t>
            </w:r>
          </w:p>
        </w:tc>
        <w:tc>
          <w:tcPr>
            <w:hMerge w:val="restart"/>
            <w:vAlign w:val="center"/>
          </w:tcPr>
          <w:tcPr>
            <w:tcW w:type="dxa" w:w="1691"/>
          </w:tcPr>
          <w:p>
            <w:pPr>
              <w:jc w:val="center"/>
            </w:pPr>
            <w:r>
              <w:rPr>
                <w:rFonts w:ascii="宋体" w:hAnsi="宋体" w:cs="宋体" w:eastAsia="宋体"/>
                <w:b w:val="false"/>
                <w:i w:val="false"/>
                <w:sz w:val="24"/>
              </w:rPr>
              <w:t>2.00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年终结转结余（024年造林绿化—古树名木保护管理示范点建设）</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完成2024年树名木保护管理示范点建设。</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古树名木保护管理示范点建设</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示范点建设完成</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建设进度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示范点建设补助（万元/个）</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=个万元/个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2</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古树名木保护宣传</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南财指标〔2024〕801号2023年乡村绿化美化宜居项目</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162.00</w:t>
            </w:r>
          </w:p>
        </w:tc>
        <w:tc>
          <w:tcPr>
            <w:hMerge w:val="restart"/>
            <w:vAlign w:val="center"/>
          </w:tcPr>
          <w:tcPr>
            <w:tcW w:type="dxa" w:w="1691"/>
          </w:tcPr>
          <w:p>
            <w:pPr>
              <w:jc w:val="center"/>
            </w:pPr>
            <w:r>
              <w:rPr>
                <w:rFonts w:ascii="宋体" w:hAnsi="宋体" w:cs="宋体" w:eastAsia="宋体"/>
                <w:b w:val="false"/>
                <w:i w:val="false"/>
                <w:sz w:val="24"/>
              </w:rPr>
              <w:t>162.00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162.00</w:t>
            </w:r>
          </w:p>
        </w:tc>
        <w:tc>
          <w:tcPr>
            <w:hMerge w:val="restart"/>
            <w:vAlign w:val="center"/>
          </w:tcPr>
          <w:tcPr>
            <w:tcW w:type="dxa" w:w="1691"/>
          </w:tcPr>
          <w:p>
            <w:pPr>
              <w:jc w:val="center"/>
            </w:pPr>
            <w:r>
              <w:rPr>
                <w:rFonts w:ascii="宋体" w:hAnsi="宋体" w:cs="宋体" w:eastAsia="宋体"/>
                <w:b w:val="false"/>
                <w:i w:val="false"/>
                <w:sz w:val="24"/>
              </w:rPr>
              <w:t>162.00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2023年乡村绿化美化宜居项目</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完成乡村绿化美化宜居项目31个。</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完成数量</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31</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达到验收标准（是/否）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达到</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验收及时率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补助标准</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森林效益发挥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=持续发挥无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持续发挥</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泉财农指〔2025〕43号，2025年天然商品林停伐管护补助及生态效益补偿资金</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天然商品林停伐管护补助资金129014元，森林生态效益补偿资金638556元。</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76.76</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76.76</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76.76</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76.76</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用于森林综合保险及森林资源管护员工资等。</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实施天然商品林停伐管护补助及森林生态效益补偿，用于森林资源管护员工资。</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生态林补偿面积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 xml:space="preserve">≥51.0864万亩
</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51.0864</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森林资源管护责任落实率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预算执行率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生态林补偿标准（元/亩）</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≥22%</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22</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持续发挥生态作用</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泉财农指〔2024〕53号，2024年泉州市级财政现代林业经济专项资金（第一批）：林下经济</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50.00</w:t>
            </w:r>
          </w:p>
        </w:tc>
        <w:tc>
          <w:tcPr>
            <w:hMerge w:val="restart"/>
            <w:vAlign w:val="center"/>
          </w:tcPr>
          <w:tcPr>
            <w:tcW w:type="dxa" w:w="1691"/>
          </w:tcPr>
          <w:p>
            <w:pPr>
              <w:jc w:val="center"/>
            </w:pPr>
            <w:r>
              <w:rPr>
                <w:rFonts w:ascii="宋体" w:hAnsi="宋体" w:cs="宋体" w:eastAsia="宋体"/>
                <w:b w:val="false"/>
                <w:i w:val="false"/>
                <w:sz w:val="24"/>
              </w:rPr>
              <w:t>50.00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50.00</w:t>
            </w:r>
          </w:p>
        </w:tc>
        <w:tc>
          <w:tcPr>
            <w:hMerge w:val="restart"/>
            <w:vAlign w:val="center"/>
          </w:tcPr>
          <w:tcPr>
            <w:tcW w:type="dxa" w:w="1691"/>
          </w:tcPr>
          <w:p>
            <w:pPr>
              <w:jc w:val="center"/>
            </w:pPr>
            <w:r>
              <w:rPr>
                <w:rFonts w:ascii="宋体" w:hAnsi="宋体" w:cs="宋体" w:eastAsia="宋体"/>
                <w:b w:val="false"/>
                <w:i w:val="false"/>
                <w:sz w:val="24"/>
              </w:rPr>
              <w:t>50.00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2024年泉州市级财政现代林业经济专项资金（第一批）：林下经济</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开展林下经济工作。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新增林下经济项目个数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新增林下经济项目面积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≥1000亩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提高生产技术和知名度（是/否）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补助标准（万元/个）</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=5万元/个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增加企业收入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=逐步增加无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逐步增加</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泉财农指〔2024〕101号，2024年泉州市级财政现代林业经济专项资金（第二批）：林业技术推广4万元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4.00</w:t>
            </w:r>
          </w:p>
        </w:tc>
        <w:tc>
          <w:tcPr>
            <w:hMerge w:val="restart"/>
            <w:vAlign w:val="center"/>
          </w:tcPr>
          <w:tcPr>
            <w:tcW w:type="dxa" w:w="1691"/>
          </w:tcPr>
          <w:p>
            <w:pPr>
              <w:jc w:val="center"/>
            </w:pPr>
            <w:r>
              <w:rPr>
                <w:rFonts w:ascii="宋体" w:hAnsi="宋体" w:cs="宋体" w:eastAsia="宋体"/>
                <w:b w:val="false"/>
                <w:i w:val="false"/>
                <w:sz w:val="24"/>
              </w:rPr>
              <w:t>4.00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4.00</w:t>
            </w:r>
          </w:p>
        </w:tc>
        <w:tc>
          <w:tcPr>
            <w:hMerge w:val="restart"/>
            <w:vAlign w:val="center"/>
          </w:tcPr>
          <w:tcPr>
            <w:tcW w:type="dxa" w:w="1691"/>
          </w:tcPr>
          <w:p>
            <w:pPr>
              <w:jc w:val="center"/>
            </w:pPr>
            <w:r>
              <w:rPr>
                <w:rFonts w:ascii="宋体" w:hAnsi="宋体" w:cs="宋体" w:eastAsia="宋体"/>
                <w:b w:val="false"/>
                <w:i w:val="false"/>
                <w:sz w:val="24"/>
              </w:rPr>
              <w:t>4.00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年终结转结余（2024年林业技术推广）</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开展林业技术推广工作。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科技推广数量（个）</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增加企业收入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=逐步增加无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逐步增加</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项目完成情况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市财政紧张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森林环境明显改善（是/否）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良（90&gt;S≧80）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Merge w:val="restart"/>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r>
        <w:tc>
          <w:tcPr>
            <w:hMerge w:val="restart"/>
            <w:vMerge w:val="continue"/>
            <w:vAlign w:val="center"/>
          </w:tcPr>
          <w:tcPr>
            <w:tcW w:type="dxa" w:w="1691"/>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林业财期长，见效慢，林农更有意于投资周期短、立竿见影的品种，对林业新技术往往持观望态度。</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林业财期长，见效慢，林农更有意于投资周期短、立竿见影的品种，用数据和案例说话，加大宣传力度。</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泉财农指〔2024〕140号，2025年省级财政林业专项资金（国土绿化——造林绿化）</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完成2025年省级造林任务。</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194.36</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194.36</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完成2025年省级造林绿化任务，其中造林4560亩、森林抚育1960亩。</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已完成2025年省级造林绿化任务，其中造林4560亩、森林抚育1960亩。</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hMerge w:val="restart"/>
            <w:vMerge w:val="restart"/>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植树造林面积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≥4560亩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4560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hMerge w:val="restart"/>
            <w:vMerge w:val="continue"/>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森林抚育补助面积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≥1960亩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1960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hMerge w:val="restart"/>
            <w:vMerge w:val="continue"/>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珍贵树种造林面积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≥1500亩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1500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造林成活率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85</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造林完成及时率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珍贵用材树种造林补助</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≤550%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550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是否明显提高森林质量</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 xml:space="preserve">社会群众对造林绿化满意度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泉财农指〔2024〕56号，2024年泉州市级财政森林资源培育与管护专项资金（第一批）：林业生态保护——林业有害生物防治</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115.00</w:t>
            </w:r>
          </w:p>
        </w:tc>
        <w:tc>
          <w:tcPr>
            <w:hMerge w:val="restart"/>
            <w:vAlign w:val="center"/>
          </w:tcPr>
          <w:tcPr>
            <w:tcW w:type="dxa" w:w="1691"/>
          </w:tcPr>
          <w:p>
            <w:pPr>
              <w:jc w:val="center"/>
            </w:pPr>
            <w:r>
              <w:rPr>
                <w:rFonts w:ascii="宋体" w:hAnsi="宋体" w:cs="宋体" w:eastAsia="宋体"/>
                <w:b w:val="false"/>
                <w:i w:val="false"/>
                <w:sz w:val="24"/>
              </w:rPr>
              <w:t>115.00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67.76</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58.92</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115.00</w:t>
            </w:r>
          </w:p>
        </w:tc>
        <w:tc>
          <w:tcPr>
            <w:hMerge w:val="restart"/>
            <w:vAlign w:val="center"/>
          </w:tcPr>
          <w:tcPr>
            <w:tcW w:type="dxa" w:w="1691"/>
          </w:tcPr>
          <w:p>
            <w:pPr>
              <w:jc w:val="center"/>
            </w:pPr>
            <w:r>
              <w:rPr>
                <w:rFonts w:ascii="宋体" w:hAnsi="宋体" w:cs="宋体" w:eastAsia="宋体"/>
                <w:b w:val="false"/>
                <w:i w:val="false"/>
                <w:sz w:val="24"/>
              </w:rPr>
              <w:t>115.00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67.76</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58.92</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2024年林业有害生物防治</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开展林业有害生物防治工作。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防治性采伐面积（万亩）</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≥0.75万亩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0.75</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林业有害生物无公害防治率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全年无公害防治率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补助资金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=115元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115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森林蓄积量变化</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泉财农指〔2025〕4号，2025年中央财政林业草原改革发展资金：林业草原支撑保障体系支出（林业有害生物防治补助）</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泉财农指〔2025〕4号，2025年中央财政林业草原改革发展资金：林业草原支撑保障体系支出——林业有害生物防治补助164.58万元（其中：互花米草防治补助8万元）</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164.58</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127.56</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77.51</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164.58</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127.56</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77.51</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用于互花米草防治补助</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实施林业有害生物防治补助，包括互花米草防治补助。</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hMerge w:val="restart"/>
            <w:vMerge w:val="restart"/>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防治面积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≥0.0389万亩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0.0389</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hMerge w:val="restart"/>
            <w:vMerge w:val="continue"/>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防治面积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≥0.85万亩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0.85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任务完成情况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互花米草防治及时完成率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补助资金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≥164.58万元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164.58</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社会成本指标</w:t>
            </w:r>
          </w:p>
        </w:tc>
        <w:tc>
          <w:tcPr>
            <w:hMerge w:val="restart"/>
            <w:vAlign w:val="center"/>
          </w:tcPr>
          <w:tcPr>
            <w:tcW w:type="dxa" w:w="1691"/>
          </w:tcPr>
          <w:p>
            <w:pPr>
              <w:jc w:val="right"/>
            </w:pPr>
            <w:r>
              <w:rPr>
                <w:rFonts w:ascii="宋体" w:hAnsi="宋体" w:cs="宋体" w:eastAsia="宋体"/>
                <w:b w:val="false"/>
                <w:i w:val="false"/>
                <w:sz w:val="22"/>
              </w:rPr>
              <w:t>促进社会经济发展</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=有效促进无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有效促进</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加强湿地管护</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=有效促进无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有效促进</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可持续发展</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=发展良好无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发展良好</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社会公众满意度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泉财指标〔2023〕1243号，2024年中央财政林业改革发展资金（市县部分）：互花米草专项补助</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6.00</w:t>
            </w:r>
          </w:p>
        </w:tc>
        <w:tc>
          <w:tcPr>
            <w:hMerge w:val="restart"/>
            <w:vAlign w:val="center"/>
          </w:tcPr>
          <w:tcPr>
            <w:tcW w:type="dxa" w:w="1691"/>
          </w:tcPr>
          <w:p>
            <w:pPr>
              <w:jc w:val="center"/>
            </w:pPr>
            <w:r>
              <w:rPr>
                <w:rFonts w:ascii="宋体" w:hAnsi="宋体" w:cs="宋体" w:eastAsia="宋体"/>
                <w:b w:val="false"/>
                <w:i w:val="false"/>
                <w:sz w:val="24"/>
              </w:rPr>
              <w:t>6.00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6.00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6.00</w:t>
            </w:r>
          </w:p>
        </w:tc>
        <w:tc>
          <w:tcPr>
            <w:hMerge w:val="restart"/>
            <w:vAlign w:val="center"/>
          </w:tcPr>
          <w:tcPr>
            <w:tcW w:type="dxa" w:w="1691"/>
          </w:tcPr>
          <w:p>
            <w:pPr>
              <w:jc w:val="center"/>
            </w:pPr>
            <w:r>
              <w:rPr>
                <w:rFonts w:ascii="宋体" w:hAnsi="宋体" w:cs="宋体" w:eastAsia="宋体"/>
                <w:b w:val="false"/>
                <w:i w:val="false"/>
                <w:sz w:val="24"/>
              </w:rPr>
              <w:t>6.00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6.00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已完成</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完成互花米草除治工作。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二轮除治复萌面积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≥5.5亩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5.5</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湿地生态系统功能改善可持续影响</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除治及时性</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≥6万元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6</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湿地生态系统效益发挥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泉财农指〔2025〕56号，2025年中央财政林业草原专项资金（市县部分第二批）：林业草原支撑保障体系支出（林业有害生物防治补助25.89万元）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利用上级补助资金，开展以松材线虫病防治为主的林业有害生物防控工作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25.89</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25.89</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开展以松材线虫病防治为主的林业有害生物防控工作，降低林业有害生物的危害，保护森林生态安全。</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完成防治性采伐5072亩，完成松枯死木清理9382株。</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防治面积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≥5072亩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5072</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任务完成情况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=全面完成无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全面完成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预算执行进度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待财政审批</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补助资金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=25.89万元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25.89</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社会成本指标</w:t>
            </w:r>
          </w:p>
        </w:tc>
        <w:tc>
          <w:tcPr>
            <w:hMerge w:val="restart"/>
            <w:vAlign w:val="center"/>
          </w:tcPr>
          <w:tcPr>
            <w:tcW w:type="dxa" w:w="1691"/>
          </w:tcPr>
          <w:p>
            <w:pPr>
              <w:jc w:val="right"/>
            </w:pPr>
            <w:r>
              <w:rPr>
                <w:rFonts w:ascii="宋体" w:hAnsi="宋体" w:cs="宋体" w:eastAsia="宋体"/>
                <w:b w:val="false"/>
                <w:i w:val="false"/>
                <w:sz w:val="22"/>
              </w:rPr>
              <w:t>促进社会经济发展</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=有效促进无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有效促进</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综合防范能力提升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=有效促进无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有效促进</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可持续发展</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=发展良好无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发展良好</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社会公众对湿地保护工作满意度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良（90&gt;S≧80）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Merge w:val="restart"/>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r>
        <w:tc>
          <w:tcPr>
            <w:hMerge w:val="restart"/>
            <w:vMerge w:val="continue"/>
            <w:vAlign w:val="center"/>
          </w:tcPr>
          <w:tcPr>
            <w:tcW w:type="dxa" w:w="1691"/>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我市林业有害生物防控工作任务重，需要投入的资金较多，目前缺口较大，各级政府配套仍显不足。</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我市林业有害生物防控工作任务重，需要投入的资金较多，目前缺口较大，各级政府配套仍显不足，要进一步细化长效管理机制。</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泉财农指〔2024〕102号，2024年泉州市级财政森林资源培育与管护专项资金（第二批）：造林绿化——森林提质增效示范工程6万元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6.00</w:t>
            </w:r>
          </w:p>
        </w:tc>
        <w:tc>
          <w:tcPr>
            <w:hMerge w:val="restart"/>
            <w:vAlign w:val="center"/>
          </w:tcPr>
          <w:tcPr>
            <w:tcW w:type="dxa" w:w="1691"/>
          </w:tcPr>
          <w:p>
            <w:pPr>
              <w:jc w:val="center"/>
            </w:pPr>
            <w:r>
              <w:rPr>
                <w:rFonts w:ascii="宋体" w:hAnsi="宋体" w:cs="宋体" w:eastAsia="宋体"/>
                <w:b w:val="false"/>
                <w:i w:val="false"/>
                <w:sz w:val="24"/>
              </w:rPr>
              <w:t>6.00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6.00</w:t>
            </w:r>
          </w:p>
        </w:tc>
        <w:tc>
          <w:tcPr>
            <w:hMerge w:val="restart"/>
            <w:vAlign w:val="center"/>
          </w:tcPr>
          <w:tcPr>
            <w:tcW w:type="dxa" w:w="1691"/>
          </w:tcPr>
          <w:p>
            <w:pPr>
              <w:jc w:val="center"/>
            </w:pPr>
            <w:r>
              <w:rPr>
                <w:rFonts w:ascii="宋体" w:hAnsi="宋体" w:cs="宋体" w:eastAsia="宋体"/>
                <w:b w:val="false"/>
                <w:i w:val="false"/>
                <w:sz w:val="24"/>
              </w:rPr>
              <w:t>6.00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开展2024年造林绿化——森林提质增效示范工程工作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开展2024年造林绿化森林提质增效示范工程工作。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森林提质增效示范工程（亩）</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≥120亩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120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验收合格情况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=合格无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合格</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任务分解率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补助标准</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=500元/亩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森林提质增效</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=有效提升无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有效提升</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泉财农指〔2024〕53号，2024年泉州市级财政现代林业经济专项资金（第一批）：花卉展览展销项目</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2.00</w:t>
            </w:r>
          </w:p>
        </w:tc>
        <w:tc>
          <w:tcPr>
            <w:hMerge w:val="restart"/>
            <w:vAlign w:val="center"/>
          </w:tcPr>
          <w:tcPr>
            <w:tcW w:type="dxa" w:w="1691"/>
          </w:tcPr>
          <w:p>
            <w:pPr>
              <w:jc w:val="center"/>
            </w:pPr>
            <w:r>
              <w:rPr>
                <w:rFonts w:ascii="宋体" w:hAnsi="宋体" w:cs="宋体" w:eastAsia="宋体"/>
                <w:b w:val="false"/>
                <w:i w:val="false"/>
                <w:sz w:val="24"/>
              </w:rPr>
              <w:t>2.00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2.00</w:t>
            </w:r>
          </w:p>
        </w:tc>
        <w:tc>
          <w:tcPr>
            <w:hMerge w:val="restart"/>
            <w:vAlign w:val="center"/>
          </w:tcPr>
          <w:tcPr>
            <w:tcW w:type="dxa" w:w="1691"/>
          </w:tcPr>
          <w:p>
            <w:pPr>
              <w:jc w:val="center"/>
            </w:pPr>
            <w:r>
              <w:rPr>
                <w:rFonts w:ascii="宋体" w:hAnsi="宋体" w:cs="宋体" w:eastAsia="宋体"/>
                <w:b w:val="false"/>
                <w:i w:val="false"/>
                <w:sz w:val="24"/>
              </w:rPr>
              <w:t>2.00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完成花卉展览展销。</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项目建设数量</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提高生产技术知名度（是/否）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建设情况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补助标准</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=2万元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增加企业收入</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=逐步增加无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逐步增加</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闽财资环指〔2024〕50号， 2025年天然商品林停伐管护补助及生态效益补偿资金</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天然商品林停伐管护补助资金616619元，森林生态效益补偿资金176636元。</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79.33</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79.33</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79.33</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79.33</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用于森林综合保险及森林资源管护员工资等。</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实施天然商品林停伐管护补助及生态林森林生态效益补偿,，用于森林综合保险及护林员工资。</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天然商品林管护面积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≥12.9623万亩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12.9623</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森林资源管护责任落实率%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天然商品林和生态保护当期任务完成率%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生态林补偿标准（元/亩）</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≥23每亩/元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23</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社会成本指标</w:t>
            </w:r>
          </w:p>
        </w:tc>
        <w:tc>
          <w:tcPr>
            <w:hMerge w:val="restart"/>
            <w:vAlign w:val="center"/>
          </w:tcPr>
          <w:tcPr>
            <w:tcW w:type="dxa" w:w="1691"/>
          </w:tcPr>
          <w:p>
            <w:pPr>
              <w:jc w:val="right"/>
            </w:pPr>
            <w:r>
              <w:rPr>
                <w:rFonts w:ascii="宋体" w:hAnsi="宋体" w:cs="宋体" w:eastAsia="宋体"/>
                <w:b w:val="false"/>
                <w:i w:val="false"/>
                <w:sz w:val="22"/>
              </w:rPr>
              <w:t>已落实管护责任的天然商品林</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持续发挥生态作用</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泉财农指〔2024〕102号，2024年泉州市级财政森林资源培育与管护专项资金（第二批）：乡村绿化提升10万元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10.00</w:t>
            </w:r>
          </w:p>
        </w:tc>
        <w:tc>
          <w:tcPr>
            <w:hMerge w:val="restart"/>
            <w:vAlign w:val="center"/>
          </w:tcPr>
          <w:tcPr>
            <w:tcW w:type="dxa" w:w="1691"/>
          </w:tcPr>
          <w:p>
            <w:pPr>
              <w:jc w:val="center"/>
            </w:pPr>
            <w:r>
              <w:rPr>
                <w:rFonts w:ascii="宋体" w:hAnsi="宋体" w:cs="宋体" w:eastAsia="宋体"/>
                <w:b w:val="false"/>
                <w:i w:val="false"/>
                <w:sz w:val="24"/>
              </w:rPr>
              <w:t>10.00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10.00</w:t>
            </w:r>
          </w:p>
        </w:tc>
        <w:tc>
          <w:tcPr>
            <w:hMerge w:val="restart"/>
            <w:vAlign w:val="center"/>
          </w:tcPr>
          <w:tcPr>
            <w:tcW w:type="dxa" w:w="1691"/>
          </w:tcPr>
          <w:p>
            <w:pPr>
              <w:jc w:val="center"/>
            </w:pPr>
            <w:r>
              <w:rPr>
                <w:rFonts w:ascii="宋体" w:hAnsi="宋体" w:cs="宋体" w:eastAsia="宋体"/>
                <w:b w:val="false"/>
                <w:i w:val="false"/>
                <w:sz w:val="24"/>
              </w:rPr>
              <w:t>10.00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开展2024年乡村绿化提升</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开展乡村绿化提升项目。</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乡村绿化提升（个）</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≥2个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项目建设中</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设立建设标准</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下达任务（是/否）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生态环境成本指标</w:t>
            </w:r>
          </w:p>
        </w:tc>
        <w:tc>
          <w:tcPr>
            <w:hMerge w:val="restart"/>
            <w:vAlign w:val="center"/>
          </w:tcPr>
          <w:tcPr>
            <w:tcW w:type="dxa" w:w="1691"/>
          </w:tcPr>
          <w:p>
            <w:pPr>
              <w:jc w:val="right"/>
            </w:pPr>
            <w:r>
              <w:rPr>
                <w:rFonts w:ascii="宋体" w:hAnsi="宋体" w:cs="宋体" w:eastAsia="宋体"/>
                <w:b w:val="false"/>
                <w:i w:val="false"/>
                <w:sz w:val="22"/>
              </w:rPr>
              <w:t>补助标准（万元/个）</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=5万元/个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改善社会绿化环境</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良（90&gt;S≧80）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Merge w:val="restart"/>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r>
        <w:tc>
          <w:tcPr>
            <w:hMerge w:val="restart"/>
            <w:vMerge w:val="continue"/>
            <w:vAlign w:val="center"/>
          </w:tcPr>
          <w:tcPr>
            <w:tcW w:type="dxa" w:w="1691"/>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一是实施单位工作推进缓慢，二是由于资金补助标准较低，致使各单位建设的积极性不足。</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一是加快督促实施单位工作的推进，二是加强与上级及财政部门的沟通协调工作，提高资金补助标准。</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泉财农指〔2025〕41号，2025年泉州市级财政现代林业经济专项资金（第一批）：林木种苗花卉（花卉一、二、三产业融合发展8万元、花卉展销2万元）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完成林木种苗花卉（花卉一、二、三产业融合发展、花卉展销）等工作。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10.00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10.00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完成林木种苗花卉、现代油茶竹林等项目建设，开展林产品质量安全监测。</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完成花卉展销项目1个，花卉一、二、三产业融合发展项目在建中。</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hMerge w:val="restart"/>
            <w:vMerge w:val="restart"/>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开展现代油茶项目建设面积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≥470亩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项目建设中</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hMerge w:val="restart"/>
            <w:vMerge w:val="continue"/>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开展温室大棚改造提升项目个数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食用林产品质量监测批次</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≥11批次</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完成项目建设时效</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≥1年</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成本指标</w:t>
            </w:r>
          </w:p>
        </w:tc>
        <w:tc>
          <w:tcPr>
            <w:hMerge w:val="restart"/>
            <w:vMerge w:val="restart"/>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油茶抚育补助标准</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≥150元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150</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成本指标</w:t>
            </w:r>
          </w:p>
        </w:tc>
        <w:tc>
          <w:tcPr>
            <w:hMerge w:val="restart"/>
            <w:vMerge w:val="continue"/>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机耕路建设补助标准</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≥5000元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5000</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经济效益指标</w:t>
            </w:r>
          </w:p>
        </w:tc>
        <w:tc>
          <w:tcPr>
            <w:hMerge w:val="restart"/>
            <w:vAlign w:val="center"/>
          </w:tcPr>
          <w:tcPr>
            <w:tcW w:type="dxa" w:w="1691"/>
          </w:tcPr>
          <w:p>
            <w:pPr>
              <w:jc w:val="right"/>
            </w:pPr>
            <w:r>
              <w:rPr>
                <w:rFonts w:ascii="宋体" w:hAnsi="宋体" w:cs="宋体" w:eastAsia="宋体"/>
                <w:b w:val="false"/>
                <w:i w:val="false"/>
                <w:sz w:val="22"/>
              </w:rPr>
              <w:t>带动花农或企业增收</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4</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提高生产技术水平和知名度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提高</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良（90&gt;S≧80）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Merge w:val="restart"/>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r>
        <w:tc>
          <w:tcPr>
            <w:hMerge w:val="restart"/>
            <w:vMerge w:val="continue"/>
            <w:vAlign w:val="center"/>
          </w:tcPr>
          <w:tcPr>
            <w:tcW w:type="dxa" w:w="1691"/>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花卉一、二、三产业融合发展项目建设工作推进缓慢。财政资金紧张，未能及拨付项目资金。</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花卉一、二、三产业融合发展项目建设工作推进缓慢。财政资金紧张，未能及拨付项目资金。</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r>
        <w:tc>
          <w:tcPr>
            <w:hMerge w:val="restart"/>
            <w:vMerge w:val="continue"/>
            <w:vAlign w:val="center"/>
          </w:tcPr>
          <w:tcPr>
            <w:tcW w:type="dxa" w:w="1691"/>
          </w:tcPr>
          <w:tcPr>
            <w:tcBorders>
              <w:left w:val="single"/>
              <w:bottom w:val="single"/>
              <w:right w:val="nil"/>
            </w:tcBorders>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花卉一、二、三产业融合发展项目建设工作推进缓慢。财政资金紧张，未能及拨付项目资金。</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花卉一、二、三产业融合发展项目建设工作推进缓慢。财政资金紧张，未能及拨付项目资金。</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南林函〔2024〕546号，2024年森林综合保险本级配套资金</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44.04</w:t>
            </w:r>
          </w:p>
        </w:tc>
        <w:tc>
          <w:tcPr>
            <w:hMerge w:val="restart"/>
            <w:vAlign w:val="center"/>
          </w:tcPr>
          <w:tcPr>
            <w:tcW w:type="dxa" w:w="1691"/>
          </w:tcPr>
          <w:p>
            <w:pPr>
              <w:jc w:val="center"/>
            </w:pPr>
            <w:r>
              <w:rPr>
                <w:rFonts w:ascii="宋体" w:hAnsi="宋体" w:cs="宋体" w:eastAsia="宋体"/>
                <w:b w:val="false"/>
                <w:i w:val="false"/>
                <w:sz w:val="24"/>
              </w:rPr>
              <w:t>44.04</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44.04</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44.04</w:t>
            </w:r>
          </w:p>
        </w:tc>
        <w:tc>
          <w:tcPr>
            <w:hMerge w:val="restart"/>
            <w:vAlign w:val="center"/>
          </w:tcPr>
          <w:tcPr>
            <w:tcW w:type="dxa" w:w="1691"/>
          </w:tcPr>
          <w:p>
            <w:pPr>
              <w:jc w:val="center"/>
            </w:pPr>
            <w:r>
              <w:rPr>
                <w:rFonts w:ascii="宋体" w:hAnsi="宋体" w:cs="宋体" w:eastAsia="宋体"/>
                <w:b w:val="false"/>
                <w:i w:val="false"/>
                <w:sz w:val="24"/>
              </w:rPr>
              <w:t>44.04</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44.04</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2024年森林综合保险本级配套资金</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完成2024年森林综合保险本级配套</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省级以上生态公益林面积（万亩）</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≥51.0866万亩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51.0866</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风险保障水平</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=高于去年无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高于支年</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项目完成时间（年）</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=1年</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44.04万元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44.04</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已完成</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承保机构县级分支机构覆盖率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参保农户满意度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泉财农指〔2024〕64号，2024年中央财政林业专项资金（市县部分第二批）：全国性森林、草原、湿地、荒漠综合监测</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15.60</w:t>
            </w:r>
          </w:p>
        </w:tc>
        <w:tc>
          <w:tcPr>
            <w:hMerge w:val="restart"/>
            <w:vAlign w:val="center"/>
          </w:tcPr>
          <w:tcPr>
            <w:tcW w:type="dxa" w:w="1691"/>
          </w:tcPr>
          <w:p>
            <w:pPr>
              <w:jc w:val="center"/>
            </w:pPr>
            <w:r>
              <w:rPr>
                <w:rFonts w:ascii="宋体" w:hAnsi="宋体" w:cs="宋体" w:eastAsia="宋体"/>
                <w:b w:val="false"/>
                <w:i w:val="false"/>
                <w:sz w:val="24"/>
              </w:rPr>
              <w:t>15.60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15.60</w:t>
            </w:r>
          </w:p>
        </w:tc>
        <w:tc>
          <w:tcPr>
            <w:hMerge w:val="restart"/>
            <w:vAlign w:val="center"/>
          </w:tcPr>
          <w:tcPr>
            <w:tcW w:type="dxa" w:w="1691"/>
          </w:tcPr>
          <w:p>
            <w:pPr>
              <w:jc w:val="center"/>
            </w:pPr>
            <w:r>
              <w:rPr>
                <w:rFonts w:ascii="宋体" w:hAnsi="宋体" w:cs="宋体" w:eastAsia="宋体"/>
                <w:b w:val="false"/>
                <w:i w:val="false"/>
                <w:sz w:val="24"/>
              </w:rPr>
              <w:t>15.60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开展南安市森林草原湿地荒漠化普查工作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完成森林、草原、湿地、荒漠综合监测工作。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林草湿鸟类专项监测</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≥156种</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156</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监测工作成效</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监测时间节点</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补助资金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=15.6万元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森林蓄积变化</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=增加无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增加</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泉财农指〔2024〕101号，2024年泉州市级财政现代林业经济专项资金（第二批）：新型林业经营主体40万元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40.00</w:t>
            </w:r>
          </w:p>
        </w:tc>
        <w:tc>
          <w:tcPr>
            <w:hMerge w:val="restart"/>
            <w:vAlign w:val="center"/>
          </w:tcPr>
          <w:tcPr>
            <w:tcW w:type="dxa" w:w="1691"/>
          </w:tcPr>
          <w:p>
            <w:pPr>
              <w:jc w:val="center"/>
            </w:pPr>
            <w:r>
              <w:rPr>
                <w:rFonts w:ascii="宋体" w:hAnsi="宋体" w:cs="宋体" w:eastAsia="宋体"/>
                <w:b w:val="false"/>
                <w:i w:val="false"/>
                <w:sz w:val="24"/>
              </w:rPr>
              <w:t>40.00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40.00</w:t>
            </w:r>
          </w:p>
        </w:tc>
        <w:tc>
          <w:tcPr>
            <w:hMerge w:val="restart"/>
            <w:vAlign w:val="center"/>
          </w:tcPr>
          <w:tcPr>
            <w:tcW w:type="dxa" w:w="1691"/>
          </w:tcPr>
          <w:p>
            <w:pPr>
              <w:jc w:val="center"/>
            </w:pPr>
            <w:r>
              <w:rPr>
                <w:rFonts w:ascii="宋体" w:hAnsi="宋体" w:cs="宋体" w:eastAsia="宋体"/>
                <w:b w:val="false"/>
                <w:i w:val="false"/>
                <w:sz w:val="24"/>
              </w:rPr>
              <w:t>40.00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年终结转结余（2024年新型林业经营主体）</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开展新型林业经营主体工作。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新型林业经营主体（家）</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≥8家</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建设情况（是/否）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时间节点</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=按上级要求无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≥40万元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市财政紧张。</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经济效益指标</w:t>
            </w:r>
          </w:p>
        </w:tc>
        <w:tc>
          <w:tcPr>
            <w:hMerge w:val="restart"/>
            <w:vAlign w:val="center"/>
          </w:tcPr>
          <w:tcPr>
            <w:tcW w:type="dxa" w:w="1691"/>
          </w:tcPr>
          <w:p>
            <w:pPr>
              <w:jc w:val="right"/>
            </w:pPr>
            <w:r>
              <w:rPr>
                <w:rFonts w:ascii="宋体" w:hAnsi="宋体" w:cs="宋体" w:eastAsia="宋体"/>
                <w:b w:val="false"/>
                <w:i w:val="false"/>
                <w:sz w:val="22"/>
              </w:rPr>
              <w:t>带动企业增收</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≥50万元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 xml:space="preserve">	
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良（90&gt;S≧80）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Merge w:val="restart"/>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r>
        <w:tc>
          <w:tcPr>
            <w:hMerge w:val="restart"/>
            <w:vMerge w:val="continue"/>
            <w:vAlign w:val="center"/>
          </w:tcPr>
          <w:tcPr>
            <w:tcW w:type="dxa" w:w="1691"/>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新型林业业经营主体普遍存在规模小、组织化程度低、经营管理粗放等问题。</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加强龙头企业辐射带动作用，进一步规范合作社、家庭林场，努力实现集约化、标准化生产。</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泉财农指〔2024〕56号，2024年泉州市级财政森林资源培育与管护专项资金（第一批）：造林绿化—乡村绿化提升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50.00</w:t>
            </w:r>
          </w:p>
        </w:tc>
        <w:tc>
          <w:tcPr>
            <w:hMerge w:val="restart"/>
            <w:vAlign w:val="center"/>
          </w:tcPr>
          <w:tcPr>
            <w:tcW w:type="dxa" w:w="1691"/>
          </w:tcPr>
          <w:p>
            <w:pPr>
              <w:jc w:val="center"/>
            </w:pPr>
            <w:r>
              <w:rPr>
                <w:rFonts w:ascii="宋体" w:hAnsi="宋体" w:cs="宋体" w:eastAsia="宋体"/>
                <w:b w:val="false"/>
                <w:i w:val="false"/>
                <w:sz w:val="24"/>
              </w:rPr>
              <w:t>50.00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50.00</w:t>
            </w:r>
          </w:p>
        </w:tc>
        <w:tc>
          <w:tcPr>
            <w:hMerge w:val="restart"/>
            <w:vAlign w:val="center"/>
          </w:tcPr>
          <w:tcPr>
            <w:tcW w:type="dxa" w:w="1691"/>
          </w:tcPr>
          <w:p>
            <w:pPr>
              <w:jc w:val="center"/>
            </w:pPr>
            <w:r>
              <w:rPr>
                <w:rFonts w:ascii="宋体" w:hAnsi="宋体" w:cs="宋体" w:eastAsia="宋体"/>
                <w:b w:val="false"/>
                <w:i w:val="false"/>
                <w:sz w:val="24"/>
              </w:rPr>
              <w:t>50.00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开展造林绿化—乡村绿化提升工作。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乡村绿化提升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≥10万亩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苗木合格</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=合格无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合格</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任务完成率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项目补助标准（万元/个）</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=5万元/个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林业政策宣传工作</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 xml:space="preserve">	
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泉财农指〔2024〕56号，2024年泉州市级财政森林资源培育与管护专项资金（第一批）：森林资源管护及其他支出——林长制“一公园一标准一品牌”项目建设</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20.00</w:t>
            </w:r>
          </w:p>
        </w:tc>
        <w:tc>
          <w:tcPr>
            <w:hMerge w:val="restart"/>
            <w:vAlign w:val="center"/>
          </w:tcPr>
          <w:tcPr>
            <w:tcW w:type="dxa" w:w="1691"/>
          </w:tcPr>
          <w:p>
            <w:pPr>
              <w:jc w:val="center"/>
            </w:pPr>
            <w:r>
              <w:rPr>
                <w:rFonts w:ascii="宋体" w:hAnsi="宋体" w:cs="宋体" w:eastAsia="宋体"/>
                <w:b w:val="false"/>
                <w:i w:val="false"/>
                <w:sz w:val="24"/>
              </w:rPr>
              <w:t>20.00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20.00</w:t>
            </w:r>
          </w:p>
        </w:tc>
        <w:tc>
          <w:tcPr>
            <w:hMerge w:val="restart"/>
            <w:vAlign w:val="center"/>
          </w:tcPr>
          <w:tcPr>
            <w:tcW w:type="dxa" w:w="1691"/>
          </w:tcPr>
          <w:p>
            <w:pPr>
              <w:jc w:val="center"/>
            </w:pPr>
            <w:r>
              <w:rPr>
                <w:rFonts w:ascii="宋体" w:hAnsi="宋体" w:cs="宋体" w:eastAsia="宋体"/>
                <w:b w:val="false"/>
                <w:i w:val="false"/>
                <w:sz w:val="24"/>
              </w:rPr>
              <w:t>20.00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20.00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年终结转结余（林长制“一公园一标准一品牌”项目建设）</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完成林长制“一公园一标准一品牌”项目建设</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建设林长制示范乡镇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≥2个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2</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网格管理标准化</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项目完成率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≥20万元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林业政策普及效果</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 xml:space="preserve">	
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闽财资环指〔2025〕17号，2025年天然商品林停伐管护补助及生态效益补偿资金</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天然商品林停伐管护补助资金125500元，森林生态效益补偿资金11775元。</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13.73</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13.73</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13.73</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13.73</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用于森林综合保险及森林资源管护员工资等。</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实施天然商品林停伐管护补助及森林生态效益补偿，用于支付森林资源管护员工资等。</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天然商品林管护面积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≥12.9062万亩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12.9062</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森林资源管护责任落实率%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预算执行率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天然商品林补偿标准（元/亩）</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≥23元/亩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23</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持续发挥生态作用</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泉财农指〔2025〕41号，2025年泉州市级财政现代林业经济专项资金（第一批）：现代油茶竹林（油茶抚育7.05万、机耕路建设1.75万元） 林业产品质量安全监测1.1万元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完成现代油茶竹林等项目建设，开展林产品质量安全监测。</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9.90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9.90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完成现代油茶竹林等项目建设，开展林产品质量安全监测。</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完成油茶抚育470亩、 建设机耕路3.5公里，开展林产品及其土壤检测11批次。</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开展现代油茶项目建设面积</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≥470亩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470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食用林产品质量监测批次</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≥11批次</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完成项目建设时效</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≥1年</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机耕路建设补助标准</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≥5000元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5000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提高生产技术水平和知名度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显著</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2024年森林管护员工资</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91.42</w:t>
            </w:r>
          </w:p>
        </w:tc>
        <w:tc>
          <w:tcPr>
            <w:hMerge w:val="restart"/>
            <w:vAlign w:val="center"/>
          </w:tcPr>
          <w:tcPr>
            <w:tcW w:type="dxa" w:w="1691"/>
          </w:tcPr>
          <w:p>
            <w:pPr>
              <w:jc w:val="center"/>
            </w:pPr>
            <w:r>
              <w:rPr>
                <w:rFonts w:ascii="宋体" w:hAnsi="宋体" w:cs="宋体" w:eastAsia="宋体"/>
                <w:b w:val="false"/>
                <w:i w:val="false"/>
                <w:sz w:val="24"/>
              </w:rPr>
              <w:t>91.42</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91.42</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91.42</w:t>
            </w:r>
          </w:p>
        </w:tc>
        <w:tc>
          <w:tcPr>
            <w:hMerge w:val="restart"/>
            <w:vAlign w:val="center"/>
          </w:tcPr>
          <w:tcPr>
            <w:tcW w:type="dxa" w:w="1691"/>
          </w:tcPr>
          <w:p>
            <w:pPr>
              <w:jc w:val="center"/>
            </w:pPr>
            <w:r>
              <w:rPr>
                <w:rFonts w:ascii="宋体" w:hAnsi="宋体" w:cs="宋体" w:eastAsia="宋体"/>
                <w:b w:val="false"/>
                <w:i w:val="false"/>
                <w:sz w:val="24"/>
              </w:rPr>
              <w:t>91.42</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91.42</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年终结转结余（2024年森林管护员工资）</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完成2024年森林管护员工资。</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护林员人数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≥154人</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154</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巡护范围</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=全覆盖无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全覆盖</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绩效考评</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=每季度无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每季度</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基本月工资（每人每月）</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≥2000人/月</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2000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森林资源管护水平提升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=有效提升无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有效提升</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泉财农指〔2024〕102号，2024年泉州市级财政森林资源培育与管护专项资金（第二批）：邻里绿美家园30万元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30.00</w:t>
            </w:r>
          </w:p>
        </w:tc>
        <w:tc>
          <w:tcPr>
            <w:hMerge w:val="restart"/>
            <w:vAlign w:val="center"/>
          </w:tcPr>
          <w:tcPr>
            <w:tcW w:type="dxa" w:w="1691"/>
          </w:tcPr>
          <w:p>
            <w:pPr>
              <w:jc w:val="center"/>
            </w:pPr>
            <w:r>
              <w:rPr>
                <w:rFonts w:ascii="宋体" w:hAnsi="宋体" w:cs="宋体" w:eastAsia="宋体"/>
                <w:b w:val="false"/>
                <w:i w:val="false"/>
                <w:sz w:val="24"/>
              </w:rPr>
              <w:t>30.00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30.00</w:t>
            </w:r>
          </w:p>
        </w:tc>
        <w:tc>
          <w:tcPr>
            <w:hMerge w:val="restart"/>
            <w:vAlign w:val="center"/>
          </w:tcPr>
          <w:tcPr>
            <w:tcW w:type="dxa" w:w="1691"/>
          </w:tcPr>
          <w:p>
            <w:pPr>
              <w:jc w:val="center"/>
            </w:pPr>
            <w:r>
              <w:rPr>
                <w:rFonts w:ascii="宋体" w:hAnsi="宋体" w:cs="宋体" w:eastAsia="宋体"/>
                <w:b w:val="false"/>
                <w:i w:val="false"/>
                <w:sz w:val="24"/>
              </w:rPr>
              <w:t>30.00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开展2024年邻里绿美家园建设工作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完成邻里绿美家园建设2个、乡村绿化提升项目0个、森林提质增效示范项目工程120亩。</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森林提质增效</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≥120亩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120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建设合格率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项目情况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≥2个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2</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邻里绿美家园建设补助标准（万元）</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=15万元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可持续发展</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=可持续无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可持续</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泉财农指〔2024〕64号，2024年中央财政林业专项资金（市县部分第二批）：林业有害生物防治</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39.90</w:t>
            </w:r>
          </w:p>
        </w:tc>
        <w:tc>
          <w:tcPr>
            <w:hMerge w:val="restart"/>
            <w:vAlign w:val="center"/>
          </w:tcPr>
          <w:tcPr>
            <w:tcW w:type="dxa" w:w="1691"/>
          </w:tcPr>
          <w:p>
            <w:pPr>
              <w:jc w:val="center"/>
            </w:pPr>
            <w:r>
              <w:rPr>
                <w:rFonts w:ascii="宋体" w:hAnsi="宋体" w:cs="宋体" w:eastAsia="宋体"/>
                <w:b w:val="false"/>
                <w:i w:val="false"/>
                <w:sz w:val="24"/>
              </w:rPr>
              <w:t>39.90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39.90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39.90</w:t>
            </w:r>
          </w:p>
        </w:tc>
        <w:tc>
          <w:tcPr>
            <w:hMerge w:val="restart"/>
            <w:vAlign w:val="center"/>
          </w:tcPr>
          <w:tcPr>
            <w:tcW w:type="dxa" w:w="1691"/>
          </w:tcPr>
          <w:p>
            <w:pPr>
              <w:jc w:val="center"/>
            </w:pPr>
            <w:r>
              <w:rPr>
                <w:rFonts w:ascii="宋体" w:hAnsi="宋体" w:cs="宋体" w:eastAsia="宋体"/>
                <w:b w:val="false"/>
                <w:i w:val="false"/>
                <w:sz w:val="24"/>
              </w:rPr>
              <w:t>39.90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39.90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100.00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年终结转结余（2024年林业有害生物防治）</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开展林业有害生物防治工作。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松材线虫防治面积（万亩）</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≥0.71万亩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0.71</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松材线虫防治目标任务完成率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≥127.76%</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127.76</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松材线虫病防控目标任务完成率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40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补助资金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=39.9万元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39.9000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林业草原有害生物无公害防治成效</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100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历史遗留废弃矿山生态修复先行区项目</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完成丰州、柳城、官桥废弃矿山先行区生态修复工作。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301.74</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301.74</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完成丰州、柳城、官桥历史遗留废弃矿山生态修复先行区项目工作。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已完成丰州、柳城、官桥废弃矿山先行区生态修复工作。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完成修复数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≥800亩</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800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hMerge w:val="restart"/>
            <w:vMerge w:val="restart"/>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项目验收合格情况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=合格无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合格</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hMerge w:val="restart"/>
            <w:vMerge w:val="continue"/>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造林成活率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≥85%</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85</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植苗完成时效</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≤10个月</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项目成本控制</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≤358万</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358</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生态环境成本指标</w:t>
            </w:r>
          </w:p>
        </w:tc>
        <w:tc>
          <w:tcPr>
            <w:hMerge w:val="restart"/>
            <w:vAlign w:val="center"/>
          </w:tcPr>
          <w:tcPr>
            <w:tcW w:type="dxa" w:w="1691"/>
          </w:tcPr>
          <w:p>
            <w:pPr>
              <w:jc w:val="right"/>
            </w:pPr>
            <w:r>
              <w:rPr>
                <w:rFonts w:ascii="宋体" w:hAnsi="宋体" w:cs="宋体" w:eastAsia="宋体"/>
                <w:b w:val="false"/>
                <w:i w:val="false"/>
                <w:sz w:val="22"/>
              </w:rPr>
              <w:t>修复情况</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5</w:t>
            </w:r>
          </w:p>
        </w:tc>
        <w:tc>
          <w:tcPr>
            <w:vAlign w:val="center"/>
          </w:tcPr>
          <w:tcPr>
            <w:tcW w:type="dxa" w:w="1691"/>
          </w:tcPr>
          <w:p>
            <w:pPr>
              <w:jc w:val="right"/>
            </w:pPr>
            <w:r>
              <w:rPr>
                <w:rFonts w:ascii="宋体" w:hAnsi="宋体" w:cs="宋体" w:eastAsia="宋体"/>
                <w:b w:val="false"/>
                <w:i w:val="false"/>
                <w:sz w:val="24"/>
              </w:rPr>
              <w:t>5</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受益乡镇个数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 xml:space="preserve">"生态环境可持续发展
"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=明显无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明显</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 xml:space="preserve">社会群众对造林绿化满意度
</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泉财农指〔2025〕43号，2025年泉州市级财政森林资源培育与管护专项资金我（第一批）：推进林长制工作（林长制示范区建设30万元、林长制正向激励7万元）</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完成泉州市2025年林长制“一公园一标准一品牌”项目</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37.00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37.00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完成3个泉州市林长制“一公园一标准一品牌”项目。</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项目建设中</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新增泉州市林长制“一公园一标准一品牌”项目个数（个）</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≥3个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项目建设中</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项目建设任务完成率（%）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项目建设中</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项目建设合格率（%）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0</w:t>
            </w:r>
          </w:p>
        </w:tc>
        <w:tc>
          <w:tcPr>
            <w:hMerge w:val="restart"/>
            <w:vAlign w:val="center"/>
          </w:tcPr>
          <w:tcPr>
            <w:tcW w:type="dxa" w:w="1691"/>
          </w:tcPr>
          <w:p>
            <w:pPr>
              <w:jc w:val="right"/>
            </w:pPr>
            <w:r>
              <w:rPr>
                <w:rFonts w:ascii="宋体" w:hAnsi="宋体" w:cs="宋体" w:eastAsia="宋体"/>
                <w:b w:val="false"/>
                <w:i w:val="false"/>
                <w:sz w:val="24"/>
              </w:rPr>
              <w:t>项目建设中</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项目建设合格率（%）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=100%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3</w:t>
            </w:r>
          </w:p>
        </w:tc>
        <w:tc>
          <w:tcPr>
            <w:hMerge w:val="restart"/>
            <w:vAlign w:val="center"/>
          </w:tcPr>
          <w:tcPr>
            <w:tcW w:type="dxa" w:w="1691"/>
          </w:tcPr>
          <w:p>
            <w:pPr>
              <w:jc w:val="right"/>
            </w:pPr>
            <w:r>
              <w:rPr>
                <w:rFonts w:ascii="宋体" w:hAnsi="宋体" w:cs="宋体" w:eastAsia="宋体"/>
                <w:b w:val="false"/>
                <w:i w:val="false"/>
                <w:sz w:val="24"/>
              </w:rPr>
              <w:t>项目建设中</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生态效益指标</w:t>
            </w:r>
          </w:p>
        </w:tc>
        <w:tc>
          <w:tcPr>
            <w:hMerge w:val="restart"/>
            <w:vAlign w:val="center"/>
          </w:tcPr>
          <w:tcPr>
            <w:tcW w:type="dxa" w:w="1691"/>
          </w:tcPr>
          <w:p>
            <w:pPr>
              <w:jc w:val="right"/>
            </w:pPr>
            <w:r>
              <w:rPr>
                <w:rFonts w:ascii="宋体" w:hAnsi="宋体" w:cs="宋体" w:eastAsia="宋体"/>
                <w:b w:val="false"/>
                <w:i w:val="false"/>
                <w:sz w:val="22"/>
              </w:rPr>
              <w:t>打造“绿水青山就是金山银山”品牌</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项目建设中</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林农满意度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43</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差（60&gt;S）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Merge w:val="restart"/>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r>
        <w:tc>
          <w:tcPr>
            <w:hMerge w:val="restart"/>
            <w:vMerge w:val="continue"/>
            <w:vAlign w:val="center"/>
          </w:tcPr>
          <w:tcPr>
            <w:tcW w:type="dxa" w:w="1691"/>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正在开展项目建设。因林长制主题公园建设选址，个别乡镇招投标等原因，导致项目建设还未完成。</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正在开展项目建设。因林长制主题公园建设选址，个别乡镇招投标等原因，导致项目建设还未完成。加快进度、加大力度抓建设</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r>
        <w:tc>
          <w:tcPr>
            <w:hMerge w:val="restart"/>
            <w:vMerge w:val="continue"/>
            <w:vAlign w:val="center"/>
          </w:tcPr>
          <w:tcPr>
            <w:tcW w:type="dxa" w:w="1691"/>
          </w:tcPr>
          <w:tcPr>
            <w:tcBorders>
              <w:left w:val="single"/>
              <w:bottom w:val="single"/>
              <w:right w:val="nil"/>
            </w:tcBorders>
          </w:tcPr>
          <w:p>
            <w:pPr>
              <w:jc w:val="right"/>
            </w:pPr>
            <w:r>
              <w:rPr>
                <w:rFonts w:ascii="宋体" w:hAnsi="宋体" w:cs="宋体" w:eastAsia="宋体"/>
                <w:b w:val="false"/>
                <w:i w:val="false"/>
                <w:sz w:val="22"/>
              </w:rPr>
              <w:t/>
            </w:r>
          </w:p>
        </w:tc>
        <w:tc>
          <w:tcPr>
            <w:hMerge w:val="continue"/>
            <w:v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 xml:space="preserve">　 正在开展项目建设。因林长制主题公园建设选址，个别乡镇招投标等原因，导致项目建设还未完成。</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right"/>
            </w:pPr>
            <w:r>
              <w:rPr>
                <w:rFonts w:ascii="宋体" w:hAnsi="宋体" w:cs="宋体" w:eastAsia="宋体"/>
                <w:b w:val="false"/>
                <w:i w:val="false"/>
                <w:sz w:val="22"/>
              </w:rPr>
              <w:t>正在开展项目建设。因林长制主题公园建设选址，个别乡镇招投标等原因，导致项目建设还未完成。加快进度、加大力度抓建设</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c>
          <w:tcPr>
            <w:hMerge w:val="continue"/>
            <w:vAlign w:val="center"/>
          </w:tcPr>
          <w:tcPr>
            <w:tcW w:type="dxa" w:w="1691"/>
          </w:tcPr>
          <w:p>
            <w:pPr>
              <w:jc w:val="right"/>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泉财农指〔2024〕53号，2024年泉州市级财政现代林业经济专项资金（第一批）：品牌创建</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4.00</w:t>
            </w:r>
          </w:p>
        </w:tc>
        <w:tc>
          <w:tcPr>
            <w:hMerge w:val="restart"/>
            <w:vAlign w:val="center"/>
          </w:tcPr>
          <w:tcPr>
            <w:tcW w:type="dxa" w:w="1691"/>
          </w:tcPr>
          <w:p>
            <w:pPr>
              <w:jc w:val="center"/>
            </w:pPr>
            <w:r>
              <w:rPr>
                <w:rFonts w:ascii="宋体" w:hAnsi="宋体" w:cs="宋体" w:eastAsia="宋体"/>
                <w:b w:val="false"/>
                <w:i w:val="false"/>
                <w:sz w:val="24"/>
              </w:rPr>
              <w:t>4.00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4.00</w:t>
            </w:r>
          </w:p>
        </w:tc>
        <w:tc>
          <w:tcPr>
            <w:hMerge w:val="restart"/>
            <w:vAlign w:val="center"/>
          </w:tcPr>
          <w:tcPr>
            <w:tcW w:type="dxa" w:w="1691"/>
          </w:tcPr>
          <w:p>
            <w:pPr>
              <w:jc w:val="center"/>
            </w:pPr>
            <w:r>
              <w:rPr>
                <w:rFonts w:ascii="宋体" w:hAnsi="宋体" w:cs="宋体" w:eastAsia="宋体"/>
                <w:b w:val="false"/>
                <w:i w:val="false"/>
                <w:sz w:val="24"/>
              </w:rPr>
              <w:t>4.00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年终结转结余（2024年品牌创建）</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开展品牌创建工作。</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新增品牌数量个数</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≥2个</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2</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产业规模提升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=有效提升无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有效提升</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上级下达任务完成率</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=完成无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完成</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财政投入资金</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=4万元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4</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提高生产技术水平（是/否）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 xml:space="preserve">	
服务对象满意度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pPr>
        <w:pageBreakBefore w:val="true"/>
      </w:pPr>
    </w:p>
    <w:tbl>
      <w:tblPr>
        <w:tblW w:w="20300" w:type="dxa"/>
        <w:tblBorders>
          <w:top w:val="single"/>
          <w:left w:val="single"/>
          <w:bottom w:val="single"/>
          <w:right w:val="single"/>
          <w:insideH w:val="single"/>
          <w:insideV w:val="single"/>
        </w:tblBorders>
      </w:tblPr>
      <w:tr>
        <w:tc>
          <w:tcPr>
            <w:hMerge w:val="restart"/>
            <w:vAlign w:val="center"/>
          </w:tcPr>
          <w:tcPr>
            <w:tcW w:type="dxa" w:w="1691"/>
          </w:tcPr>
          <w:p>
            <w:pPr>
              <w:jc w:val="center"/>
            </w:pPr>
            <w:r>
              <w:rPr>
                <w:rFonts w:ascii="宋体" w:hAnsi="宋体" w:cs="宋体" w:eastAsia="宋体"/>
                <w:b w:val="true"/>
                <w:i w:val="false"/>
                <w:sz w:val="36"/>
              </w:rPr>
              <w:t>专项资金绩效自评表</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c>
          <w:tcPr>
            <w:hMerge w:val="continue"/>
            <w:vAlign w:val="center"/>
          </w:tcPr>
          <w:tcPr>
            <w:tcW w:type="dxa" w:w="1691"/>
          </w:tcPr>
          <w:p>
            <w:pPr>
              <w:jc w:val="center"/>
            </w:pPr>
            <w:r>
              <w:rPr>
                <w:rFonts w:ascii="宋体" w:hAnsi="宋体" w:cs="宋体" w:eastAsia="宋体"/>
                <w:b w:val="true"/>
                <w:i w:val="false"/>
                <w:sz w:val="36"/>
              </w:rPr>
              <w:t/>
            </w:r>
          </w:p>
        </w:tc>
      </w:tr>
      <w:tr>
        <w:tc>
          <w:tcPr>
            <w:hMerge w:val="restart"/>
            <w:vAlign w:val="center"/>
          </w:tcPr>
          <w:tcPr>
            <w:tcW w:type="dxa" w:w="1691"/>
          </w:tcPr>
          <w:p>
            <w:pPr>
              <w:jc w:val="center"/>
            </w:pPr>
            <w:r>
              <w:rPr>
                <w:rFonts w:ascii="宋体" w:hAnsi="宋体" w:cs="宋体" w:eastAsia="宋体"/>
                <w:b w:val="false"/>
                <w:i w:val="false"/>
                <w:sz w:val="24"/>
              </w:rPr>
              <w:t>（2025年度）</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专项名称</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2021结转-林木火灾赔款</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主管部门</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实施单位</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南安市林业局</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项目概况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主要成效</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项目资金(万元)</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年初预算数</w:t>
            </w:r>
          </w:p>
        </w:tc>
        <w:tc>
          <w:tcPr>
            <w:hMerge w:val="restart"/>
            <w:vAlign w:val="center"/>
          </w:tcPr>
          <w:tcPr>
            <w:tcW w:type="dxa" w:w="1691"/>
          </w:tcPr>
          <w:p>
            <w:pPr>
              <w:jc w:val="center"/>
            </w:pPr>
            <w:r>
              <w:rPr>
                <w:rFonts w:ascii="宋体" w:hAnsi="宋体" w:cs="宋体" w:eastAsia="宋体"/>
                <w:b w:val="false"/>
                <w:i w:val="false"/>
                <w:sz w:val="24"/>
              </w:rPr>
              <w:t>全年预算数</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全年执行数</w:t>
            </w:r>
          </w:p>
        </w:tc>
        <w:tc>
          <w:tcPr>
            <w:vAlign w:val="center"/>
          </w:tcPr>
          <w:tcPr>
            <w:tcW w:type="dxa" w:w="1691"/>
          </w:tcPr>
          <w:p>
            <w:pPr>
              <w:jc w:val="center"/>
            </w:pPr>
            <w:r>
              <w:rPr>
                <w:rFonts w:ascii="宋体" w:hAnsi="宋体" w:cs="宋体" w:eastAsia="宋体"/>
                <w:b w:val="false"/>
                <w:i w:val="false"/>
                <w:sz w:val="24"/>
              </w:rPr>
              <w:t>分值</w:t>
            </w:r>
          </w:p>
        </w:tc>
        <w:tc>
          <w:tcPr>
            <w:hMerge w:val="restart"/>
            <w:vAlign w:val="center"/>
          </w:tcPr>
          <w:tcPr>
            <w:tcW w:type="dxa" w:w="1691"/>
          </w:tcPr>
          <w:p>
            <w:pPr>
              <w:jc w:val="center"/>
            </w:pPr>
            <w:r>
              <w:rPr>
                <w:rFonts w:ascii="宋体" w:hAnsi="宋体" w:cs="宋体" w:eastAsia="宋体"/>
                <w:b w:val="false"/>
                <w:i w:val="false"/>
                <w:sz w:val="24"/>
              </w:rPr>
              <w:t>执行率（%）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得分</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年度资金总额</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7.63</w:t>
            </w:r>
          </w:p>
        </w:tc>
        <w:tc>
          <w:tcPr>
            <w:hMerge w:val="restart"/>
            <w:vAlign w:val="center"/>
          </w:tcPr>
          <w:tcPr>
            <w:tcW w:type="dxa" w:w="1691"/>
          </w:tcPr>
          <w:p>
            <w:pPr>
              <w:jc w:val="center"/>
            </w:pPr>
            <w:r>
              <w:rPr>
                <w:rFonts w:ascii="宋体" w:hAnsi="宋体" w:cs="宋体" w:eastAsia="宋体"/>
                <w:b w:val="false"/>
                <w:i w:val="false"/>
                <w:sz w:val="24"/>
              </w:rPr>
              <w:t>7.63</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10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0</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其中：当年财政拨款</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2"/>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其他资金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7.63</w:t>
            </w:r>
          </w:p>
        </w:tc>
        <w:tc>
          <w:tcPr>
            <w:hMerge w:val="restart"/>
            <w:vAlign w:val="center"/>
          </w:tcPr>
          <w:tcPr>
            <w:tcW w:type="dxa" w:w="1691"/>
          </w:tcPr>
          <w:p>
            <w:pPr>
              <w:jc w:val="center"/>
            </w:pPr>
            <w:r>
              <w:rPr>
                <w:rFonts w:ascii="宋体" w:hAnsi="宋体" w:cs="宋体" w:eastAsia="宋体"/>
                <w:b w:val="false"/>
                <w:i w:val="false"/>
                <w:sz w:val="24"/>
              </w:rPr>
              <w:t>7.63</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上年结转资金</w:t>
            </w:r>
          </w:p>
        </w:tc>
        <w:tc>
          <w:tcPr>
            <w:hMerge w:val="continue"/>
            <w:vAlign w:val="center"/>
          </w:tcPr>
          <w:tcPr>
            <w:tcW w:type="dxa" w:w="1691"/>
          </w:tcPr>
          <w:p>
            <w:pPr>
              <w:jc w:val="left"/>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center"/>
            </w:pPr>
            <w:r>
              <w:rPr>
                <w:rFonts w:ascii="宋体" w:hAnsi="宋体" w:cs="宋体" w:eastAsia="宋体"/>
                <w:b w:val="false"/>
                <w:i w:val="false"/>
                <w:sz w:val="24"/>
              </w:rPr>
              <w:t>0.00</w:t>
            </w:r>
          </w:p>
        </w:tc>
        <w:tc>
          <w:tcPr>
            <w:vAlign w:val="center"/>
          </w:tcPr>
          <w:tcPr>
            <w:tcW w:type="dxa" w:w="1691"/>
          </w:tcPr>
          <w:p>
            <w:pPr>
              <w:jc w:val="center"/>
            </w:pPr>
            <w:r>
              <w:rPr>
                <w:rFonts w:ascii="宋体" w:hAnsi="宋体" w:cs="宋体" w:eastAsia="宋体"/>
                <w:b w:val="false"/>
                <w:i w:val="false"/>
                <w:sz w:val="24"/>
              </w:rPr>
              <w:t>—</w:t>
            </w:r>
          </w:p>
        </w:tc>
        <w:tc>
          <w:tcPr>
            <w:hMerge w:val="restart"/>
            <w:vAlign w:val="center"/>
          </w:tcPr>
          <w:tcPr>
            <w:tcW w:type="dxa" w:w="1691"/>
          </w:tcPr>
          <w:p>
            <w:pPr>
              <w:jc w:val="center"/>
            </w:pPr>
            <w:r>
              <w:rPr>
                <w:rFonts w:ascii="宋体" w:hAnsi="宋体" w:cs="宋体" w:eastAsia="宋体"/>
                <w:b w:val="false"/>
                <w:i w:val="false"/>
                <w:sz w:val="24"/>
              </w:rPr>
              <w:t>0.00</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restart"/>
            <w:vAlign w:val="center"/>
          </w:tcPr>
          <w:tcPr>
            <w:tcW w:type="dxa" w:w="1691"/>
          </w:tcPr>
          <w:p>
            <w:pPr>
              <w:jc w:val="center"/>
            </w:pPr>
            <w:r>
              <w:rPr>
                <w:rFonts w:ascii="宋体" w:hAnsi="宋体" w:cs="宋体" w:eastAsia="宋体"/>
                <w:b w:val="false"/>
                <w:i w:val="false"/>
                <w:sz w:val="24"/>
              </w:rPr>
              <w:t>年度总体目标</w:t>
            </w:r>
          </w:p>
        </w:tc>
        <w:tc>
          <w:tcPr>
            <w:hMerge w:val="restart"/>
            <w:vAlign w:val="center"/>
          </w:tcPr>
          <w:tcPr>
            <w:tcW w:type="dxa" w:w="1691"/>
          </w:tcPr>
          <w:p>
            <w:pPr>
              <w:jc w:val="center"/>
            </w:pPr>
            <w:r>
              <w:rPr>
                <w:rFonts w:ascii="宋体" w:hAnsi="宋体" w:cs="宋体" w:eastAsia="宋体"/>
                <w:b w:val="false"/>
                <w:i w:val="false"/>
                <w:sz w:val="24"/>
              </w:rPr>
              <w:t>预期目标</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实际完成情况</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年终结转结余</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restart"/>
            <w:vAlign w:val="center"/>
          </w:tcPr>
          <w:tcPr>
            <w:tcW w:type="dxa" w:w="1691"/>
          </w:tcPr>
          <w:p>
            <w:pPr>
              <w:jc w:val="left"/>
            </w:pPr>
            <w:r>
              <w:rPr>
                <w:rFonts w:ascii="宋体" w:hAnsi="宋体" w:cs="宋体" w:eastAsia="宋体"/>
                <w:b w:val="false"/>
                <w:i w:val="false"/>
                <w:sz w:val="24"/>
              </w:rPr>
              <w:t>2021结转-林木火灾赔款</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c>
          <w:tcPr>
            <w:hMerge w:val="continue"/>
            <w:vAlign w:val="center"/>
          </w:tcPr>
          <w:tcPr>
            <w:tcW w:type="dxa" w:w="1691"/>
          </w:tcPr>
          <w:p>
            <w:pPr>
              <w:jc w:val="left"/>
            </w:pPr>
            <w:r>
              <w:rPr>
                <w:rFonts w:ascii="宋体" w:hAnsi="宋体" w:cs="宋体" w:eastAsia="宋体"/>
                <w:b w:val="false"/>
                <w:i w:val="false"/>
                <w:sz w:val="24"/>
              </w:rPr>
              <w:t/>
            </w:r>
          </w:p>
        </w:tc>
      </w:tr>
      <w:tr>
        <w:tc>
          <w:tcPr>
            <w:hMerge w:val="restart"/>
            <w:vMerge w:val="restart"/>
            <w:vAlign w:val="center"/>
          </w:tcPr>
          <w:tcPr>
            <w:tcW w:type="dxa" w:w="1691"/>
          </w:tcPr>
          <w:p>
            <w:pPr>
              <w:jc w:val="right"/>
            </w:pPr>
            <w:r>
              <w:rPr>
                <w:rFonts w:ascii="宋体" w:hAnsi="宋体" w:cs="宋体" w:eastAsia="宋体"/>
                <w:b w:val="false"/>
                <w:i w:val="false"/>
                <w:sz w:val="24"/>
              </w:rPr>
              <w:t>绩效
指标</w:t>
            </w:r>
          </w:p>
        </w:tc>
        <w:tc>
          <w:tcPr>
            <w:vAlign w:val="center"/>
          </w:tcPr>
          <w:tcPr>
            <w:tcW w:type="dxa" w:w="1691"/>
          </w:tcPr>
          <w:p>
            <w:pPr>
              <w:jc w:val="right"/>
            </w:pPr>
            <w:r>
              <w:rPr>
                <w:rFonts w:ascii="宋体" w:hAnsi="宋体" w:cs="宋体" w:eastAsia="宋体"/>
                <w:b w:val="false"/>
                <w:i w:val="false"/>
                <w:sz w:val="24"/>
              </w:rPr>
              <w:t>一级指标</w:t>
            </w:r>
          </w:p>
        </w:tc>
        <w:tc>
          <w:tcPr>
            <w:vAlign w:val="center"/>
          </w:tcPr>
          <w:tcPr>
            <w:tcW w:type="dxa" w:w="1691"/>
          </w:tcPr>
          <w:p>
            <w:pPr>
              <w:jc w:val="right"/>
            </w:pPr>
            <w:r>
              <w:rPr>
                <w:rFonts w:ascii="宋体" w:hAnsi="宋体" w:cs="宋体" w:eastAsia="宋体"/>
                <w:b w:val="false"/>
                <w:i w:val="false"/>
                <w:sz w:val="24"/>
              </w:rPr>
              <w:t>二级指标</w:t>
            </w:r>
          </w:p>
        </w:tc>
        <w:tc>
          <w:tcPr>
            <w:hMerge w:val="restart"/>
            <w:vAlign w:val="center"/>
          </w:tcPr>
          <w:tcPr>
            <w:tcW w:type="dxa" w:w="1691"/>
          </w:tcPr>
          <w:p>
            <w:pPr>
              <w:jc w:val="center"/>
            </w:pPr>
            <w:r>
              <w:rPr>
                <w:rFonts w:ascii="宋体" w:hAnsi="宋体" w:cs="宋体" w:eastAsia="宋体"/>
                <w:b w:val="false"/>
                <w:i w:val="false"/>
                <w:sz w:val="24"/>
              </w:rPr>
              <w:t>三级指标</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年度指标值</w:t>
            </w:r>
          </w:p>
        </w:tc>
        <w:tc>
          <w:tcPr>
            <w:hMerge w:val="continue"/>
            <w:vAlign w:val="center"/>
          </w:tcPr>
          <w:tcPr>
            <w:tcW w:type="dxa" w:w="1691"/>
          </w:tcPr>
          <w:p>
            <w:pPr>
              <w:jc w:val="center"/>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实际完成值</w:t>
            </w:r>
          </w:p>
        </w:tc>
        <w:tc>
          <w:tcPr>
            <w:vAlign w:val="center"/>
          </w:tcPr>
          <w:tcPr>
            <w:tcW w:type="dxa" w:w="1691"/>
          </w:tcPr>
          <w:p>
            <w:pPr>
              <w:jc w:val="right"/>
            </w:pPr>
            <w:r>
              <w:rPr>
                <w:rFonts w:ascii="宋体" w:hAnsi="宋体" w:cs="宋体" w:eastAsia="宋体"/>
                <w:b w:val="false"/>
                <w:i w:val="false"/>
                <w:sz w:val="24"/>
              </w:rPr>
              <w:t>指标分值</w:t>
            </w:r>
          </w:p>
        </w:tc>
        <w:tc>
          <w:tcPr>
            <w:vAlign w:val="center"/>
          </w:tcPr>
          <w:tcPr>
            <w:tcW w:type="dxa" w:w="1691"/>
          </w:tcPr>
          <w:p>
            <w:pPr>
              <w:jc w:val="right"/>
            </w:pPr>
            <w:r>
              <w:rPr>
                <w:rFonts w:ascii="宋体" w:hAnsi="宋体" w:cs="宋体" w:eastAsia="宋体"/>
                <w:b w:val="false"/>
                <w:i w:val="false"/>
                <w:sz w:val="24"/>
              </w:rPr>
              <w:t>自评得分</w:t>
            </w:r>
          </w:p>
        </w:tc>
        <w:tc>
          <w:tcPr>
            <w:hMerge w:val="restart"/>
            <w:vAlign w:val="center"/>
          </w:tcPr>
          <w:tcPr>
            <w:tcW w:type="dxa" w:w="1691"/>
          </w:tcPr>
          <w:p>
            <w:pPr>
              <w:jc w:val="center"/>
            </w:pPr>
            <w:r>
              <w:rPr>
                <w:rFonts w:ascii="宋体" w:hAnsi="宋体" w:cs="宋体" w:eastAsia="宋体"/>
                <w:b w:val="false"/>
                <w:i w:val="false"/>
                <w:sz w:val="24"/>
              </w:rPr>
              <w:t>偏差原因分析及改进措施</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restart"/>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数量指标</w:t>
            </w:r>
          </w:p>
        </w:tc>
        <w:tc>
          <w:tcPr>
            <w:hMerge w:val="restart"/>
            <w:vAlign w:val="center"/>
          </w:tcPr>
          <w:tcPr>
            <w:tcW w:type="dxa" w:w="1691"/>
          </w:tcPr>
          <w:p>
            <w:pPr>
              <w:jc w:val="right"/>
            </w:pPr>
            <w:r>
              <w:rPr>
                <w:rFonts w:ascii="宋体" w:hAnsi="宋体" w:cs="宋体" w:eastAsia="宋体"/>
                <w:b w:val="false"/>
                <w:i w:val="false"/>
                <w:sz w:val="22"/>
              </w:rPr>
              <w:t>2021结转-林木火灾赔款</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=7.630114万元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7.6301</w:t>
            </w:r>
          </w:p>
        </w:tc>
        <w:tc>
          <w:tcPr>
            <w:vAlign w:val="center"/>
          </w:tcPr>
          <w:tcPr>
            <w:tcW w:type="dxa" w:w="1691"/>
          </w:tcPr>
          <w:p>
            <w:pPr>
              <w:jc w:val="right"/>
            </w:pPr>
            <w:r>
              <w:rPr>
                <w:rFonts w:ascii="宋体" w:hAnsi="宋体" w:cs="宋体" w:eastAsia="宋体"/>
                <w:b w:val="false"/>
                <w:i w:val="false"/>
                <w:sz w:val="24"/>
              </w:rPr>
              <w:t>20</w:t>
            </w:r>
          </w:p>
        </w:tc>
        <w:tc>
          <w:tcPr>
            <w:vAlign w:val="center"/>
          </w:tcPr>
          <w:tcPr>
            <w:tcW w:type="dxa" w:w="1691"/>
          </w:tcPr>
          <w:p>
            <w:pPr>
              <w:jc w:val="right"/>
            </w:pPr>
            <w:r>
              <w:rPr>
                <w:rFonts w:ascii="宋体" w:hAnsi="宋体" w:cs="宋体" w:eastAsia="宋体"/>
                <w:b w:val="false"/>
                <w:i w:val="false"/>
                <w:sz w:val="24"/>
              </w:rPr>
              <w:t>20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质量指标</w:t>
            </w:r>
          </w:p>
        </w:tc>
        <w:tc>
          <w:tcPr>
            <w:hMerge w:val="restart"/>
            <w:vAlign w:val="center"/>
          </w:tcPr>
          <w:tcPr>
            <w:tcW w:type="dxa" w:w="1691"/>
          </w:tcPr>
          <w:p>
            <w:pPr>
              <w:jc w:val="right"/>
            </w:pPr>
            <w:r>
              <w:rPr>
                <w:rFonts w:ascii="宋体" w:hAnsi="宋体" w:cs="宋体" w:eastAsia="宋体"/>
                <w:b w:val="false"/>
                <w:i w:val="false"/>
                <w:sz w:val="22"/>
              </w:rPr>
              <w:t>是否年度结转</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=是无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是</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hMerge w:val="restart"/>
            <w:vMerge w:val="continue"/>
            <w:vAlign w:val="center"/>
          </w:tcPr>
          <w:tcPr>
            <w:tcW w:type="dxa" w:w="1691"/>
          </w:tcPr>
          <w:p>
            <w:pPr>
              <w:jc w:val="right"/>
            </w:pPr>
            <w:r>
              <w:rPr>
                <w:rFonts w:ascii="宋体" w:hAnsi="宋体" w:cs="宋体" w:eastAsia="宋体"/>
                <w:b w:val="false"/>
                <w:i w:val="false"/>
                <w:sz w:val="22"/>
              </w:rPr>
              <w:t>产出指标</w:t>
            </w:r>
          </w:p>
        </w:tc>
        <w:tc>
          <w:tcPr>
            <w:vAlign w:val="center"/>
          </w:tcPr>
          <w:tcPr>
            <w:tcW w:type="dxa" w:w="1691"/>
          </w:tcPr>
          <w:p>
            <w:pPr>
              <w:jc w:val="right"/>
            </w:pPr>
            <w:r>
              <w:rPr>
                <w:rFonts w:ascii="宋体" w:hAnsi="宋体" w:cs="宋体" w:eastAsia="宋体"/>
                <w:b w:val="false"/>
                <w:i w:val="false"/>
                <w:sz w:val="22"/>
              </w:rPr>
              <w:t>时效指标</w:t>
            </w:r>
          </w:p>
        </w:tc>
        <w:tc>
          <w:tcPr>
            <w:hMerge w:val="restart"/>
            <w:vAlign w:val="center"/>
          </w:tcPr>
          <w:tcPr>
            <w:tcW w:type="dxa" w:w="1691"/>
          </w:tcPr>
          <w:p>
            <w:pPr>
              <w:jc w:val="right"/>
            </w:pPr>
            <w:r>
              <w:rPr>
                <w:rFonts w:ascii="宋体" w:hAnsi="宋体" w:cs="宋体" w:eastAsia="宋体"/>
                <w:b w:val="false"/>
                <w:i w:val="false"/>
                <w:sz w:val="22"/>
              </w:rPr>
              <w:t>年度决算（年/次）</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=1年/次</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成本指标</w:t>
            </w:r>
          </w:p>
        </w:tc>
        <w:tc>
          <w:tcPr>
            <w:vAlign w:val="center"/>
          </w:tcPr>
          <w:tcPr>
            <w:tcW w:type="dxa" w:w="1691"/>
          </w:tcPr>
          <w:p>
            <w:pPr>
              <w:jc w:val="right"/>
            </w:pPr>
            <w:r>
              <w:rPr>
                <w:rFonts w:ascii="宋体" w:hAnsi="宋体" w:cs="宋体" w:eastAsia="宋体"/>
                <w:b w:val="false"/>
                <w:i w:val="false"/>
                <w:sz w:val="22"/>
              </w:rPr>
              <w:t>经济成本指标</w:t>
            </w:r>
          </w:p>
        </w:tc>
        <w:tc>
          <w:tcPr>
            <w:hMerge w:val="restart"/>
            <w:vAlign w:val="center"/>
          </w:tcPr>
          <w:tcPr>
            <w:tcW w:type="dxa" w:w="1691"/>
          </w:tcPr>
          <w:p>
            <w:pPr>
              <w:jc w:val="right"/>
            </w:pPr>
            <w:r>
              <w:rPr>
                <w:rFonts w:ascii="宋体" w:hAnsi="宋体" w:cs="宋体" w:eastAsia="宋体"/>
                <w:b w:val="false"/>
                <w:i w:val="false"/>
                <w:sz w:val="22"/>
              </w:rPr>
              <w:t>2021结转-林木火灾赔款</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=7.630114万元</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7.6301</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效益指标</w:t>
            </w:r>
          </w:p>
        </w:tc>
        <w:tc>
          <w:tcPr>
            <w:vAlign w:val="center"/>
          </w:tcPr>
          <w:tcPr>
            <w:tcW w:type="dxa" w:w="1691"/>
          </w:tcPr>
          <w:p>
            <w:pPr>
              <w:jc w:val="right"/>
            </w:pPr>
            <w:r>
              <w:rPr>
                <w:rFonts w:ascii="宋体" w:hAnsi="宋体" w:cs="宋体" w:eastAsia="宋体"/>
                <w:b w:val="false"/>
                <w:i w:val="false"/>
                <w:sz w:val="22"/>
              </w:rPr>
              <w:t>社会效益指标</w:t>
            </w:r>
          </w:p>
        </w:tc>
        <w:tc>
          <w:tcPr>
            <w:hMerge w:val="restart"/>
            <w:vAlign w:val="center"/>
          </w:tcPr>
          <w:tcPr>
            <w:tcW w:type="dxa" w:w="1691"/>
          </w:tcPr>
          <w:p>
            <w:pPr>
              <w:jc w:val="right"/>
            </w:pPr>
            <w:r>
              <w:rPr>
                <w:rFonts w:ascii="宋体" w:hAnsi="宋体" w:cs="宋体" w:eastAsia="宋体"/>
                <w:b w:val="false"/>
                <w:i w:val="false"/>
                <w:sz w:val="22"/>
              </w:rPr>
              <w:t>维护社会安全</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=有效提升无</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有效提升</w:t>
            </w:r>
          </w:p>
        </w:tc>
        <w:tc>
          <w:tcPr>
            <w:vAlign w:val="center"/>
          </w:tcPr>
          <w:tcPr>
            <w:tcW w:type="dxa" w:w="1691"/>
          </w:tcPr>
          <w:p>
            <w:pPr>
              <w:jc w:val="right"/>
            </w:pPr>
            <w:r>
              <w:rPr>
                <w:rFonts w:ascii="宋体" w:hAnsi="宋体" w:cs="宋体" w:eastAsia="宋体"/>
                <w:b w:val="false"/>
                <w:i w:val="false"/>
                <w:sz w:val="24"/>
              </w:rPr>
              <w:t>30</w:t>
            </w:r>
          </w:p>
        </w:tc>
        <w:tc>
          <w:tcPr>
            <w:vAlign w:val="center"/>
          </w:tcPr>
          <w:tcPr>
            <w:tcW w:type="dxa" w:w="1691"/>
          </w:tcPr>
          <w:p>
            <w:pPr>
              <w:jc w:val="right"/>
            </w:pPr>
            <w:r>
              <w:rPr>
                <w:rFonts w:ascii="宋体" w:hAnsi="宋体" w:cs="宋体" w:eastAsia="宋体"/>
                <w:b w:val="false"/>
                <w:i w:val="false"/>
                <w:sz w:val="24"/>
              </w:rPr>
              <w:t>30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Merge w:val="continue"/>
            <w:vAlign w:val="center"/>
          </w:tcPr>
          <w:tcPr>
            <w:tcW w:type="dxa" w:w="1691"/>
          </w:tcPr>
          <w:p>
            <w:pPr>
              <w:jc w:val="center"/>
            </w:pPr>
            <w:r>
              <w:rPr>
                <w:rFonts w:ascii="宋体" w:hAnsi="宋体" w:cs="宋体" w:eastAsia="宋体"/>
                <w:b w:val="false"/>
                <w:i w:val="false"/>
                <w:sz w:val="22"/>
              </w:rPr>
              <w:t>绩效
指标</w:t>
            </w:r>
          </w:p>
        </w:tc>
        <w:tc>
          <w:tcPr>
            <w:vAlign w:val="center"/>
          </w:tcPr>
          <w:tcPr>
            <w:tcW w:type="dxa" w:w="1691"/>
          </w:tcPr>
          <w:p>
            <w:pPr>
              <w:jc w:val="right"/>
            </w:pPr>
            <w:r>
              <w:rPr>
                <w:rFonts w:ascii="宋体" w:hAnsi="宋体" w:cs="宋体" w:eastAsia="宋体"/>
                <w:b w:val="false"/>
                <w:i w:val="false"/>
                <w:sz w:val="22"/>
              </w:rPr>
              <w:t>满意度指标</w:t>
            </w:r>
          </w:p>
        </w:tc>
        <w:tc>
          <w:tcPr>
            <w:vAlign w:val="center"/>
          </w:tcPr>
          <w:tcPr>
            <w:tcW w:type="dxa" w:w="1691"/>
          </w:tcPr>
          <w:p>
            <w:pPr>
              <w:jc w:val="right"/>
            </w:pPr>
            <w:r>
              <w:rPr>
                <w:rFonts w:ascii="宋体" w:hAnsi="宋体" w:cs="宋体" w:eastAsia="宋体"/>
                <w:b w:val="false"/>
                <w:i w:val="false"/>
                <w:sz w:val="22"/>
              </w:rPr>
              <w:t>服务对象满意度指标</w:t>
            </w:r>
          </w:p>
        </w:tc>
        <w:tc>
          <w:tcPr>
            <w:hMerge w:val="restart"/>
            <w:vAlign w:val="center"/>
          </w:tcPr>
          <w:tcPr>
            <w:tcW w:type="dxa" w:w="1691"/>
          </w:tcPr>
          <w:p>
            <w:pPr>
              <w:jc w:val="right"/>
            </w:pPr>
            <w:r>
              <w:rPr>
                <w:rFonts w:ascii="宋体" w:hAnsi="宋体" w:cs="宋体" w:eastAsia="宋体"/>
                <w:b w:val="false"/>
                <w:i w:val="false"/>
                <w:sz w:val="22"/>
              </w:rPr>
              <w:t>群众满意度</w:t>
            </w:r>
          </w:p>
        </w:tc>
        <w:tc>
          <w:tcPr>
            <w:hMerge w:val="continue"/>
            <w:vAlign w:val="center"/>
          </w:tcPr>
          <w:tcPr>
            <w:tcW w:type="dxa" w:w="1691"/>
          </w:tcPr>
          <w:p>
            <w:pPr>
              <w:jc w:val="right"/>
            </w:pPr>
            <w:r>
              <w:rPr>
                <w:rFonts w:ascii="宋体" w:hAnsi="宋体" w:cs="宋体" w:eastAsia="宋体"/>
                <w:b w:val="false"/>
                <w:i w:val="false"/>
                <w:sz w:val="24"/>
              </w:rPr>
              <w:t/>
            </w:r>
          </w:p>
        </w:tc>
        <w:tc>
          <w:tcPr>
            <w:hMerge w:val="restart"/>
            <w:vAlign w:val="center"/>
          </w:tcPr>
          <w:tcPr>
            <w:tcW w:type="dxa" w:w="1691"/>
          </w:tcPr>
          <w:p>
            <w:pPr>
              <w:jc w:val="right"/>
            </w:pPr>
            <w:r>
              <w:rPr>
                <w:rFonts w:ascii="宋体" w:hAnsi="宋体" w:cs="宋体" w:eastAsia="宋体"/>
                <w:b w:val="false"/>
                <w:i w:val="false"/>
                <w:sz w:val="24"/>
              </w:rPr>
              <w:t>≥90%</w:t>
            </w:r>
          </w:p>
        </w:tc>
        <w:tc>
          <w:tcPr>
            <w:hMerge w:val="continue"/>
            <w:vAlign w:val="center"/>
          </w:tcPr>
          <w:tcPr>
            <w:tcW w:type="dxa" w:w="1691"/>
          </w:tcPr>
          <w:p>
            <w:pPr>
              <w:jc w:val="right"/>
            </w:pPr>
            <w:r>
              <w:rPr>
                <w:rFonts w:ascii="宋体" w:hAnsi="宋体" w:cs="宋体" w:eastAsia="宋体"/>
                <w:b w:val="false"/>
                <w:i w:val="false"/>
                <w:sz w:val="24"/>
              </w:rPr>
              <w:t/>
            </w:r>
          </w:p>
        </w:tc>
        <w:tc>
          <w:tcPr>
            <w:vAlign w:val="center"/>
          </w:tcPr>
          <w:tcPr>
            <w:tcW w:type="dxa" w:w="1691"/>
          </w:tcPr>
          <w:p>
            <w:pPr>
              <w:jc w:val="right"/>
            </w:pPr>
            <w:r>
              <w:rPr>
                <w:rFonts w:ascii="宋体" w:hAnsi="宋体" w:cs="宋体" w:eastAsia="宋体"/>
                <w:b w:val="false"/>
                <w:i w:val="false"/>
                <w:sz w:val="24"/>
              </w:rPr>
              <w:t>90</w:t>
            </w:r>
          </w:p>
        </w:tc>
        <w:tc>
          <w:tcPr>
            <w:vAlign w:val="center"/>
          </w:tcPr>
          <w:tcPr>
            <w:tcW w:type="dxa" w:w="1691"/>
          </w:tcPr>
          <w:p>
            <w:pPr>
              <w:jc w:val="right"/>
            </w:pPr>
            <w:r>
              <w:rPr>
                <w:rFonts w:ascii="宋体" w:hAnsi="宋体" w:cs="宋体" w:eastAsia="宋体"/>
                <w:b w:val="false"/>
                <w:i w:val="false"/>
                <w:sz w:val="24"/>
              </w:rPr>
              <w:t>10</w:t>
            </w:r>
          </w:p>
        </w:tc>
        <w:tc>
          <w:tcPr>
            <w:vAlign w:val="center"/>
          </w:tcPr>
          <w:tcPr>
            <w:tcW w:type="dxa" w:w="1691"/>
          </w:tcPr>
          <w:p>
            <w:pPr>
              <w:jc w:val="right"/>
            </w:pPr>
            <w:r>
              <w:rPr>
                <w:rFonts w:ascii="宋体" w:hAnsi="宋体" w:cs="宋体" w:eastAsia="宋体"/>
                <w:b w:val="false"/>
                <w:i w:val="false"/>
                <w:sz w:val="24"/>
              </w:rPr>
              <w:t>10</w:t>
            </w:r>
          </w:p>
        </w:tc>
        <w:tc>
          <w:tcPr>
            <w:hMerge w:val="restart"/>
            <w:vAlign w:val="center"/>
          </w:tcPr>
          <w:tcPr>
            <w:tcW w:type="dxa" w:w="1691"/>
          </w:tcPr>
          <w:p>
            <w:pPr>
              <w:jc w:val="right"/>
            </w:pPr>
            <w:r>
              <w:rPr>
                <w:rFonts w:ascii="宋体" w:hAnsi="宋体" w:cs="宋体" w:eastAsia="宋体"/>
                <w:b w:val="false"/>
                <w:i w:val="false"/>
                <w:sz w:val="24"/>
              </w:rPr>
              <w:t/>
            </w:r>
          </w:p>
        </w:tc>
        <w:tc>
          <w:tcPr>
            <w:hMerge w:val="continue"/>
            <w:vAlign w:val="center"/>
          </w:tcPr>
          <w:tcPr>
            <w:tcW w:type="dxa" w:w="1691"/>
          </w:tcPr>
          <w:p>
            <w:pPr>
              <w:jc w:val="right"/>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总分值、评价总分 (S)</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center"/>
            </w:pPr>
            <w:r>
              <w:rPr>
                <w:rFonts w:ascii="宋体" w:hAnsi="宋体" w:cs="宋体" w:eastAsia="宋体"/>
                <w:b w:val="false"/>
                <w:i w:val="false"/>
                <w:sz w:val="24"/>
              </w:rPr>
              <w:t xml:space="preserve">评价等级 </w:t>
            </w:r>
          </w:p>
        </w:tc>
        <w:tc>
          <w:tcPr>
            <w:hMerge w:val="continue"/>
            <w:vAlign w:val="center"/>
          </w:tcPr>
          <w:tcPr>
            <w:tcW w:type="dxa" w:w="1691"/>
          </w:tcPr>
          <w:p>
            <w:pPr>
              <w:jc w:val="center"/>
            </w:pPr>
            <w:r>
              <w:rPr>
                <w:rFonts w:ascii="宋体" w:hAnsi="宋体" w:cs="宋体" w:eastAsia="宋体"/>
                <w:b w:val="false"/>
                <w:i w:val="false"/>
                <w:sz w:val="24"/>
              </w:rPr>
              <w:t/>
            </w:r>
          </w:p>
        </w:tc>
        <w:tc>
          <w:tcPr>
            <w:hMerge w:val="restart"/>
            <w:vAlign w:val="center"/>
          </w:tcPr>
          <w:tcPr>
            <w:tcW w:type="dxa" w:w="1691"/>
          </w:tcPr>
          <w:p>
            <w:pPr>
              <w:jc w:val="center"/>
            </w:pPr>
            <w:r>
              <w:rPr>
                <w:rFonts w:ascii="宋体" w:hAnsi="宋体" w:cs="宋体" w:eastAsia="宋体"/>
                <w:b w:val="false"/>
                <w:i w:val="false"/>
                <w:sz w:val="24"/>
              </w:rPr>
              <w:t>优（S≧90）</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c>
          <w:tcPr>
            <w:hMerge w:val="continue"/>
            <w:vAlign w:val="center"/>
          </w:tcPr>
          <w:tcPr>
            <w:tcW w:type="dxa" w:w="1691"/>
          </w:tcPr>
          <w:p>
            <w:pPr>
              <w:jc w:val="center"/>
            </w:pPr>
            <w:r>
              <w:rPr>
                <w:rFonts w:ascii="宋体" w:hAnsi="宋体" w:cs="宋体" w:eastAsia="宋体"/>
                <w:b w:val="false"/>
                <w:i w:val="false"/>
                <w:sz w:val="24"/>
              </w:rPr>
              <w:t/>
            </w:r>
          </w:p>
        </w:tc>
      </w:tr>
      <w:tr>
        <w:tc>
          <w:tcPr>
            <w:hMerge w:val="restart"/>
            <w:vAlign w:val="center"/>
          </w:tcPr>
          <w:tcPr>
            <w:tcW w:type="dxa" w:w="1691"/>
          </w:tcPr>
          <w:p>
            <w:pPr>
              <w:jc w:val="right"/>
            </w:pPr>
            <w:r>
              <w:rPr>
                <w:rFonts w:ascii="宋体" w:hAnsi="宋体" w:cs="宋体" w:eastAsia="宋体"/>
                <w:b w:val="false"/>
                <w:i w:val="false"/>
                <w:sz w:val="22"/>
              </w:rPr>
              <w:t>问题与建议（每条问题和建议不少于30个字）</w:t>
            </w:r>
          </w:p>
        </w:tc>
        <w:tc>
          <w:tcPr>
            <w:hMerge w:val="continue"/>
            <w:vAlign w:val="center"/>
          </w:tcPr>
          <w:tcPr>
            <w:tcW w:type="dxa" w:w="1691"/>
          </w:tcPr>
          <w:p>
            <w:pPr>
              <w:jc w:val="right"/>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问题类型</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存在问题</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restart"/>
            <w:vAlign w:val="center"/>
          </w:tcPr>
          <w:tcPr>
            <w:tcW w:type="dxa" w:w="1691"/>
          </w:tcPr>
          <w:p>
            <w:pPr>
              <w:jc w:val="center"/>
            </w:pPr>
            <w:r>
              <w:rPr>
                <w:rFonts w:ascii="宋体" w:hAnsi="宋体" w:cs="宋体" w:eastAsia="宋体"/>
                <w:b w:val="false"/>
                <w:i w:val="false"/>
                <w:sz w:val="22"/>
              </w:rPr>
              <w:t>改进建议</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c>
          <w:tcPr>
            <w:hMerge w:val="continue"/>
            <w:vAlign w:val="center"/>
          </w:tcPr>
          <w:tcPr>
            <w:tcW w:type="dxa" w:w="1691"/>
          </w:tcPr>
          <w:p>
            <w:pPr>
              <w:jc w:val="center"/>
            </w:pPr>
            <w:r>
              <w:rPr>
                <w:rFonts w:ascii="宋体" w:hAnsi="宋体" w:cs="宋体" w:eastAsia="宋体"/>
                <w:b w:val="false"/>
                <w:i w:val="false"/>
                <w:sz w:val="22"/>
              </w:rPr>
              <w:t/>
            </w:r>
          </w:p>
        </w:tc>
      </w:tr>
    </w:tbl>
    <w:p w:rsidR="00B2512C" w14:paraId="213275E1" w14:textId="77777777">
      <w:pPr>
        <w:rPr>
          <w:sz w:val="24"/>
          <w:szCs w:val="24"/>
        </w:rPr>
        <w:sectPr>
          <w:pgSz w:w="23800" w:h="16840"/>
        </w:sectPr>
      </w:pPr>
      <w:r>
        <w:rPr>
          <w:sz w:val="24"/>
          <w:szCs w:val="24"/>
        </w:rPr>
        <w:t/>
      </w:r>
    </w:p>
    <w:p w:rsidR="002E6977" w:rsidP="000F6DE9" w14:paraId="27E0FCED" w14:textId="77777777">
      <w:pPr>
        <w:pStyle w:val="Heading2"/>
      </w:pPr>
      <w:bookmarkStart w:id="58" w:name="_Toc141520089"/>
      <w:r>
        <w:rPr>
          <w:rFonts w:hint="eastAsia"/>
        </w:rPr>
        <w:t>二、项目支出绩效评价报告</w:t>
      </w:r>
      <w:bookmarkEnd w:id="58"/>
    </w:p>
    <w:p w:rsidR="00614434" w:rsidP="00614434" w14:paraId="7D53E5D0" w14:textId="77777777">
      <w:pPr>
        <w:rPr>
          <w:sz w:val="24"/>
          <w:szCs w:val="24"/>
        </w:rPr>
      </w:pPr>
      <w:r>
        <w:rPr>
          <w:sz w:val="24"/>
          <w:szCs w:val="24"/>
        </w:rPr>
        <w:t/>
      </w:r>
    </w:p>
    <w:p w:rsidR="00750446" w:rsidRPr="00614434" w:rsidP="00062182" w14:paraId="3355A80E" w14:textId="77777777"/>
    <w:p>
      <w:pPr>
        <w:pStyle w:val="1"/>
        <w:rPr>
          <w:rFonts w:ascii="仿宋" w:hAnsi="仿宋" w:eastAsia="仿宋"/>
          <w:sz w:val="32"/>
          <w:szCs w:val="32"/>
        </w:rPr>
      </w:pPr>
      <w:bookmarkStart w:id="0" w:name="_GoBack"/>
      <w:bookmarkEnd w:id="0"/>
    </w:p>
    <w:p>
      <w:pPr>
        <w:pStyle w:val="1"/>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r>
        <w:rPr>
          <w:rFonts w:ascii="宋体" w:hAnsi="宋体" w:eastAsia="宋体" w:cs="宋体"/>
          <w:b/>
          <w:sz w:val="44"/>
        </w:rPr>
        <w:t>报告</w:t>
      </w:r>
    </w:p>
    <w:p>
      <w:pPr>
        <w:pStyle w:val="1"/>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泉财农指〔2025〕43号，2025年天然商品林停伐管护补助及生态效益补偿资金</w:t>
      </w:r>
      <w:r>
        <w:rPr>
          <w:rFonts w:hint="eastAsia" w:ascii="仿宋" w:hAnsi="仿宋" w:eastAsia="仿宋"/>
          <w:sz w:val="32"/>
          <w:szCs w:val="32"/>
        </w:rPr>
        <w:t>）</w:t>
      </w:r>
    </w:p>
    <w:p>
      <w:pPr>
        <w:pStyle w:val="1"/>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1"/>
        <w:ind w:firstLine="643" w:firstLineChars="200"/>
        <w:rPr>
          <w:rFonts w:ascii="仿宋" w:hAnsi="仿宋" w:eastAsia="仿宋"/>
          <w:sz w:val="32"/>
          <w:szCs w:val="32"/>
        </w:rPr>
      </w:pPr>
      <w:r>
        <w:rPr>
          <w:rFonts w:hint="eastAsia" w:ascii="仿宋" w:hAnsi="仿宋" w:eastAsia="仿宋"/>
          <w:b/>
          <w:sz w:val="32"/>
          <w:szCs w:val="32"/>
        </w:rPr>
        <w:t>（一）项目概况</w:t>
      </w:r>
    </w:p>
    <w:p>
      <w:pPr>
        <w:pStyle w:val="1"/>
        <w:ind w:firstLine="1472" w:firstLineChars="460"/>
        <w:rPr>
          <w:rFonts w:ascii="仿宋" w:hAnsi="仿宋" w:eastAsia="仿宋"/>
          <w:sz w:val="32"/>
          <w:szCs w:val="32"/>
        </w:rPr>
      </w:pPr>
      <w:r>
        <w:rPr>
          <w:rFonts w:hint="eastAsia" w:ascii="仿宋" w:hAnsi="仿宋" w:eastAsia="仿宋"/>
          <w:sz w:val="32"/>
          <w:szCs w:val="32"/>
        </w:rPr>
        <w:t>天然商品林停伐管护补助资金129014元，森林生态效益补偿资金638556元。</w:t>
      </w:r>
      <w:r>
        <w:rPr>
          <w:rFonts w:ascii="仿宋" w:hAnsi="仿宋" w:eastAsia="仿宋" w:cs="仿宋"/>
          <w:sz w:val="32"/>
        </w:rPr>
        <w:t xml:space="preserve"> </w:t>
      </w:r>
    </w:p>
    <w:p>
      <w:pPr>
        <w:pStyle w:val="1"/>
        <w:ind w:firstLine="643" w:firstLineChars="200"/>
        <w:rPr>
          <w:rFonts w:ascii="仿宋" w:hAnsi="仿宋" w:eastAsia="仿宋"/>
          <w:sz w:val="32"/>
          <w:szCs w:val="32"/>
        </w:rPr>
      </w:pPr>
      <w:r>
        <w:rPr>
          <w:rFonts w:hint="eastAsia" w:ascii="仿宋" w:hAnsi="仿宋" w:eastAsia="仿宋"/>
          <w:b/>
          <w:sz w:val="32"/>
          <w:szCs w:val="32"/>
        </w:rPr>
        <w:t>（二）主要成效</w:t>
      </w:r>
    </w:p>
    <w:p>
      <w:pPr>
        <w:pStyle w:val="1"/>
        <w:ind w:firstLine="1472" w:firstLineChars="460"/>
        <w:rPr>
          <w:rFonts w:ascii="仿宋" w:hAnsi="仿宋" w:eastAsia="仿宋"/>
          <w:sz w:val="32"/>
          <w:szCs w:val="32"/>
        </w:rPr>
      </w:pPr>
    </w:p>
    <w:p>
      <w:pPr>
        <w:pStyle w:val="1"/>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1"/>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pPr>
        <w:pStyle w:val="1"/>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1"/>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1"/>
        <w:spacing w:line="620" w:lineRule="exact"/>
        <w:ind w:left="420" w:leftChars="200"/>
        <w:rPr>
          <w:rFonts w:ascii="仿宋" w:hAnsi="仿宋" w:eastAsia="仿宋"/>
          <w:sz w:val="32"/>
          <w:szCs w:val="32"/>
        </w:rPr>
      </w:pPr>
      <w:r>
        <w:rPr>
          <w:rFonts w:ascii="仿宋_GB2312" w:hAnsi="仿宋_GB2312" w:eastAsia="仿宋_GB2312" w:cs="仿宋_GB2312"/>
          <w:sz w:val="32"/>
        </w:rPr>
        <w:t>1)生态林补偿标准（元/亩）</w:t>
      </w:r>
      <w:r>
        <w:rPr>
          <w:rFonts w:ascii="仿宋" w:hAnsi="仿宋" w:eastAsia="仿宋" w:cs="仿宋"/>
          <w:sz w:val="32"/>
        </w:rPr>
        <w:t>(%)，目标值22，完成值22，分值10，得分10</w:t>
      </w:r>
      <w:r>
        <w:rPr>
          <w:rFonts w:hint="eastAsia" w:ascii="仿宋" w:hAnsi="仿宋" w:eastAsia="仿宋"/>
          <w:sz w:val="32"/>
          <w:szCs w:val="32"/>
        </w:rPr>
        <w:t>。</w:t>
      </w:r>
    </w:p>
    <w:p>
      <w:pPr>
        <w:pStyle w:val="1"/>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1"/>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1"/>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1"/>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1"/>
        <w:spacing w:line="620" w:lineRule="exact"/>
        <w:ind w:left="420" w:leftChars="200"/>
        <w:rPr>
          <w:rFonts w:ascii="仿宋" w:hAnsi="仿宋" w:eastAsia="仿宋"/>
          <w:sz w:val="32"/>
          <w:szCs w:val="32"/>
        </w:rPr>
      </w:pPr>
      <w:r>
        <w:rPr>
          <w:rFonts w:ascii="仿宋_GB2312" w:hAnsi="仿宋_GB2312" w:eastAsia="仿宋_GB2312" w:cs="仿宋_GB2312"/>
          <w:sz w:val="32"/>
        </w:rPr>
        <w:t>1)生态林补偿面积</w:t>
      </w:r>
      <w:r>
        <w:rPr>
          <w:rFonts w:ascii="仿宋" w:hAnsi="仿宋" w:eastAsia="仿宋" w:cs="仿宋"/>
          <w:sz w:val="32"/>
        </w:rPr>
        <w:t>(万亩</w:t>
      </w:r>
      <w:r>
        <w:rPr>
          <w:rFonts w:ascii="仿宋" w:hAnsi="仿宋" w:eastAsia="仿宋" w:cs="仿宋"/>
          <w:sz w:val="32"/>
        </w:rPr>
        <w:cr/>
      </w:r>
      <w:r>
        <w:rPr>
          <w:rFonts w:ascii="仿宋" w:hAnsi="仿宋" w:eastAsia="仿宋" w:cs="仿宋"/>
          <w:sz w:val="32"/>
        </w:rPr>
        <w:t>)，目标值51.0864，完成值51.0864，分值20，得分20</w:t>
      </w:r>
      <w:r>
        <w:rPr>
          <w:rFonts w:hint="eastAsia" w:ascii="仿宋" w:hAnsi="仿宋" w:eastAsia="仿宋"/>
          <w:sz w:val="32"/>
          <w:szCs w:val="32"/>
        </w:rPr>
        <w:t>。</w:t>
      </w:r>
    </w:p>
    <w:p>
      <w:pPr>
        <w:pStyle w:val="1"/>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1"/>
        <w:spacing w:line="620" w:lineRule="exact"/>
        <w:ind w:left="420" w:leftChars="200"/>
        <w:rPr>
          <w:rFonts w:ascii="仿宋" w:hAnsi="仿宋" w:eastAsia="仿宋"/>
          <w:sz w:val="32"/>
          <w:szCs w:val="32"/>
        </w:rPr>
      </w:pPr>
      <w:r>
        <w:rPr>
          <w:rFonts w:ascii="仿宋_GB2312" w:hAnsi="仿宋_GB2312" w:eastAsia="仿宋_GB2312" w:cs="仿宋_GB2312"/>
          <w:sz w:val="32"/>
        </w:rPr>
        <w:t>1)森林资源管护责任落实率</w:t>
      </w:r>
      <w:r>
        <w:rPr>
          <w:rFonts w:ascii="仿宋" w:hAnsi="仿宋" w:eastAsia="仿宋" w:cs="仿宋"/>
          <w:sz w:val="32"/>
        </w:rPr>
        <w:t>(%)，目标值100，完成值100，分值10，得分10</w:t>
      </w:r>
      <w:r>
        <w:rPr>
          <w:rFonts w:hint="eastAsia" w:ascii="仿宋" w:hAnsi="仿宋" w:eastAsia="仿宋"/>
          <w:sz w:val="32"/>
          <w:szCs w:val="32"/>
        </w:rPr>
        <w:t>。</w:t>
      </w:r>
    </w:p>
    <w:p>
      <w:pPr>
        <w:pStyle w:val="1"/>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1"/>
        <w:spacing w:line="620" w:lineRule="exact"/>
        <w:ind w:left="420" w:leftChars="200"/>
        <w:rPr>
          <w:rFonts w:ascii="仿宋" w:hAnsi="仿宋" w:eastAsia="仿宋"/>
          <w:sz w:val="32"/>
          <w:szCs w:val="32"/>
        </w:rPr>
      </w:pPr>
      <w:r>
        <w:rPr>
          <w:rFonts w:ascii="仿宋_GB2312" w:hAnsi="仿宋_GB2312" w:eastAsia="仿宋_GB2312" w:cs="仿宋_GB2312"/>
          <w:sz w:val="32"/>
        </w:rPr>
        <w:t>1)预算执行率</w:t>
      </w:r>
      <w:r>
        <w:rPr>
          <w:rFonts w:ascii="仿宋" w:hAnsi="仿宋" w:eastAsia="仿宋" w:cs="仿宋"/>
          <w:sz w:val="32"/>
        </w:rPr>
        <w:t>(%)，目标值100，完成值100，分值10，得分10</w:t>
      </w:r>
      <w:r>
        <w:rPr>
          <w:rFonts w:hint="eastAsia" w:ascii="仿宋" w:hAnsi="仿宋" w:eastAsia="仿宋"/>
          <w:sz w:val="32"/>
          <w:szCs w:val="32"/>
        </w:rPr>
        <w:t>。</w:t>
      </w:r>
    </w:p>
    <w:p>
      <w:pPr>
        <w:pStyle w:val="1"/>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1"/>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1"/>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1"/>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1"/>
        <w:spacing w:line="620" w:lineRule="exact"/>
        <w:ind w:left="420" w:leftChars="200"/>
        <w:rPr>
          <w:rFonts w:ascii="仿宋" w:hAnsi="仿宋" w:eastAsia="仿宋"/>
          <w:sz w:val="32"/>
          <w:szCs w:val="32"/>
        </w:rPr>
      </w:pPr>
      <w:r>
        <w:rPr>
          <w:rFonts w:ascii="仿宋_GB2312" w:hAnsi="仿宋_GB2312" w:eastAsia="仿宋_GB2312" w:cs="仿宋_GB2312"/>
          <w:sz w:val="32"/>
        </w:rPr>
        <w:t>1)持续发挥生态作用</w:t>
      </w:r>
      <w:r>
        <w:rPr>
          <w:rFonts w:ascii="仿宋" w:hAnsi="仿宋" w:eastAsia="仿宋" w:cs="仿宋"/>
          <w:sz w:val="32"/>
        </w:rPr>
        <w:t>(%)，目标值100，完成值100，分值30，得分30</w:t>
      </w:r>
      <w:r>
        <w:rPr>
          <w:rFonts w:hint="eastAsia" w:ascii="仿宋" w:hAnsi="仿宋" w:eastAsia="仿宋"/>
          <w:sz w:val="32"/>
          <w:szCs w:val="32"/>
        </w:rPr>
        <w:t>。</w:t>
      </w:r>
    </w:p>
    <w:p>
      <w:pPr>
        <w:pStyle w:val="1"/>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1"/>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1"/>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1)服务对象满意度度</w:t>
      </w:r>
      <w:r>
        <w:rPr>
          <w:rFonts w:ascii="仿宋" w:hAnsi="仿宋" w:eastAsia="仿宋" w:cs="仿宋"/>
          <w:sz w:val="32"/>
        </w:rPr>
        <w:t>(%)，目标值90，完成值90，分值10，得分10</w:t>
      </w:r>
      <w:r>
        <w:rPr>
          <w:rFonts w:hint="eastAsia" w:ascii="仿宋" w:hAnsi="仿宋" w:eastAsia="仿宋"/>
          <w:sz w:val="32"/>
          <w:szCs w:val="32"/>
        </w:rPr>
        <w:t>。</w:t>
      </w:r>
    </w:p>
    <w:p>
      <w:pPr>
        <w:pStyle w:val="1"/>
        <w:tabs>
          <w:tab w:val="left" w:pos="2244"/>
        </w:tabs>
        <w:spacing w:line="620" w:lineRule="exact"/>
        <w:ind w:left="1890" w:leftChars="900"/>
        <w:rPr>
          <w:rFonts w:ascii="仿宋" w:hAnsi="仿宋" w:eastAsia="仿宋"/>
          <w:b/>
          <w:color w:val="FF0000"/>
          <w:sz w:val="32"/>
          <w:szCs w:val="32"/>
        </w:rPr>
      </w:pPr>
    </w:p>
    <w:p>
      <w:pPr>
        <w:pStyle w:val="1"/>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1"/>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1"/>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1"/>
        <w:ind w:left="840" w:firstLine="420"/>
        <w:sectPr>
          <w:type w:val="continuous"/>
          <w:pgSz w:w="11907" w:h="16840"/>
        </w:sectPr>
      </w:pPr>
    </w:p>
    <w:p>
      <w:pPr>
        <w:pageBreakBefore w:val="true"/>
      </w:pPr>
    </w:p>
    <w:p>
      <w:pPr>
        <w:pStyle w:val="f2576127"/>
        <w:rPr>
          <w:rFonts w:ascii="仿宋" w:hAnsi="仿宋" w:eastAsia="仿宋"/>
          <w:sz w:val="32"/>
          <w:szCs w:val="32"/>
        </w:rPr>
      </w:pPr>
      <w:bookmarkStart w:id="0" w:name="_GoBack"/>
      <w:bookmarkEnd w:id="0"/>
    </w:p>
    <w:p>
      <w:pPr>
        <w:pStyle w:val="f2576127"/>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r>
        <w:rPr>
          <w:rFonts w:ascii="宋体" w:hAnsi="宋体" w:eastAsia="宋体" w:cs="宋体"/>
          <w:b/>
          <w:sz w:val="44"/>
        </w:rPr>
        <w:t>报告</w:t>
      </w:r>
    </w:p>
    <w:p>
      <w:pPr>
        <w:pStyle w:val="f2576127"/>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林业技能竞赛</w:t>
      </w:r>
      <w:r>
        <w:rPr>
          <w:rFonts w:hint="eastAsia" w:ascii="仿宋" w:hAnsi="仿宋" w:eastAsia="仿宋"/>
          <w:sz w:val="32"/>
          <w:szCs w:val="32"/>
        </w:rPr>
        <w:t>）</w:t>
      </w:r>
    </w:p>
    <w:p>
      <w:pPr>
        <w:pStyle w:val="f2576127"/>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f2576127"/>
        <w:ind w:firstLine="643" w:firstLineChars="200"/>
        <w:rPr>
          <w:rFonts w:ascii="仿宋" w:hAnsi="仿宋" w:eastAsia="仿宋"/>
          <w:sz w:val="32"/>
          <w:szCs w:val="32"/>
        </w:rPr>
      </w:pPr>
      <w:r>
        <w:rPr>
          <w:rFonts w:hint="eastAsia" w:ascii="仿宋" w:hAnsi="仿宋" w:eastAsia="仿宋"/>
          <w:b/>
          <w:sz w:val="32"/>
          <w:szCs w:val="32"/>
        </w:rPr>
        <w:t>（一）项目概况</w:t>
      </w:r>
    </w:p>
    <w:p>
      <w:pPr>
        <w:pStyle w:val="f2576127"/>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f2576127"/>
        <w:ind w:firstLine="643" w:firstLineChars="200"/>
        <w:rPr>
          <w:rFonts w:ascii="仿宋" w:hAnsi="仿宋" w:eastAsia="仿宋"/>
          <w:sz w:val="32"/>
          <w:szCs w:val="32"/>
        </w:rPr>
      </w:pPr>
      <w:r>
        <w:rPr>
          <w:rFonts w:hint="eastAsia" w:ascii="仿宋" w:hAnsi="仿宋" w:eastAsia="仿宋"/>
          <w:b/>
          <w:sz w:val="32"/>
          <w:szCs w:val="32"/>
        </w:rPr>
        <w:t>（二）主要成效</w:t>
      </w:r>
    </w:p>
    <w:p>
      <w:pPr>
        <w:pStyle w:val="f2576127"/>
        <w:ind w:firstLine="1472" w:firstLineChars="460"/>
        <w:rPr>
          <w:rFonts w:ascii="仿宋" w:hAnsi="仿宋" w:eastAsia="仿宋"/>
          <w:sz w:val="32"/>
          <w:szCs w:val="32"/>
        </w:rPr>
      </w:pPr>
    </w:p>
    <w:p>
      <w:pPr>
        <w:pStyle w:val="f2576127"/>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f2576127"/>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sz w:val="32"/>
        </w:rPr>
        <w:t>1)预算执行率</w:t>
      </w:r>
      <w:r>
        <w:rPr>
          <w:rFonts w:ascii="仿宋" w:hAnsi="仿宋" w:eastAsia="仿宋" w:cs="仿宋"/>
          <w:sz w:val="32"/>
        </w:rPr>
        <w:t>(%)，目标值100，完成值100，分值10，得分10</w:t>
      </w:r>
      <w:r>
        <w:rPr>
          <w:rFonts w:hint="eastAsia" w:ascii="仿宋" w:hAnsi="仿宋" w:eastAsia="仿宋"/>
          <w:sz w:val="32"/>
          <w:szCs w:val="32"/>
        </w:rPr>
        <w:t>。</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sz w:val="32"/>
        </w:rPr>
        <w:t>1)林地保有量面积</w:t>
      </w:r>
      <w:r>
        <w:rPr>
          <w:rFonts w:ascii="仿宋" w:hAnsi="仿宋" w:eastAsia="仿宋" w:cs="仿宋"/>
          <w:sz w:val="32"/>
        </w:rPr>
        <w:t>(万公顷)，目标值10.9252，完成值10.9252，分值20，得分20</w:t>
      </w:r>
      <w:r>
        <w:rPr>
          <w:rFonts w:hint="eastAsia" w:ascii="仿宋" w:hAnsi="仿宋" w:eastAsia="仿宋"/>
          <w:sz w:val="32"/>
          <w:szCs w:val="32"/>
        </w:rPr>
        <w:t>。</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sz w:val="32"/>
        </w:rPr>
        <w:t>1)资金使用合规性</w:t>
      </w:r>
      <w:r>
        <w:rPr>
          <w:rFonts w:ascii="仿宋" w:hAnsi="仿宋" w:eastAsia="仿宋" w:cs="仿宋"/>
          <w:sz w:val="32"/>
        </w:rPr>
        <w:t>(无)，目标值合理使用，完成值合理使用，分值10，得分10</w:t>
      </w:r>
      <w:r>
        <w:rPr>
          <w:rFonts w:hint="eastAsia" w:ascii="仿宋" w:hAnsi="仿宋" w:eastAsia="仿宋"/>
          <w:sz w:val="32"/>
          <w:szCs w:val="32"/>
        </w:rPr>
        <w:t>。</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sz w:val="32"/>
        </w:rPr>
        <w:t>1)项目建设完成及时率</w:t>
      </w:r>
      <w:r>
        <w:rPr>
          <w:rFonts w:ascii="仿宋" w:hAnsi="仿宋" w:eastAsia="仿宋" w:cs="仿宋"/>
          <w:sz w:val="32"/>
        </w:rPr>
        <w:t>(%)，目标值100，完成值100，分值10，得分10</w:t>
      </w:r>
      <w:r>
        <w:rPr>
          <w:rFonts w:hint="eastAsia" w:ascii="仿宋" w:hAnsi="仿宋" w:eastAsia="仿宋"/>
          <w:sz w:val="32"/>
          <w:szCs w:val="32"/>
        </w:rPr>
        <w:t>。</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sz w:val="32"/>
        </w:rPr>
        <w:t>1)参与林下经济林农增加的收入</w:t>
      </w:r>
      <w:r>
        <w:rPr>
          <w:rFonts w:ascii="仿宋" w:hAnsi="仿宋" w:eastAsia="仿宋" w:cs="仿宋"/>
          <w:sz w:val="32"/>
        </w:rPr>
        <w:t>(元)，目标值5000，完成值5000，分值30，得分30</w:t>
      </w:r>
      <w:r>
        <w:rPr>
          <w:rFonts w:hint="eastAsia" w:ascii="仿宋" w:hAnsi="仿宋" w:eastAsia="仿宋"/>
          <w:sz w:val="32"/>
          <w:szCs w:val="32"/>
        </w:rPr>
        <w:t>。</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f2576127"/>
        <w:spacing w:line="620" w:lineRule="exact"/>
        <w:ind w:left="420" w:leftChars="200"/>
        <w:rPr>
          <w:rFonts w:ascii="仿宋" w:hAnsi="仿宋" w:eastAsia="仿宋"/>
          <w:sz w:val="32"/>
          <w:szCs w:val="32"/>
        </w:rPr>
      </w:pPr>
      <w:r>
        <w:rPr>
          <w:rFonts w:ascii="仿宋_GB2312" w:hAnsi="仿宋_GB2312" w:eastAsia="仿宋_GB2312" w:cs="仿宋_GB2312"/>
          <w:sz w:val="32"/>
        </w:rPr>
        <w:t>1)林业企事业单位满意度</w:t>
      </w:r>
      <w:r>
        <w:rPr>
          <w:rFonts w:ascii="仿宋" w:hAnsi="仿宋" w:eastAsia="仿宋" w:cs="仿宋"/>
          <w:sz w:val="32"/>
        </w:rPr>
        <w:t>(%)，目标值88，完成值88，分值10，得分10</w:t>
      </w:r>
      <w:r>
        <w:rPr>
          <w:rFonts w:hint="eastAsia" w:ascii="仿宋" w:hAnsi="仿宋" w:eastAsia="仿宋"/>
          <w:sz w:val="32"/>
          <w:szCs w:val="32"/>
        </w:rPr>
        <w:t>。</w:t>
      </w:r>
    </w:p>
    <w:p>
      <w:pPr>
        <w:pStyle w:val="f2576127"/>
        <w:tabs>
          <w:tab w:val="left" w:pos="2244"/>
        </w:tabs>
        <w:spacing w:line="620" w:lineRule="exact"/>
        <w:ind w:left="1890" w:leftChars="900"/>
        <w:rPr>
          <w:rFonts w:ascii="仿宋" w:hAnsi="仿宋" w:eastAsia="仿宋"/>
          <w:b/>
          <w:color w:val="FF0000"/>
          <w:sz w:val="32"/>
          <w:szCs w:val="32"/>
        </w:rPr>
      </w:pPr>
    </w:p>
    <w:p>
      <w:pPr>
        <w:pStyle w:val="f2576127"/>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f2576127"/>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f2576127"/>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f2576127"/>
        <w:ind w:left="840" w:firstLine="420"/>
        <w:sectPr>
          <w:type w:val="continuous"/>
          <w:pgSz w:w="11907" w:h="16840"/>
        </w:sectPr>
      </w:pPr>
    </w:p>
    <w:p>
      <w:pPr>
        <w:pageBreakBefore w:val="true"/>
      </w:pPr>
    </w:p>
    <w:p>
      <w:pPr>
        <w:pStyle w:val="4f5ca420"/>
        <w:rPr>
          <w:rFonts w:ascii="仿宋" w:hAnsi="仿宋" w:eastAsia="仿宋"/>
          <w:sz w:val="32"/>
          <w:szCs w:val="32"/>
        </w:rPr>
      </w:pPr>
      <w:bookmarkStart w:id="0" w:name="_GoBack"/>
      <w:bookmarkEnd w:id="0"/>
    </w:p>
    <w:p>
      <w:pPr>
        <w:pStyle w:val="4f5ca420"/>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r>
        <w:rPr>
          <w:rFonts w:ascii="宋体" w:hAnsi="宋体" w:eastAsia="宋体" w:cs="宋体"/>
          <w:b/>
          <w:sz w:val="44"/>
        </w:rPr>
        <w:t>报告</w:t>
      </w:r>
    </w:p>
    <w:p>
      <w:pPr>
        <w:pStyle w:val="4f5ca420"/>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闽财资环指〔2025〕1号，中央财政林业草原资金</w:t>
      </w:r>
      <w:r>
        <w:rPr>
          <w:rFonts w:hint="eastAsia" w:ascii="仿宋" w:hAnsi="仿宋" w:eastAsia="仿宋"/>
          <w:sz w:val="32"/>
          <w:szCs w:val="32"/>
        </w:rPr>
        <w:t>）</w:t>
      </w:r>
    </w:p>
    <w:p>
      <w:pPr>
        <w:pStyle w:val="4f5ca420"/>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4f5ca420"/>
        <w:ind w:firstLine="643" w:firstLineChars="200"/>
        <w:rPr>
          <w:rFonts w:ascii="仿宋" w:hAnsi="仿宋" w:eastAsia="仿宋"/>
          <w:sz w:val="32"/>
          <w:szCs w:val="32"/>
        </w:rPr>
      </w:pPr>
      <w:r>
        <w:rPr>
          <w:rFonts w:hint="eastAsia" w:ascii="仿宋" w:hAnsi="仿宋" w:eastAsia="仿宋"/>
          <w:b/>
          <w:sz w:val="32"/>
          <w:szCs w:val="32"/>
        </w:rPr>
        <w:t>（一）项目概况</w:t>
      </w:r>
    </w:p>
    <w:p>
      <w:pPr>
        <w:pStyle w:val="4f5ca420"/>
        <w:ind w:firstLine="1472" w:firstLineChars="460"/>
        <w:rPr>
          <w:rFonts w:ascii="仿宋" w:hAnsi="仿宋" w:eastAsia="仿宋"/>
          <w:sz w:val="32"/>
          <w:szCs w:val="32"/>
        </w:rPr>
      </w:pPr>
      <w:r>
        <w:rPr>
          <w:rFonts w:hint="eastAsia" w:ascii="仿宋" w:hAnsi="仿宋" w:eastAsia="仿宋"/>
          <w:sz w:val="32"/>
          <w:szCs w:val="32"/>
        </w:rPr>
        <w:t>中央财政林业草原资金396386元（天然商品林停伐管护补助290398元，国家级公益林生态补偿资金105988元）</w:t>
      </w:r>
      <w:r>
        <w:rPr>
          <w:rFonts w:ascii="仿宋" w:hAnsi="仿宋" w:eastAsia="仿宋" w:cs="仿宋"/>
          <w:sz w:val="32"/>
        </w:rPr>
        <w:t xml:space="preserve"> </w:t>
      </w:r>
    </w:p>
    <w:p>
      <w:pPr>
        <w:pStyle w:val="4f5ca420"/>
        <w:ind w:firstLine="643" w:firstLineChars="200"/>
        <w:rPr>
          <w:rFonts w:ascii="仿宋" w:hAnsi="仿宋" w:eastAsia="仿宋"/>
          <w:sz w:val="32"/>
          <w:szCs w:val="32"/>
        </w:rPr>
      </w:pPr>
      <w:r>
        <w:rPr>
          <w:rFonts w:hint="eastAsia" w:ascii="仿宋" w:hAnsi="仿宋" w:eastAsia="仿宋"/>
          <w:b/>
          <w:sz w:val="32"/>
          <w:szCs w:val="32"/>
        </w:rPr>
        <w:t>（二）主要成效</w:t>
      </w:r>
    </w:p>
    <w:p>
      <w:pPr>
        <w:pStyle w:val="4f5ca420"/>
        <w:ind w:firstLine="1472" w:firstLineChars="460"/>
        <w:rPr>
          <w:rFonts w:ascii="仿宋" w:hAnsi="仿宋" w:eastAsia="仿宋"/>
          <w:sz w:val="32"/>
          <w:szCs w:val="32"/>
        </w:rPr>
      </w:pPr>
    </w:p>
    <w:p>
      <w:pPr>
        <w:pStyle w:val="4f5ca420"/>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4f5ca420"/>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sz w:val="32"/>
        </w:rPr>
        <w:t>1)非国有林生态保护补偿标准（元/亩）</w:t>
      </w:r>
      <w:r>
        <w:rPr>
          <w:rFonts w:ascii="仿宋" w:hAnsi="仿宋" w:eastAsia="仿宋" w:cs="仿宋"/>
          <w:sz w:val="32"/>
        </w:rPr>
        <w:t>(元)，目标值16，完成值16，分值5，得分5</w:t>
      </w:r>
      <w:r>
        <w:rPr>
          <w:rFonts w:hint="eastAsia" w:ascii="仿宋" w:hAnsi="仿宋" w:eastAsia="仿宋"/>
          <w:sz w:val="32"/>
          <w:szCs w:val="32"/>
        </w:rPr>
        <w:t>。</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sz w:val="32"/>
        </w:rPr>
        <w:t>1)已落实管护责任的天然商品林</w:t>
      </w:r>
      <w:r>
        <w:rPr>
          <w:rFonts w:ascii="仿宋" w:hAnsi="仿宋" w:eastAsia="仿宋" w:cs="仿宋"/>
          <w:sz w:val="32"/>
        </w:rPr>
        <w:t>(万亩)，目标值12.9623，完成值12.9623，分值5，得分5</w:t>
      </w:r>
      <w:r>
        <w:rPr>
          <w:rFonts w:hint="eastAsia" w:ascii="仿宋" w:hAnsi="仿宋" w:eastAsia="仿宋"/>
          <w:sz w:val="32"/>
          <w:szCs w:val="32"/>
        </w:rPr>
        <w:t>。</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sz w:val="32"/>
        </w:rPr>
        <w:t>1)国有林管护面积（万亩）</w:t>
      </w:r>
      <w:r>
        <w:rPr>
          <w:rFonts w:ascii="仿宋" w:hAnsi="仿宋" w:eastAsia="仿宋" w:cs="仿宋"/>
          <w:sz w:val="32"/>
        </w:rPr>
        <w:t>(万亩)，目标值0.0002，完成值0.00020，分值10，得分10</w:t>
      </w:r>
      <w:r>
        <w:rPr>
          <w:rFonts w:hint="eastAsia" w:ascii="仿宋" w:hAnsi="仿宋" w:eastAsia="仿宋"/>
          <w:sz w:val="32"/>
          <w:szCs w:val="32"/>
        </w:rPr>
        <w:t>。</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sz w:val="32"/>
        </w:rPr>
        <w:t>2)国家级公益林生态保护补偿面积（万亩）</w:t>
      </w:r>
      <w:r>
        <w:rPr>
          <w:rFonts w:ascii="仿宋" w:hAnsi="仿宋" w:eastAsia="仿宋" w:cs="仿宋"/>
          <w:sz w:val="32"/>
        </w:rPr>
        <w:t>(万亩)，目标值4.7099，完成值4.7099，分值10，得分10</w:t>
      </w:r>
      <w:r>
        <w:rPr>
          <w:rFonts w:hint="eastAsia" w:ascii="仿宋" w:hAnsi="仿宋" w:eastAsia="仿宋"/>
          <w:sz w:val="32"/>
          <w:szCs w:val="32"/>
        </w:rPr>
        <w:t>。</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sz w:val="32"/>
        </w:rPr>
        <w:t>1)森林资源管护责任落实率%</w:t>
      </w:r>
      <w:r>
        <w:rPr>
          <w:rFonts w:ascii="仿宋" w:hAnsi="仿宋" w:eastAsia="仿宋" w:cs="仿宋"/>
          <w:sz w:val="32"/>
        </w:rPr>
        <w:t>(%)，目标值100，完成值100，分值10，得分10</w:t>
      </w:r>
      <w:r>
        <w:rPr>
          <w:rFonts w:hint="eastAsia" w:ascii="仿宋" w:hAnsi="仿宋" w:eastAsia="仿宋"/>
          <w:sz w:val="32"/>
          <w:szCs w:val="32"/>
        </w:rPr>
        <w:t>。</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sz w:val="32"/>
        </w:rPr>
        <w:t>1)非国有林生态保护当期任务完成率%</w:t>
      </w:r>
      <w:r>
        <w:rPr>
          <w:rFonts w:ascii="仿宋" w:hAnsi="仿宋" w:eastAsia="仿宋" w:cs="仿宋"/>
          <w:sz w:val="32"/>
        </w:rPr>
        <w:t>(%)，目标值100，完成值100，分值10，得分10</w:t>
      </w:r>
      <w:r>
        <w:rPr>
          <w:rFonts w:hint="eastAsia" w:ascii="仿宋" w:hAnsi="仿宋" w:eastAsia="仿宋"/>
          <w:sz w:val="32"/>
          <w:szCs w:val="32"/>
        </w:rPr>
        <w:t>。</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sz w:val="32"/>
        </w:rPr>
        <w:t>1)持续发挥生态作用</w:t>
      </w:r>
      <w:r>
        <w:rPr>
          <w:rFonts w:ascii="仿宋" w:hAnsi="仿宋" w:eastAsia="仿宋" w:cs="仿宋"/>
          <w:sz w:val="32"/>
        </w:rPr>
        <w:t>(无)，目标值逐步提升，完成值逐步提升，分值30，得分30</w:t>
      </w:r>
      <w:r>
        <w:rPr>
          <w:rFonts w:hint="eastAsia" w:ascii="仿宋" w:hAnsi="仿宋" w:eastAsia="仿宋"/>
          <w:sz w:val="32"/>
          <w:szCs w:val="32"/>
        </w:rPr>
        <w:t>。</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4f5ca420"/>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1)服务对象满意度度</w:t>
      </w:r>
      <w:r>
        <w:rPr>
          <w:rFonts w:ascii="仿宋" w:hAnsi="仿宋" w:eastAsia="仿宋" w:cs="仿宋"/>
          <w:sz w:val="32"/>
        </w:rPr>
        <w:t>(%)，目标值89，完成值89，分值10，得分10</w:t>
      </w:r>
      <w:r>
        <w:rPr>
          <w:rFonts w:hint="eastAsia" w:ascii="仿宋" w:hAnsi="仿宋" w:eastAsia="仿宋"/>
          <w:sz w:val="32"/>
          <w:szCs w:val="32"/>
        </w:rPr>
        <w:t>。</w:t>
      </w:r>
    </w:p>
    <w:p>
      <w:pPr>
        <w:pStyle w:val="4f5ca420"/>
        <w:tabs>
          <w:tab w:val="left" w:pos="2244"/>
        </w:tabs>
        <w:spacing w:line="620" w:lineRule="exact"/>
        <w:ind w:left="1890" w:leftChars="900"/>
        <w:rPr>
          <w:rFonts w:ascii="仿宋" w:hAnsi="仿宋" w:eastAsia="仿宋"/>
          <w:b/>
          <w:color w:val="FF0000"/>
          <w:sz w:val="32"/>
          <w:szCs w:val="32"/>
        </w:rPr>
      </w:pPr>
    </w:p>
    <w:p>
      <w:pPr>
        <w:pStyle w:val="4f5ca420"/>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4f5ca420"/>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4f5ca420"/>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4f5ca420"/>
        <w:ind w:left="840" w:firstLine="420"/>
        <w:sectPr>
          <w:type w:val="continuous"/>
          <w:pgSz w:w="11907" w:h="16840"/>
        </w:sectPr>
      </w:pPr>
    </w:p>
    <w:p>
      <w:pPr>
        <w:pageBreakBefore w:val="true"/>
      </w:pPr>
    </w:p>
    <w:p>
      <w:pPr>
        <w:pStyle w:val="45435725"/>
        <w:rPr>
          <w:rFonts w:ascii="仿宋" w:hAnsi="仿宋" w:eastAsia="仿宋"/>
          <w:sz w:val="32"/>
          <w:szCs w:val="32"/>
        </w:rPr>
      </w:pPr>
    </w:p>
    <w:p>
      <w:pPr>
        <w:pStyle w:val="45435725"/>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bookmarkStart w:id="0" w:name="_GoBack"/>
      <w:bookmarkEnd w:id="0"/>
      <w:r>
        <w:rPr>
          <w:rFonts w:ascii="宋体" w:hAnsi="宋体" w:eastAsia="宋体" w:cs="宋体"/>
          <w:b/>
          <w:sz w:val="44"/>
        </w:rPr>
        <w:t>报告</w:t>
      </w:r>
    </w:p>
    <w:p>
      <w:pPr>
        <w:pStyle w:val="45435725"/>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2025年全市森林资源管护员工资</w:t>
      </w:r>
      <w:r>
        <w:rPr>
          <w:rFonts w:hint="eastAsia" w:ascii="仿宋" w:hAnsi="仿宋" w:eastAsia="仿宋"/>
          <w:sz w:val="32"/>
          <w:szCs w:val="32"/>
        </w:rPr>
        <w:t>）</w:t>
      </w:r>
    </w:p>
    <w:p>
      <w:pPr>
        <w:pStyle w:val="45435725"/>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45435725"/>
        <w:ind w:firstLine="643" w:firstLineChars="200"/>
        <w:rPr>
          <w:rFonts w:ascii="仿宋" w:hAnsi="仿宋" w:eastAsia="仿宋"/>
          <w:sz w:val="32"/>
          <w:szCs w:val="32"/>
        </w:rPr>
      </w:pPr>
      <w:r>
        <w:rPr>
          <w:rFonts w:hint="eastAsia" w:ascii="仿宋" w:hAnsi="仿宋" w:eastAsia="仿宋"/>
          <w:b/>
          <w:sz w:val="32"/>
          <w:szCs w:val="32"/>
        </w:rPr>
        <w:t>（一）项目概况</w:t>
      </w:r>
    </w:p>
    <w:p>
      <w:pPr>
        <w:pStyle w:val="45435725"/>
        <w:ind w:firstLine="1472" w:firstLineChars="460"/>
        <w:rPr>
          <w:rFonts w:ascii="仿宋" w:hAnsi="仿宋" w:eastAsia="仿宋"/>
          <w:sz w:val="32"/>
          <w:szCs w:val="32"/>
        </w:rPr>
      </w:pPr>
      <w:r>
        <w:rPr>
          <w:rFonts w:hint="eastAsia" w:ascii="仿宋" w:hAnsi="仿宋" w:eastAsia="仿宋"/>
          <w:sz w:val="32"/>
          <w:szCs w:val="32"/>
        </w:rPr>
        <w:t>2025年全市森林资源管护员工资</w:t>
      </w:r>
      <w:r>
        <w:rPr>
          <w:rFonts w:ascii="仿宋" w:hAnsi="仿宋" w:eastAsia="仿宋" w:cs="仿宋"/>
          <w:sz w:val="32"/>
        </w:rPr>
        <w:t xml:space="preserve"> </w:t>
      </w:r>
    </w:p>
    <w:p>
      <w:pPr>
        <w:pStyle w:val="45435725"/>
        <w:ind w:firstLine="643" w:firstLineChars="200"/>
        <w:rPr>
          <w:rFonts w:ascii="仿宋" w:hAnsi="仿宋" w:eastAsia="仿宋"/>
          <w:sz w:val="32"/>
          <w:szCs w:val="32"/>
        </w:rPr>
      </w:pPr>
      <w:r>
        <w:rPr>
          <w:rFonts w:hint="eastAsia" w:ascii="仿宋" w:hAnsi="仿宋" w:eastAsia="仿宋"/>
          <w:b/>
          <w:sz w:val="32"/>
          <w:szCs w:val="32"/>
        </w:rPr>
        <w:t>（二）主要成效</w:t>
      </w:r>
    </w:p>
    <w:p>
      <w:pPr>
        <w:pStyle w:val="45435725"/>
        <w:ind w:firstLine="1472" w:firstLineChars="460"/>
        <w:rPr>
          <w:rFonts w:ascii="仿宋" w:hAnsi="仿宋" w:eastAsia="仿宋"/>
          <w:sz w:val="32"/>
          <w:szCs w:val="32"/>
        </w:rPr>
      </w:pPr>
    </w:p>
    <w:p>
      <w:pPr>
        <w:pStyle w:val="45435725"/>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45435725"/>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95.99分，等级为优，设置绩效目标6个，实际完成5个，具体情况如下：</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sz w:val="32"/>
        </w:rPr>
        <w:t>1)预算执行率</w:t>
      </w:r>
      <w:r>
        <w:rPr>
          <w:rFonts w:ascii="仿宋" w:hAnsi="仿宋" w:eastAsia="仿宋" w:cs="仿宋"/>
          <w:sz w:val="32"/>
        </w:rPr>
        <w:t>(%)，目标值100，完成值89.86，分值10，得分8.99</w:t>
      </w:r>
      <w:r>
        <w:rPr>
          <w:rFonts w:hint="eastAsia" w:ascii="仿宋" w:hAnsi="仿宋" w:eastAsia="仿宋"/>
          <w:sz w:val="32"/>
          <w:szCs w:val="32"/>
        </w:rPr>
        <w:t>。</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sz w:val="32"/>
        </w:rPr>
        <w:t>1)管护人数</w:t>
      </w:r>
      <w:r>
        <w:rPr>
          <w:rFonts w:ascii="仿宋" w:hAnsi="仿宋" w:eastAsia="仿宋" w:cs="仿宋"/>
          <w:sz w:val="32"/>
        </w:rPr>
        <w:t>(人)，目标值154，完成值154，分值20，得分20</w:t>
      </w:r>
      <w:r>
        <w:rPr>
          <w:rFonts w:hint="eastAsia" w:ascii="仿宋" w:hAnsi="仿宋" w:eastAsia="仿宋"/>
          <w:sz w:val="32"/>
          <w:szCs w:val="32"/>
        </w:rPr>
        <w:t>。</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sz w:val="32"/>
        </w:rPr>
        <w:t>1)人均每月基本工资</w:t>
      </w:r>
      <w:r>
        <w:rPr>
          <w:rFonts w:ascii="仿宋" w:hAnsi="仿宋" w:eastAsia="仿宋" w:cs="仿宋"/>
          <w:sz w:val="32"/>
        </w:rPr>
        <w:t>(元)，目标值3000，完成值3000，分值10，得分10</w:t>
      </w:r>
      <w:r>
        <w:rPr>
          <w:rFonts w:hint="eastAsia" w:ascii="仿宋" w:hAnsi="仿宋" w:eastAsia="仿宋"/>
          <w:sz w:val="32"/>
          <w:szCs w:val="32"/>
        </w:rPr>
        <w:t>。</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sz w:val="32"/>
        </w:rPr>
        <w:t>1)预算执行进度</w:t>
      </w:r>
      <w:r>
        <w:rPr>
          <w:rFonts w:ascii="仿宋" w:hAnsi="仿宋" w:eastAsia="仿宋" w:cs="仿宋"/>
          <w:sz w:val="32"/>
        </w:rPr>
        <w:t>(%)，目标值100，完成值100，分值10，得分10</w:t>
      </w:r>
      <w:r>
        <w:rPr>
          <w:rFonts w:hint="eastAsia" w:ascii="仿宋" w:hAnsi="仿宋" w:eastAsia="仿宋"/>
          <w:sz w:val="32"/>
          <w:szCs w:val="32"/>
        </w:rPr>
        <w:t>。</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sz w:val="32"/>
        </w:rPr>
        <w:t>1)加强森林资源管护</w:t>
      </w:r>
      <w:r>
        <w:rPr>
          <w:rFonts w:ascii="仿宋" w:hAnsi="仿宋" w:eastAsia="仿宋" w:cs="仿宋"/>
          <w:sz w:val="32"/>
        </w:rPr>
        <w:t>(%)，目标值100，完成值100，分值30，得分30</w:t>
      </w:r>
      <w:r>
        <w:rPr>
          <w:rFonts w:hint="eastAsia" w:ascii="仿宋" w:hAnsi="仿宋" w:eastAsia="仿宋"/>
          <w:sz w:val="32"/>
          <w:szCs w:val="32"/>
        </w:rPr>
        <w:t>。</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45435725"/>
        <w:spacing w:line="620" w:lineRule="exact"/>
        <w:ind w:left="420" w:leftChars="200"/>
        <w:rPr>
          <w:rFonts w:ascii="仿宋" w:hAnsi="仿宋" w:eastAsia="仿宋"/>
          <w:sz w:val="32"/>
          <w:szCs w:val="32"/>
        </w:rPr>
      </w:pPr>
      <w:r>
        <w:rPr>
          <w:rFonts w:ascii="仿宋_GB2312" w:hAnsi="仿宋_GB2312" w:eastAsia="仿宋_GB2312" w:cs="仿宋_GB2312"/>
          <w:sz w:val="32"/>
        </w:rPr>
        <w:t>1)社会公众对森林管护工作满意度</w:t>
      </w:r>
      <w:r>
        <w:rPr>
          <w:rFonts w:ascii="仿宋" w:hAnsi="仿宋" w:eastAsia="仿宋" w:cs="仿宋"/>
          <w:sz w:val="32"/>
        </w:rPr>
        <w:t>(%)，目标值90，完成值90，分值10，得分10</w:t>
      </w:r>
      <w:r>
        <w:rPr>
          <w:rFonts w:hint="eastAsia" w:ascii="仿宋" w:hAnsi="仿宋" w:eastAsia="仿宋"/>
          <w:sz w:val="32"/>
          <w:szCs w:val="32"/>
        </w:rPr>
        <w:t>。</w:t>
      </w:r>
    </w:p>
    <w:p>
      <w:pPr>
        <w:pStyle w:val="45435725"/>
        <w:tabs>
          <w:tab w:val="left" w:pos="2244"/>
        </w:tabs>
        <w:spacing w:line="620" w:lineRule="exact"/>
        <w:ind w:left="1890" w:leftChars="900"/>
        <w:rPr>
          <w:rFonts w:ascii="仿宋" w:hAnsi="仿宋" w:eastAsia="仿宋"/>
          <w:b/>
          <w:color w:val="FF0000"/>
          <w:sz w:val="32"/>
          <w:szCs w:val="32"/>
        </w:rPr>
      </w:pPr>
    </w:p>
    <w:p>
      <w:pPr>
        <w:pStyle w:val="45435725"/>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45435725"/>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45435725"/>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45435725"/>
        <w:ind w:left="840" w:firstLine="420"/>
        <w:sectPr>
          <w:type w:val="continuous"/>
          <w:pgSz w:w="11907" w:h="16840"/>
        </w:sectPr>
      </w:pPr>
    </w:p>
    <w:p>
      <w:pPr>
        <w:pageBreakBefore w:val="true"/>
      </w:pPr>
    </w:p>
    <w:p>
      <w:pPr>
        <w:pStyle w:val="4fcbf43e"/>
        <w:rPr>
          <w:rFonts w:ascii="仿宋" w:hAnsi="仿宋" w:eastAsia="仿宋"/>
          <w:sz w:val="32"/>
          <w:szCs w:val="32"/>
        </w:rPr>
      </w:pPr>
    </w:p>
    <w:p>
      <w:pPr>
        <w:pStyle w:val="4fcbf43e"/>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4fcbf43e"/>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泉财农指〔2024〕53号，2024年泉州市级财政现代林业经济专项资金（第一批）：林下经济</w:t>
      </w:r>
      <w:r>
        <w:rPr>
          <w:rFonts w:hint="eastAsia" w:ascii="仿宋" w:hAnsi="仿宋" w:eastAsia="仿宋"/>
          <w:sz w:val="32"/>
          <w:szCs w:val="32"/>
        </w:rPr>
        <w:t>）</w:t>
      </w:r>
    </w:p>
    <w:p>
      <w:pPr>
        <w:pStyle w:val="4fcbf43e"/>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4fcbf43e"/>
        <w:ind w:firstLine="643" w:firstLineChars="200"/>
        <w:rPr>
          <w:rFonts w:ascii="仿宋" w:hAnsi="仿宋" w:eastAsia="仿宋"/>
          <w:sz w:val="32"/>
          <w:szCs w:val="32"/>
        </w:rPr>
      </w:pPr>
      <w:r>
        <w:rPr>
          <w:rFonts w:hint="eastAsia" w:ascii="仿宋" w:hAnsi="仿宋" w:eastAsia="仿宋"/>
          <w:b/>
          <w:sz w:val="32"/>
          <w:szCs w:val="32"/>
        </w:rPr>
        <w:t>（一）项目概况</w:t>
      </w:r>
    </w:p>
    <w:p>
      <w:pPr>
        <w:pStyle w:val="4fcbf43e"/>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4fcbf43e"/>
        <w:ind w:firstLine="643" w:firstLineChars="200"/>
        <w:rPr>
          <w:rFonts w:ascii="仿宋" w:hAnsi="仿宋" w:eastAsia="仿宋"/>
          <w:sz w:val="32"/>
          <w:szCs w:val="32"/>
        </w:rPr>
      </w:pPr>
      <w:r>
        <w:rPr>
          <w:rFonts w:hint="eastAsia" w:ascii="仿宋" w:hAnsi="仿宋" w:eastAsia="仿宋"/>
          <w:b/>
          <w:sz w:val="32"/>
          <w:szCs w:val="32"/>
        </w:rPr>
        <w:t>（二）主要成效</w:t>
      </w:r>
    </w:p>
    <w:p>
      <w:pPr>
        <w:pStyle w:val="4fcbf43e"/>
        <w:ind w:firstLine="1472" w:firstLineChars="460"/>
        <w:rPr>
          <w:rFonts w:ascii="仿宋" w:hAnsi="仿宋" w:eastAsia="仿宋"/>
          <w:sz w:val="32"/>
          <w:szCs w:val="32"/>
        </w:rPr>
      </w:pPr>
    </w:p>
    <w:p>
      <w:pPr>
        <w:pStyle w:val="4fcbf43e"/>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4fcbf43e"/>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sz w:val="32"/>
        </w:rPr>
        <w:t>1)补助标准（万元/个）</w:t>
      </w:r>
      <w:r>
        <w:rPr>
          <w:rFonts w:ascii="仿宋" w:hAnsi="仿宋" w:eastAsia="仿宋" w:cs="仿宋"/>
          <w:sz w:val="32"/>
        </w:rPr>
        <w:t>(万元/个)，目标值5，完成值5，分值10，得分10</w:t>
      </w:r>
      <w:r>
        <w:rPr>
          <w:rFonts w:hint="eastAsia" w:ascii="仿宋" w:hAnsi="仿宋" w:eastAsia="仿宋"/>
          <w:sz w:val="32"/>
          <w:szCs w:val="32"/>
        </w:rPr>
        <w:t>。</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sz w:val="32"/>
        </w:rPr>
        <w:t>1)新增林下经济项目个数</w:t>
      </w:r>
      <w:r>
        <w:rPr>
          <w:rFonts w:ascii="仿宋" w:hAnsi="仿宋" w:eastAsia="仿宋" w:cs="仿宋"/>
          <w:sz w:val="32"/>
        </w:rPr>
        <w:t>(个)，目标值10，完成值10，分值20，得分20</w:t>
      </w:r>
      <w:r>
        <w:rPr>
          <w:rFonts w:hint="eastAsia" w:ascii="仿宋" w:hAnsi="仿宋" w:eastAsia="仿宋"/>
          <w:sz w:val="32"/>
          <w:szCs w:val="32"/>
        </w:rPr>
        <w:t>。</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sz w:val="32"/>
        </w:rPr>
        <w:t>1)新增林下经济项目面积</w:t>
      </w:r>
      <w:r>
        <w:rPr>
          <w:rFonts w:ascii="仿宋" w:hAnsi="仿宋" w:eastAsia="仿宋" w:cs="仿宋"/>
          <w:sz w:val="32"/>
        </w:rPr>
        <w:t>(亩)，目标值1000，完成值1000，分值10，得分10</w:t>
      </w:r>
      <w:r>
        <w:rPr>
          <w:rFonts w:hint="eastAsia" w:ascii="仿宋" w:hAnsi="仿宋" w:eastAsia="仿宋"/>
          <w:sz w:val="32"/>
          <w:szCs w:val="32"/>
        </w:rPr>
        <w:t>。</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sz w:val="32"/>
        </w:rPr>
        <w:t>1)提高生产技术和知名度（是/否）</w:t>
      </w:r>
      <w:r>
        <w:rPr>
          <w:rFonts w:ascii="仿宋" w:hAnsi="仿宋" w:eastAsia="仿宋" w:cs="仿宋"/>
          <w:sz w:val="32"/>
        </w:rPr>
        <w:t>(无)，目标值是，完成值是，分值10，得分10</w:t>
      </w:r>
      <w:r>
        <w:rPr>
          <w:rFonts w:hint="eastAsia" w:ascii="仿宋" w:hAnsi="仿宋" w:eastAsia="仿宋"/>
          <w:sz w:val="32"/>
          <w:szCs w:val="32"/>
        </w:rPr>
        <w:t>。</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sz w:val="32"/>
        </w:rPr>
        <w:t>1)增加企业收入</w:t>
      </w:r>
      <w:r>
        <w:rPr>
          <w:rFonts w:ascii="仿宋" w:hAnsi="仿宋" w:eastAsia="仿宋" w:cs="仿宋"/>
          <w:sz w:val="32"/>
        </w:rPr>
        <w:t>(无)，目标值逐步增加，完成值逐步增加，分值30，得分30</w:t>
      </w:r>
      <w:r>
        <w:rPr>
          <w:rFonts w:hint="eastAsia" w:ascii="仿宋" w:hAnsi="仿宋" w:eastAsia="仿宋"/>
          <w:sz w:val="32"/>
          <w:szCs w:val="32"/>
        </w:rPr>
        <w:t>。</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4fcbf43e"/>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w:t>
      </w:r>
      <w:r>
        <w:rPr>
          <w:rFonts w:ascii="仿宋" w:hAnsi="仿宋" w:eastAsia="仿宋" w:cs="仿宋"/>
          <w:sz w:val="32"/>
        </w:rPr>
        <w:t>(%)，目标值90，完成值90，分值10，得分10</w:t>
      </w:r>
      <w:r>
        <w:rPr>
          <w:rFonts w:hint="eastAsia" w:ascii="仿宋" w:hAnsi="仿宋" w:eastAsia="仿宋"/>
          <w:sz w:val="32"/>
          <w:szCs w:val="32"/>
        </w:rPr>
        <w:t>。</w:t>
      </w:r>
    </w:p>
    <w:p>
      <w:pPr>
        <w:pStyle w:val="4fcbf43e"/>
        <w:tabs>
          <w:tab w:val="left" w:pos="2244"/>
        </w:tabs>
        <w:spacing w:line="620" w:lineRule="exact"/>
        <w:ind w:left="1890" w:leftChars="900"/>
        <w:rPr>
          <w:rFonts w:ascii="仿宋" w:hAnsi="仿宋" w:eastAsia="仿宋"/>
          <w:b/>
          <w:color w:val="FF0000"/>
          <w:sz w:val="32"/>
          <w:szCs w:val="32"/>
        </w:rPr>
      </w:pPr>
    </w:p>
    <w:p>
      <w:pPr>
        <w:pStyle w:val="4fcbf43e"/>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4fcbf43e"/>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4fcbf43e"/>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4fcbf43e"/>
        <w:ind w:left="840" w:firstLine="420"/>
        <w:sectPr>
          <w:type w:val="continuous"/>
          <w:pgSz w:w="11907" w:h="16840"/>
        </w:sectPr>
      </w:pPr>
    </w:p>
    <w:p>
      <w:pPr>
        <w:pageBreakBefore w:val="true"/>
      </w:pPr>
    </w:p>
    <w:p>
      <w:pPr>
        <w:pStyle w:val="954cfba1"/>
        <w:rPr>
          <w:rFonts w:ascii="仿宋" w:hAnsi="仿宋" w:eastAsia="仿宋"/>
          <w:sz w:val="32"/>
          <w:szCs w:val="32"/>
        </w:rPr>
      </w:pPr>
    </w:p>
    <w:p>
      <w:pPr>
        <w:pStyle w:val="954cfba1"/>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bookmarkStart w:id="0" w:name="_GoBack"/>
      <w:bookmarkEnd w:id="0"/>
      <w:r>
        <w:rPr>
          <w:rFonts w:ascii="宋体" w:hAnsi="宋体" w:eastAsia="宋体" w:cs="宋体"/>
          <w:b/>
          <w:sz w:val="44"/>
        </w:rPr>
        <w:t>报告</w:t>
      </w:r>
    </w:p>
    <w:p>
      <w:pPr>
        <w:pStyle w:val="954cfba1"/>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泉财指标【2022】224号2022年省级财政林业专项资金（市县第一批）南财指标【2022】504号</w:t>
      </w:r>
      <w:r>
        <w:rPr>
          <w:rFonts w:hint="eastAsia" w:ascii="仿宋" w:hAnsi="仿宋" w:eastAsia="仿宋"/>
          <w:sz w:val="32"/>
          <w:szCs w:val="32"/>
        </w:rPr>
        <w:t>）</w:t>
      </w:r>
    </w:p>
    <w:p>
      <w:pPr>
        <w:pStyle w:val="954cfba1"/>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954cfba1"/>
        <w:ind w:firstLine="643" w:firstLineChars="200"/>
        <w:rPr>
          <w:rFonts w:ascii="仿宋" w:hAnsi="仿宋" w:eastAsia="仿宋"/>
          <w:sz w:val="32"/>
          <w:szCs w:val="32"/>
        </w:rPr>
      </w:pPr>
      <w:r>
        <w:rPr>
          <w:rFonts w:hint="eastAsia" w:ascii="仿宋" w:hAnsi="仿宋" w:eastAsia="仿宋"/>
          <w:b/>
          <w:sz w:val="32"/>
          <w:szCs w:val="32"/>
        </w:rPr>
        <w:t>（一）项目概况</w:t>
      </w:r>
    </w:p>
    <w:p>
      <w:pPr>
        <w:pStyle w:val="954cfba1"/>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954cfba1"/>
        <w:ind w:firstLine="643" w:firstLineChars="200"/>
        <w:rPr>
          <w:rFonts w:ascii="仿宋" w:hAnsi="仿宋" w:eastAsia="仿宋"/>
          <w:sz w:val="32"/>
          <w:szCs w:val="32"/>
        </w:rPr>
      </w:pPr>
      <w:r>
        <w:rPr>
          <w:rFonts w:hint="eastAsia" w:ascii="仿宋" w:hAnsi="仿宋" w:eastAsia="仿宋"/>
          <w:b/>
          <w:sz w:val="32"/>
          <w:szCs w:val="32"/>
        </w:rPr>
        <w:t>（二）主要成效</w:t>
      </w:r>
    </w:p>
    <w:p>
      <w:pPr>
        <w:pStyle w:val="954cfba1"/>
        <w:ind w:firstLine="1472" w:firstLineChars="460"/>
        <w:rPr>
          <w:rFonts w:ascii="仿宋" w:hAnsi="仿宋" w:eastAsia="仿宋"/>
          <w:sz w:val="32"/>
          <w:szCs w:val="32"/>
        </w:rPr>
      </w:pPr>
    </w:p>
    <w:p>
      <w:pPr>
        <w:pStyle w:val="954cfba1"/>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954cfba1"/>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sz w:val="32"/>
        </w:rPr>
        <w:t>1)工作经费</w:t>
      </w:r>
      <w:r>
        <w:rPr>
          <w:rFonts w:ascii="仿宋" w:hAnsi="仿宋" w:eastAsia="仿宋" w:cs="仿宋"/>
          <w:sz w:val="32"/>
        </w:rPr>
        <w:t>(万元)，目标值14.64，完成值14.64，分值10，得分10</w:t>
      </w:r>
      <w:r>
        <w:rPr>
          <w:rFonts w:hint="eastAsia" w:ascii="仿宋" w:hAnsi="仿宋" w:eastAsia="仿宋"/>
          <w:sz w:val="32"/>
          <w:szCs w:val="32"/>
        </w:rPr>
        <w:t>。</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sz w:val="32"/>
        </w:rPr>
        <w:t>1)核实变化图斑</w:t>
      </w:r>
      <w:r>
        <w:rPr>
          <w:rFonts w:ascii="仿宋" w:hAnsi="仿宋" w:eastAsia="仿宋" w:cs="仿宋"/>
          <w:sz w:val="32"/>
        </w:rPr>
        <w:t>(个)，目标值4034，完成值4034，分值20，得分20</w:t>
      </w:r>
      <w:r>
        <w:rPr>
          <w:rFonts w:hint="eastAsia" w:ascii="仿宋" w:hAnsi="仿宋" w:eastAsia="仿宋"/>
          <w:sz w:val="32"/>
          <w:szCs w:val="32"/>
        </w:rPr>
        <w:t>。</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sz w:val="32"/>
        </w:rPr>
        <w:t>1)森林资源数据年度更新</w:t>
      </w:r>
      <w:r>
        <w:rPr>
          <w:rFonts w:ascii="仿宋" w:hAnsi="仿宋" w:eastAsia="仿宋" w:cs="仿宋"/>
          <w:sz w:val="32"/>
        </w:rPr>
        <w:t>(个)，目标值1，完成值1，分值10，得分10</w:t>
      </w:r>
      <w:r>
        <w:rPr>
          <w:rFonts w:hint="eastAsia" w:ascii="仿宋" w:hAnsi="仿宋" w:eastAsia="仿宋"/>
          <w:sz w:val="32"/>
          <w:szCs w:val="32"/>
        </w:rPr>
        <w:t>。</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sz w:val="32"/>
        </w:rPr>
        <w:t>1)工作进度</w:t>
      </w:r>
      <w:r>
        <w:rPr>
          <w:rFonts w:ascii="仿宋" w:hAnsi="仿宋" w:eastAsia="仿宋" w:cs="仿宋"/>
          <w:sz w:val="32"/>
        </w:rPr>
        <w:t>(无)，目标值按上级规定时间部署，完成值完成，分值10，得分10</w:t>
      </w:r>
      <w:r>
        <w:rPr>
          <w:rFonts w:hint="eastAsia" w:ascii="仿宋" w:hAnsi="仿宋" w:eastAsia="仿宋"/>
          <w:sz w:val="32"/>
          <w:szCs w:val="32"/>
        </w:rPr>
        <w:t>。</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sz w:val="32"/>
        </w:rPr>
        <w:t>1)评估自然防御能力（是/否）</w:t>
      </w:r>
      <w:r>
        <w:rPr>
          <w:rFonts w:ascii="仿宋" w:hAnsi="仿宋" w:eastAsia="仿宋" w:cs="仿宋"/>
          <w:sz w:val="32"/>
        </w:rPr>
        <w:t>(无)，目标值是，完成值是，分值30，得分30</w:t>
      </w:r>
      <w:r>
        <w:rPr>
          <w:rFonts w:hint="eastAsia" w:ascii="仿宋" w:hAnsi="仿宋" w:eastAsia="仿宋"/>
          <w:sz w:val="32"/>
          <w:szCs w:val="32"/>
        </w:rPr>
        <w:t>。</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954cfba1"/>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(%)，目标值90，完成值90，分值10，得分10</w:t>
      </w:r>
      <w:r>
        <w:rPr>
          <w:rFonts w:hint="eastAsia" w:ascii="仿宋" w:hAnsi="仿宋" w:eastAsia="仿宋"/>
          <w:sz w:val="32"/>
          <w:szCs w:val="32"/>
        </w:rPr>
        <w:t>。</w:t>
      </w:r>
    </w:p>
    <w:p>
      <w:pPr>
        <w:pStyle w:val="954cfba1"/>
        <w:tabs>
          <w:tab w:val="left" w:pos="2244"/>
        </w:tabs>
        <w:spacing w:line="620" w:lineRule="exact"/>
        <w:ind w:left="1890" w:leftChars="900"/>
        <w:rPr>
          <w:rFonts w:ascii="仿宋" w:hAnsi="仿宋" w:eastAsia="仿宋"/>
          <w:b/>
          <w:color w:val="FF0000"/>
          <w:sz w:val="32"/>
          <w:szCs w:val="32"/>
        </w:rPr>
      </w:pPr>
    </w:p>
    <w:p>
      <w:pPr>
        <w:pStyle w:val="954cfba1"/>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954cfba1"/>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954cfba1"/>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954cfba1"/>
        <w:ind w:left="840" w:firstLine="420"/>
        <w:sectPr>
          <w:type w:val="continuous"/>
          <w:pgSz w:w="11907" w:h="16840"/>
        </w:sectPr>
      </w:pPr>
    </w:p>
    <w:p>
      <w:pPr>
        <w:pageBreakBefore w:val="true"/>
      </w:pPr>
    </w:p>
    <w:p>
      <w:pPr>
        <w:pStyle w:val="cc308df3"/>
        <w:rPr>
          <w:rFonts w:ascii="仿宋" w:hAnsi="仿宋" w:eastAsia="仿宋"/>
          <w:sz w:val="32"/>
          <w:szCs w:val="32"/>
        </w:rPr>
      </w:pPr>
      <w:bookmarkStart w:id="0" w:name="_GoBack"/>
      <w:bookmarkEnd w:id="0"/>
    </w:p>
    <w:p>
      <w:pPr>
        <w:pStyle w:val="cc308df3"/>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r>
        <w:rPr>
          <w:rFonts w:ascii="宋体" w:hAnsi="宋体" w:eastAsia="宋体" w:cs="宋体"/>
          <w:b/>
          <w:sz w:val="44"/>
        </w:rPr>
        <w:t>报告</w:t>
      </w:r>
    </w:p>
    <w:p>
      <w:pPr>
        <w:pStyle w:val="cc308df3"/>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南财指标〔2024〕962号南惠支线裸山整治</w:t>
      </w:r>
      <w:r>
        <w:rPr>
          <w:rFonts w:hint="eastAsia" w:ascii="仿宋" w:hAnsi="仿宋" w:eastAsia="仿宋"/>
          <w:sz w:val="32"/>
          <w:szCs w:val="32"/>
        </w:rPr>
        <w:t>）</w:t>
      </w:r>
    </w:p>
    <w:p>
      <w:pPr>
        <w:pStyle w:val="cc308df3"/>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cc308df3"/>
        <w:ind w:firstLine="643" w:firstLineChars="200"/>
        <w:rPr>
          <w:rFonts w:ascii="仿宋" w:hAnsi="仿宋" w:eastAsia="仿宋"/>
          <w:sz w:val="32"/>
          <w:szCs w:val="32"/>
        </w:rPr>
      </w:pPr>
      <w:r>
        <w:rPr>
          <w:rFonts w:hint="eastAsia" w:ascii="仿宋" w:hAnsi="仿宋" w:eastAsia="仿宋"/>
          <w:b/>
          <w:sz w:val="32"/>
          <w:szCs w:val="32"/>
        </w:rPr>
        <w:t>（一）项目概况</w:t>
      </w:r>
    </w:p>
    <w:p>
      <w:pPr>
        <w:pStyle w:val="cc308df3"/>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cc308df3"/>
        <w:ind w:firstLine="643" w:firstLineChars="200"/>
        <w:rPr>
          <w:rFonts w:ascii="仿宋" w:hAnsi="仿宋" w:eastAsia="仿宋"/>
          <w:sz w:val="32"/>
          <w:szCs w:val="32"/>
        </w:rPr>
      </w:pPr>
      <w:r>
        <w:rPr>
          <w:rFonts w:hint="eastAsia" w:ascii="仿宋" w:hAnsi="仿宋" w:eastAsia="仿宋"/>
          <w:b/>
          <w:sz w:val="32"/>
          <w:szCs w:val="32"/>
        </w:rPr>
        <w:t>（二）主要成效</w:t>
      </w:r>
    </w:p>
    <w:p>
      <w:pPr>
        <w:pStyle w:val="cc308df3"/>
        <w:ind w:firstLine="1472" w:firstLineChars="460"/>
        <w:rPr>
          <w:rFonts w:ascii="仿宋" w:hAnsi="仿宋" w:eastAsia="仿宋"/>
          <w:sz w:val="32"/>
          <w:szCs w:val="32"/>
        </w:rPr>
      </w:pPr>
    </w:p>
    <w:p>
      <w:pPr>
        <w:pStyle w:val="cc308df3"/>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cc308df3"/>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80分，等级为良，设置绩效目标6个，实际完成5个，具体情况如下：</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sz w:val="32"/>
        </w:rPr>
        <w:t>1)财政投入</w:t>
      </w:r>
      <w:r>
        <w:rPr>
          <w:rFonts w:ascii="仿宋" w:hAnsi="仿宋" w:eastAsia="仿宋" w:cs="仿宋"/>
          <w:sz w:val="32"/>
        </w:rPr>
        <w:t>(万元)，目标值12.12，完成值0，分值10，得分0</w:t>
      </w:r>
      <w:r>
        <w:rPr>
          <w:rFonts w:hint="eastAsia" w:ascii="仿宋" w:hAnsi="仿宋" w:eastAsia="仿宋"/>
          <w:sz w:val="32"/>
          <w:szCs w:val="32"/>
        </w:rPr>
        <w:t>。</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sz w:val="32"/>
        </w:rPr>
        <w:t>1)种植数量</w:t>
      </w:r>
      <w:r>
        <w:rPr>
          <w:rFonts w:ascii="仿宋" w:hAnsi="仿宋" w:eastAsia="仿宋" w:cs="仿宋"/>
          <w:sz w:val="32"/>
        </w:rPr>
        <w:t>(株)，目标值400，完成值400，分值20，得分20</w:t>
      </w:r>
      <w:r>
        <w:rPr>
          <w:rFonts w:hint="eastAsia" w:ascii="仿宋" w:hAnsi="仿宋" w:eastAsia="仿宋"/>
          <w:sz w:val="32"/>
          <w:szCs w:val="32"/>
        </w:rPr>
        <w:t>。</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sz w:val="32"/>
        </w:rPr>
        <w:t>1)苗木成活率</w:t>
      </w:r>
      <w:r>
        <w:rPr>
          <w:rFonts w:ascii="仿宋" w:hAnsi="仿宋" w:eastAsia="仿宋" w:cs="仿宋"/>
          <w:sz w:val="32"/>
        </w:rPr>
        <w:t>(%)，目标值85，完成值85，分值10，得分10</w:t>
      </w:r>
      <w:r>
        <w:rPr>
          <w:rFonts w:hint="eastAsia" w:ascii="仿宋" w:hAnsi="仿宋" w:eastAsia="仿宋"/>
          <w:sz w:val="32"/>
          <w:szCs w:val="32"/>
        </w:rPr>
        <w:t>。</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sz w:val="32"/>
        </w:rPr>
        <w:t>1)项目建设完成率</w:t>
      </w:r>
      <w:r>
        <w:rPr>
          <w:rFonts w:ascii="仿宋" w:hAnsi="仿宋" w:eastAsia="仿宋" w:cs="仿宋"/>
          <w:sz w:val="32"/>
        </w:rPr>
        <w:t>(%)，目标值100，完成值100，分值10，得分10</w:t>
      </w:r>
      <w:r>
        <w:rPr>
          <w:rFonts w:hint="eastAsia" w:ascii="仿宋" w:hAnsi="仿宋" w:eastAsia="仿宋"/>
          <w:sz w:val="32"/>
          <w:szCs w:val="32"/>
        </w:rPr>
        <w:t>。</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sz w:val="32"/>
        </w:rPr>
        <w:t>1)森林蓄积持续提升</w:t>
      </w:r>
      <w:r>
        <w:rPr>
          <w:rFonts w:ascii="仿宋" w:hAnsi="仿宋" w:eastAsia="仿宋" w:cs="仿宋"/>
          <w:sz w:val="32"/>
        </w:rPr>
        <w:t>(无)，目标值明显，完成值明显，分值30，得分30</w:t>
      </w:r>
      <w:r>
        <w:rPr>
          <w:rFonts w:hint="eastAsia" w:ascii="仿宋" w:hAnsi="仿宋" w:eastAsia="仿宋"/>
          <w:sz w:val="32"/>
          <w:szCs w:val="32"/>
        </w:rPr>
        <w:t>。</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cc308df3"/>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(%)，目标值90，完成值90，分值10，得分10</w:t>
      </w:r>
      <w:r>
        <w:rPr>
          <w:rFonts w:hint="eastAsia" w:ascii="仿宋" w:hAnsi="仿宋" w:eastAsia="仿宋"/>
          <w:sz w:val="32"/>
          <w:szCs w:val="32"/>
        </w:rPr>
        <w:t>。</w:t>
      </w:r>
    </w:p>
    <w:p>
      <w:pPr>
        <w:pStyle w:val="cc308df3"/>
        <w:tabs>
          <w:tab w:val="left" w:pos="2244"/>
        </w:tabs>
        <w:spacing w:line="620" w:lineRule="exact"/>
        <w:ind w:left="1890" w:leftChars="900"/>
        <w:rPr>
          <w:rFonts w:ascii="仿宋" w:hAnsi="仿宋" w:eastAsia="仿宋"/>
          <w:b/>
          <w:color w:val="FF0000"/>
          <w:sz w:val="32"/>
          <w:szCs w:val="32"/>
        </w:rPr>
      </w:pPr>
    </w:p>
    <w:p>
      <w:pPr>
        <w:pStyle w:val="cc308df3"/>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cc308df3"/>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cc308df3"/>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该资金系2024年南安市财政配套我市南惠支线裸山整治项目配套资金，用于支付项目尾款，由于市财政紧张，暂未支付。</w:t>
      </w:r>
    </w:p>
    <w:p>
      <w:pPr>
        <w:pStyle w:val="cc308df3"/>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cc308df3"/>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该资金系2024年南安市财政配套我市南惠支线裸山整治项目配套资金，用于支付项目尾款，继续与财政部门沟通协调。</w:t>
      </w:r>
    </w:p>
    <w:p>
      <w:pPr>
        <w:pStyle w:val="cc308df3"/>
        <w:ind w:left="840" w:firstLine="420"/>
        <w:sectPr>
          <w:type w:val="continuous"/>
          <w:pgSz w:w="11907" w:h="16840"/>
        </w:sectPr>
      </w:pPr>
    </w:p>
    <w:p>
      <w:pPr>
        <w:pageBreakBefore w:val="true"/>
      </w:pPr>
    </w:p>
    <w:p>
      <w:pPr>
        <w:pStyle w:val="3419d687"/>
        <w:rPr>
          <w:rFonts w:ascii="仿宋" w:hAnsi="仿宋" w:eastAsia="仿宋"/>
          <w:sz w:val="32"/>
          <w:szCs w:val="32"/>
        </w:rPr>
      </w:pPr>
    </w:p>
    <w:p>
      <w:pPr>
        <w:pStyle w:val="3419d687"/>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bookmarkStart w:id="0" w:name="_GoBack"/>
      <w:bookmarkEnd w:id="0"/>
      <w:r>
        <w:rPr>
          <w:rFonts w:ascii="宋体" w:hAnsi="宋体" w:eastAsia="宋体" w:cs="宋体"/>
          <w:b/>
          <w:sz w:val="44"/>
        </w:rPr>
        <w:t>报告</w:t>
      </w:r>
    </w:p>
    <w:p>
      <w:pPr>
        <w:pStyle w:val="3419d687"/>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泉财农指〔2025〕41号，2025年泉州市级财政现代林业经济专项资金（第一批）：林木种苗花卉（花卉一、二、三产业融合发展8万元、花卉展销2万元）</w:t>
      </w:r>
      <w:r>
        <w:rPr>
          <w:rFonts w:hint="eastAsia" w:ascii="仿宋" w:hAnsi="仿宋" w:eastAsia="仿宋"/>
          <w:sz w:val="32"/>
          <w:szCs w:val="32"/>
        </w:rPr>
        <w:t>）</w:t>
      </w:r>
    </w:p>
    <w:p>
      <w:pPr>
        <w:pStyle w:val="3419d687"/>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3419d687"/>
        <w:ind w:firstLine="643" w:firstLineChars="200"/>
        <w:rPr>
          <w:rFonts w:ascii="仿宋" w:hAnsi="仿宋" w:eastAsia="仿宋"/>
          <w:sz w:val="32"/>
          <w:szCs w:val="32"/>
        </w:rPr>
      </w:pPr>
      <w:r>
        <w:rPr>
          <w:rFonts w:hint="eastAsia" w:ascii="仿宋" w:hAnsi="仿宋" w:eastAsia="仿宋"/>
          <w:b/>
          <w:sz w:val="32"/>
          <w:szCs w:val="32"/>
        </w:rPr>
        <w:t>（一）项目概况</w:t>
      </w:r>
    </w:p>
    <w:p>
      <w:pPr>
        <w:pStyle w:val="3419d687"/>
        <w:ind w:firstLine="1472" w:firstLineChars="460"/>
        <w:rPr>
          <w:rFonts w:ascii="仿宋" w:hAnsi="仿宋" w:eastAsia="仿宋"/>
          <w:sz w:val="32"/>
          <w:szCs w:val="32"/>
        </w:rPr>
      </w:pPr>
      <w:r>
        <w:rPr>
          <w:rFonts w:hint="eastAsia" w:ascii="仿宋" w:hAnsi="仿宋" w:eastAsia="仿宋"/>
          <w:sz w:val="32"/>
          <w:szCs w:val="32"/>
        </w:rPr>
        <w:t>完成林木种苗花卉（花卉一、二、三产业融合发展、花卉展销）等工作。</w:t>
      </w:r>
      <w:r>
        <w:rPr>
          <w:rFonts w:ascii="仿宋" w:hAnsi="仿宋" w:eastAsia="仿宋" w:cs="仿宋"/>
          <w:sz w:val="32"/>
        </w:rPr>
        <w:t xml:space="preserve"> </w:t>
      </w:r>
    </w:p>
    <w:p>
      <w:pPr>
        <w:pStyle w:val="3419d687"/>
        <w:ind w:firstLine="643" w:firstLineChars="200"/>
        <w:rPr>
          <w:rFonts w:ascii="仿宋" w:hAnsi="仿宋" w:eastAsia="仿宋"/>
          <w:sz w:val="32"/>
          <w:szCs w:val="32"/>
        </w:rPr>
      </w:pPr>
      <w:r>
        <w:rPr>
          <w:rFonts w:hint="eastAsia" w:ascii="仿宋" w:hAnsi="仿宋" w:eastAsia="仿宋"/>
          <w:b/>
          <w:sz w:val="32"/>
          <w:szCs w:val="32"/>
        </w:rPr>
        <w:t>（二）主要成效</w:t>
      </w:r>
    </w:p>
    <w:p>
      <w:pPr>
        <w:pStyle w:val="3419d687"/>
        <w:ind w:firstLine="1472" w:firstLineChars="460"/>
        <w:rPr>
          <w:rFonts w:ascii="仿宋" w:hAnsi="仿宋" w:eastAsia="仿宋"/>
          <w:sz w:val="32"/>
          <w:szCs w:val="32"/>
        </w:rPr>
      </w:pPr>
    </w:p>
    <w:p>
      <w:pPr>
        <w:pStyle w:val="3419d687"/>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3419d687"/>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80分，等级为良，设置绩效目标9个，实际完成8个，具体情况如下：</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sz w:val="32"/>
        </w:rPr>
        <w:t>1)油茶抚育补助标准</w:t>
      </w:r>
      <w:r>
        <w:rPr>
          <w:rFonts w:ascii="仿宋" w:hAnsi="仿宋" w:eastAsia="仿宋" w:cs="仿宋"/>
          <w:sz w:val="32"/>
        </w:rPr>
        <w:t>(元)，目标值150，完成值150，分值5，得分5</w:t>
      </w:r>
      <w:r>
        <w:rPr>
          <w:rFonts w:hint="eastAsia" w:ascii="仿宋" w:hAnsi="仿宋" w:eastAsia="仿宋"/>
          <w:sz w:val="32"/>
          <w:szCs w:val="32"/>
        </w:rPr>
        <w:t>。</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sz w:val="32"/>
        </w:rPr>
        <w:t>2)机耕路建设补助标准</w:t>
      </w:r>
      <w:r>
        <w:rPr>
          <w:rFonts w:ascii="仿宋" w:hAnsi="仿宋" w:eastAsia="仿宋" w:cs="仿宋"/>
          <w:sz w:val="32"/>
        </w:rPr>
        <w:t>(元)，目标值5000，完成值5000，分值5，得分5</w:t>
      </w:r>
      <w:r>
        <w:rPr>
          <w:rFonts w:hint="eastAsia" w:ascii="仿宋" w:hAnsi="仿宋" w:eastAsia="仿宋"/>
          <w:sz w:val="32"/>
          <w:szCs w:val="32"/>
        </w:rPr>
        <w:t>。</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sz w:val="32"/>
        </w:rPr>
        <w:t>1)开展现代油茶项目建设面积</w:t>
      </w:r>
      <w:r>
        <w:rPr>
          <w:rFonts w:ascii="仿宋" w:hAnsi="仿宋" w:eastAsia="仿宋" w:cs="仿宋"/>
          <w:sz w:val="32"/>
        </w:rPr>
        <w:t>(亩)，目标值470，完成值0，分值10，得分0</w:t>
      </w:r>
      <w:r>
        <w:rPr>
          <w:rFonts w:hint="eastAsia" w:ascii="仿宋" w:hAnsi="仿宋" w:eastAsia="仿宋"/>
          <w:sz w:val="32"/>
          <w:szCs w:val="32"/>
        </w:rPr>
        <w:t>。</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sz w:val="32"/>
        </w:rPr>
        <w:t>2)开展温室大棚改造提升项目个数</w:t>
      </w:r>
      <w:r>
        <w:rPr>
          <w:rFonts w:ascii="仿宋" w:hAnsi="仿宋" w:eastAsia="仿宋" w:cs="仿宋"/>
          <w:sz w:val="32"/>
        </w:rPr>
        <w:t>(个)，目标值1，完成值1，分值10，得分10</w:t>
      </w:r>
      <w:r>
        <w:rPr>
          <w:rFonts w:hint="eastAsia" w:ascii="仿宋" w:hAnsi="仿宋" w:eastAsia="仿宋"/>
          <w:sz w:val="32"/>
          <w:szCs w:val="32"/>
        </w:rPr>
        <w:t>。</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sz w:val="32"/>
        </w:rPr>
        <w:t>1)食用林产品质量监测批次</w:t>
      </w:r>
      <w:r>
        <w:rPr>
          <w:rFonts w:ascii="仿宋" w:hAnsi="仿宋" w:eastAsia="仿宋" w:cs="仿宋"/>
          <w:sz w:val="32"/>
        </w:rPr>
        <w:t>(批次)，目标值11，完成值11，分值10，得分10</w:t>
      </w:r>
      <w:r>
        <w:rPr>
          <w:rFonts w:hint="eastAsia" w:ascii="仿宋" w:hAnsi="仿宋" w:eastAsia="仿宋"/>
          <w:sz w:val="32"/>
          <w:szCs w:val="32"/>
        </w:rPr>
        <w:t>。</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sz w:val="32"/>
        </w:rPr>
        <w:t>1)完成项目建设时效</w:t>
      </w:r>
      <w:r>
        <w:rPr>
          <w:rFonts w:ascii="仿宋" w:hAnsi="仿宋" w:eastAsia="仿宋" w:cs="仿宋"/>
          <w:sz w:val="32"/>
        </w:rPr>
        <w:t>(年)，目标值1，完成值1，分值10，得分10</w:t>
      </w:r>
      <w:r>
        <w:rPr>
          <w:rFonts w:hint="eastAsia" w:ascii="仿宋" w:hAnsi="仿宋" w:eastAsia="仿宋"/>
          <w:sz w:val="32"/>
          <w:szCs w:val="32"/>
        </w:rPr>
        <w:t>。</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sz w:val="32"/>
        </w:rPr>
        <w:t>1)带动花农或企业增收</w:t>
      </w:r>
      <w:r>
        <w:rPr>
          <w:rFonts w:ascii="仿宋" w:hAnsi="仿宋" w:eastAsia="仿宋" w:cs="仿宋"/>
          <w:sz w:val="32"/>
        </w:rPr>
        <w:t>(万元)，目标值4，完成值4，分值10，得分10</w:t>
      </w:r>
      <w:r>
        <w:rPr>
          <w:rFonts w:hint="eastAsia" w:ascii="仿宋" w:hAnsi="仿宋" w:eastAsia="仿宋"/>
          <w:sz w:val="32"/>
          <w:szCs w:val="32"/>
        </w:rPr>
        <w:t>。</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sz w:val="32"/>
        </w:rPr>
        <w:t>1)提高生产技术水平和知名度</w:t>
      </w:r>
      <w:r>
        <w:rPr>
          <w:rFonts w:ascii="仿宋" w:hAnsi="仿宋" w:eastAsia="仿宋" w:cs="仿宋"/>
          <w:sz w:val="32"/>
        </w:rPr>
        <w:t>(无)，目标值是，完成值提高，分值20，得分20</w:t>
      </w:r>
      <w:r>
        <w:rPr>
          <w:rFonts w:hint="eastAsia" w:ascii="仿宋" w:hAnsi="仿宋" w:eastAsia="仿宋"/>
          <w:sz w:val="32"/>
          <w:szCs w:val="32"/>
        </w:rPr>
        <w:t>。</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3419d687"/>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w:t>
      </w:r>
      <w:r>
        <w:rPr>
          <w:rFonts w:ascii="仿宋" w:hAnsi="仿宋" w:eastAsia="仿宋" w:cs="仿宋"/>
          <w:sz w:val="32"/>
        </w:rPr>
        <w:t>(%)，目标值90，完成值90，分值10，得分10</w:t>
      </w:r>
      <w:r>
        <w:rPr>
          <w:rFonts w:hint="eastAsia" w:ascii="仿宋" w:hAnsi="仿宋" w:eastAsia="仿宋"/>
          <w:sz w:val="32"/>
          <w:szCs w:val="32"/>
        </w:rPr>
        <w:t>。</w:t>
      </w:r>
    </w:p>
    <w:p>
      <w:pPr>
        <w:pStyle w:val="3419d687"/>
        <w:tabs>
          <w:tab w:val="left" w:pos="2244"/>
        </w:tabs>
        <w:spacing w:line="620" w:lineRule="exact"/>
        <w:ind w:left="1890" w:leftChars="900"/>
        <w:rPr>
          <w:rFonts w:ascii="仿宋" w:hAnsi="仿宋" w:eastAsia="仿宋"/>
          <w:b/>
          <w:color w:val="FF0000"/>
          <w:sz w:val="32"/>
          <w:szCs w:val="32"/>
        </w:rPr>
      </w:pPr>
    </w:p>
    <w:p>
      <w:pPr>
        <w:pStyle w:val="3419d687"/>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3419d687"/>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3419d687"/>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花卉一、二、三产业融合发展项目建设工作推进缓慢。财政资金紧张，未能及拨付项目资金。</w:t>
      </w:r>
    </w:p>
    <w:p>
      <w:pPr>
        <w:pStyle w:val="3419d687"/>
        <w:spacing w:line="620" w:lineRule="exact"/>
        <w:ind w:left="840" w:leftChars="400" w:firstLine="420"/>
        <w:rPr>
          <w:rFonts w:ascii="仿宋" w:hAnsi="仿宋" w:eastAsia="仿宋"/>
          <w:sz w:val="32"/>
          <w:szCs w:val="32"/>
        </w:rPr>
      </w:pPr>
      <w:r>
        <w:rPr>
          <w:rFonts w:hint="eastAsia" w:ascii="仿宋" w:hAnsi="仿宋" w:eastAsia="仿宋"/>
          <w:sz w:val="32"/>
          <w:szCs w:val="32"/>
        </w:rPr>
        <w:t>2</w:t>
      </w:r>
      <w:r>
        <w:rPr>
          <w:rFonts w:ascii="仿宋" w:hAnsi="仿宋" w:eastAsia="仿宋" w:cs="仿宋"/>
          <w:sz w:val="32"/>
        </w:rPr>
        <w:t>. 花卉一、二、三产业融合发展项目建设工作推进缓慢。财政资金紧张，未能及拨付项目资金。</w:t>
      </w:r>
    </w:p>
    <w:p>
      <w:pPr>
        <w:pStyle w:val="3419d687"/>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3419d687"/>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花卉一、二、三产业融合发展项目建设工作推进缓慢。财政资金紧张，未能及拨付项目资金。</w:t>
      </w:r>
    </w:p>
    <w:p>
      <w:pPr>
        <w:pStyle w:val="3419d687"/>
        <w:spacing w:line="620" w:lineRule="exact"/>
        <w:ind w:left="840" w:leftChars="400" w:firstLine="420"/>
        <w:rPr>
          <w:rFonts w:ascii="仿宋" w:hAnsi="仿宋" w:eastAsia="仿宋"/>
          <w:sz w:val="32"/>
          <w:szCs w:val="32"/>
        </w:rPr>
      </w:pPr>
      <w:r>
        <w:rPr>
          <w:rFonts w:hint="eastAsia" w:ascii="仿宋" w:hAnsi="仿宋" w:eastAsia="仿宋"/>
          <w:sz w:val="32"/>
          <w:szCs w:val="32"/>
        </w:rPr>
        <w:t>2</w:t>
      </w:r>
      <w:r>
        <w:rPr>
          <w:rFonts w:ascii="仿宋" w:hAnsi="仿宋" w:eastAsia="仿宋" w:cs="仿宋"/>
          <w:sz w:val="32"/>
        </w:rPr>
        <w:t>. 花卉一、二、三产业融合发展项目建设工作推进缓慢。财政资金紧张，未能及拨付项目资金。</w:t>
      </w:r>
    </w:p>
    <w:p>
      <w:pPr>
        <w:pStyle w:val="3419d687"/>
        <w:ind w:left="840" w:firstLine="420"/>
        <w:sectPr>
          <w:type w:val="continuous"/>
          <w:pgSz w:w="11907" w:h="16840"/>
        </w:sectPr>
      </w:pPr>
    </w:p>
    <w:p>
      <w:pPr>
        <w:pageBreakBefore w:val="true"/>
      </w:pPr>
    </w:p>
    <w:p>
      <w:pPr>
        <w:pStyle w:val="32425a55"/>
        <w:rPr>
          <w:rFonts w:ascii="仿宋" w:hAnsi="仿宋" w:eastAsia="仿宋"/>
          <w:sz w:val="32"/>
          <w:szCs w:val="32"/>
        </w:rPr>
      </w:pPr>
    </w:p>
    <w:p>
      <w:pPr>
        <w:pStyle w:val="32425a55"/>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bookmarkStart w:id="0" w:name="_GoBack"/>
      <w:bookmarkEnd w:id="0"/>
      <w:r>
        <w:rPr>
          <w:rFonts w:ascii="宋体" w:hAnsi="宋体" w:eastAsia="宋体" w:cs="宋体"/>
          <w:b/>
          <w:sz w:val="44"/>
        </w:rPr>
        <w:t>报告</w:t>
      </w:r>
    </w:p>
    <w:p>
      <w:pPr>
        <w:pStyle w:val="32425a55"/>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2022年造林绿化省级补助</w:t>
      </w:r>
      <w:r>
        <w:rPr>
          <w:rFonts w:hint="eastAsia" w:ascii="仿宋" w:hAnsi="仿宋" w:eastAsia="仿宋"/>
          <w:sz w:val="32"/>
          <w:szCs w:val="32"/>
        </w:rPr>
        <w:t>）</w:t>
      </w:r>
    </w:p>
    <w:p>
      <w:pPr>
        <w:pStyle w:val="32425a55"/>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32425a55"/>
        <w:ind w:firstLine="643" w:firstLineChars="200"/>
        <w:rPr>
          <w:rFonts w:ascii="仿宋" w:hAnsi="仿宋" w:eastAsia="仿宋"/>
          <w:sz w:val="32"/>
          <w:szCs w:val="32"/>
        </w:rPr>
      </w:pPr>
      <w:r>
        <w:rPr>
          <w:rFonts w:hint="eastAsia" w:ascii="仿宋" w:hAnsi="仿宋" w:eastAsia="仿宋"/>
          <w:b/>
          <w:sz w:val="32"/>
          <w:szCs w:val="32"/>
        </w:rPr>
        <w:t>（一）项目概况</w:t>
      </w:r>
    </w:p>
    <w:p>
      <w:pPr>
        <w:pStyle w:val="32425a55"/>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32425a55"/>
        <w:ind w:firstLine="643" w:firstLineChars="200"/>
        <w:rPr>
          <w:rFonts w:ascii="仿宋" w:hAnsi="仿宋" w:eastAsia="仿宋"/>
          <w:sz w:val="32"/>
          <w:szCs w:val="32"/>
        </w:rPr>
      </w:pPr>
      <w:r>
        <w:rPr>
          <w:rFonts w:hint="eastAsia" w:ascii="仿宋" w:hAnsi="仿宋" w:eastAsia="仿宋"/>
          <w:b/>
          <w:sz w:val="32"/>
          <w:szCs w:val="32"/>
        </w:rPr>
        <w:t>（二）主要成效</w:t>
      </w:r>
    </w:p>
    <w:p>
      <w:pPr>
        <w:pStyle w:val="32425a55"/>
        <w:ind w:firstLine="1472" w:firstLineChars="460"/>
        <w:rPr>
          <w:rFonts w:ascii="仿宋" w:hAnsi="仿宋" w:eastAsia="仿宋"/>
          <w:sz w:val="32"/>
          <w:szCs w:val="32"/>
        </w:rPr>
      </w:pPr>
    </w:p>
    <w:p>
      <w:pPr>
        <w:pStyle w:val="32425a55"/>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32425a55"/>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sz w:val="32"/>
        </w:rPr>
        <w:t>1)松林改造提升完成情况</w:t>
      </w:r>
      <w:r>
        <w:rPr>
          <w:rFonts w:ascii="仿宋" w:hAnsi="仿宋" w:eastAsia="仿宋" w:cs="仿宋"/>
          <w:sz w:val="32"/>
        </w:rPr>
        <w:t>(%)，目标值100，完成值100，分值10，得分10</w:t>
      </w:r>
      <w:r>
        <w:rPr>
          <w:rFonts w:hint="eastAsia" w:ascii="仿宋" w:hAnsi="仿宋" w:eastAsia="仿宋"/>
          <w:sz w:val="32"/>
          <w:szCs w:val="32"/>
        </w:rPr>
        <w:t>。</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sz w:val="32"/>
        </w:rPr>
        <w:t>1)植树造林面积</w:t>
      </w:r>
      <w:r>
        <w:rPr>
          <w:rFonts w:ascii="仿宋" w:hAnsi="仿宋" w:eastAsia="仿宋" w:cs="仿宋"/>
          <w:sz w:val="32"/>
        </w:rPr>
        <w:t>(亩)，目标值10160，完成值12318，分值20，得分20</w:t>
      </w:r>
      <w:r>
        <w:rPr>
          <w:rFonts w:hint="eastAsia" w:ascii="仿宋" w:hAnsi="仿宋" w:eastAsia="仿宋"/>
          <w:sz w:val="32"/>
          <w:szCs w:val="32"/>
        </w:rPr>
        <w:t>。</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sz w:val="32"/>
        </w:rPr>
        <w:t>1)造林成活率</w:t>
      </w:r>
      <w:r>
        <w:rPr>
          <w:rFonts w:ascii="仿宋" w:hAnsi="仿宋" w:eastAsia="仿宋" w:cs="仿宋"/>
          <w:sz w:val="32"/>
        </w:rPr>
        <w:t>(%)，目标值85，完成值85，分值10，得分10</w:t>
      </w:r>
      <w:r>
        <w:rPr>
          <w:rFonts w:hint="eastAsia" w:ascii="仿宋" w:hAnsi="仿宋" w:eastAsia="仿宋"/>
          <w:sz w:val="32"/>
          <w:szCs w:val="32"/>
        </w:rPr>
        <w:t>。</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sz w:val="32"/>
        </w:rPr>
        <w:t>1)森林抚育年度完成率</w:t>
      </w:r>
      <w:r>
        <w:rPr>
          <w:rFonts w:ascii="仿宋" w:hAnsi="仿宋" w:eastAsia="仿宋" w:cs="仿宋"/>
          <w:sz w:val="32"/>
        </w:rPr>
        <w:t>(%)，目标值100，完成值100，分值10，得分10</w:t>
      </w:r>
      <w:r>
        <w:rPr>
          <w:rFonts w:hint="eastAsia" w:ascii="仿宋" w:hAnsi="仿宋" w:eastAsia="仿宋"/>
          <w:sz w:val="32"/>
          <w:szCs w:val="32"/>
        </w:rPr>
        <w:t>。</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sz w:val="32"/>
        </w:rPr>
        <w:t>1)森林资源持续提升</w:t>
      </w:r>
      <w:r>
        <w:rPr>
          <w:rFonts w:ascii="仿宋" w:hAnsi="仿宋" w:eastAsia="仿宋" w:cs="仿宋"/>
          <w:sz w:val="32"/>
        </w:rPr>
        <w:t>(无)，目标值明显，完成值明显，分值30，得分30</w:t>
      </w:r>
      <w:r>
        <w:rPr>
          <w:rFonts w:hint="eastAsia" w:ascii="仿宋" w:hAnsi="仿宋" w:eastAsia="仿宋"/>
          <w:sz w:val="32"/>
          <w:szCs w:val="32"/>
        </w:rPr>
        <w:t>。</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32425a55"/>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(%)，目标值90，完成值90，分值10，得分10</w:t>
      </w:r>
      <w:r>
        <w:rPr>
          <w:rFonts w:hint="eastAsia" w:ascii="仿宋" w:hAnsi="仿宋" w:eastAsia="仿宋"/>
          <w:sz w:val="32"/>
          <w:szCs w:val="32"/>
        </w:rPr>
        <w:t>。</w:t>
      </w:r>
    </w:p>
    <w:p>
      <w:pPr>
        <w:pStyle w:val="32425a55"/>
        <w:tabs>
          <w:tab w:val="left" w:pos="2244"/>
        </w:tabs>
        <w:spacing w:line="620" w:lineRule="exact"/>
        <w:ind w:left="1890" w:leftChars="900"/>
        <w:rPr>
          <w:rFonts w:ascii="仿宋" w:hAnsi="仿宋" w:eastAsia="仿宋"/>
          <w:b/>
          <w:color w:val="FF0000"/>
          <w:sz w:val="32"/>
          <w:szCs w:val="32"/>
        </w:rPr>
      </w:pPr>
    </w:p>
    <w:p>
      <w:pPr>
        <w:pStyle w:val="32425a55"/>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32425a55"/>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32425a55"/>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32425a55"/>
        <w:ind w:left="840" w:firstLine="420"/>
        <w:sectPr>
          <w:type w:val="continuous"/>
          <w:pgSz w:w="11907" w:h="16840"/>
        </w:sectPr>
      </w:pPr>
    </w:p>
    <w:p>
      <w:pPr>
        <w:pageBreakBefore w:val="true"/>
      </w:pPr>
    </w:p>
    <w:p>
      <w:pPr>
        <w:pStyle w:val="9ccd1b00"/>
        <w:rPr>
          <w:rFonts w:ascii="仿宋" w:hAnsi="仿宋" w:eastAsia="仿宋"/>
          <w:sz w:val="32"/>
          <w:szCs w:val="32"/>
        </w:rPr>
      </w:pPr>
      <w:bookmarkStart w:id="0" w:name="_GoBack"/>
      <w:bookmarkEnd w:id="0"/>
    </w:p>
    <w:p>
      <w:pPr>
        <w:pStyle w:val="9ccd1b00"/>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r>
        <w:rPr>
          <w:rFonts w:ascii="宋体" w:hAnsi="宋体" w:eastAsia="宋体" w:cs="宋体"/>
          <w:b/>
          <w:sz w:val="44"/>
        </w:rPr>
        <w:t>报告</w:t>
      </w:r>
    </w:p>
    <w:p>
      <w:pPr>
        <w:pStyle w:val="9ccd1b00"/>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泉财指标〔2023〕652号国土绿化试点示范项目（南财指标〔2023〕886号）</w:t>
      </w:r>
      <w:r>
        <w:rPr>
          <w:rFonts w:hint="eastAsia" w:ascii="仿宋" w:hAnsi="仿宋" w:eastAsia="仿宋"/>
          <w:sz w:val="32"/>
          <w:szCs w:val="32"/>
        </w:rPr>
        <w:t>）</w:t>
      </w:r>
    </w:p>
    <w:p>
      <w:pPr>
        <w:pStyle w:val="9ccd1b00"/>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9ccd1b00"/>
        <w:ind w:firstLine="643" w:firstLineChars="200"/>
        <w:rPr>
          <w:rFonts w:ascii="仿宋" w:hAnsi="仿宋" w:eastAsia="仿宋"/>
          <w:sz w:val="32"/>
          <w:szCs w:val="32"/>
        </w:rPr>
      </w:pPr>
      <w:r>
        <w:rPr>
          <w:rFonts w:hint="eastAsia" w:ascii="仿宋" w:hAnsi="仿宋" w:eastAsia="仿宋"/>
          <w:b/>
          <w:sz w:val="32"/>
          <w:szCs w:val="32"/>
        </w:rPr>
        <w:t>（一）项目概况</w:t>
      </w:r>
    </w:p>
    <w:p>
      <w:pPr>
        <w:pStyle w:val="9ccd1b00"/>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9ccd1b00"/>
        <w:ind w:firstLine="643" w:firstLineChars="200"/>
        <w:rPr>
          <w:rFonts w:ascii="仿宋" w:hAnsi="仿宋" w:eastAsia="仿宋"/>
          <w:sz w:val="32"/>
          <w:szCs w:val="32"/>
        </w:rPr>
      </w:pPr>
      <w:r>
        <w:rPr>
          <w:rFonts w:hint="eastAsia" w:ascii="仿宋" w:hAnsi="仿宋" w:eastAsia="仿宋"/>
          <w:b/>
          <w:sz w:val="32"/>
          <w:szCs w:val="32"/>
        </w:rPr>
        <w:t>（二）主要成效</w:t>
      </w:r>
    </w:p>
    <w:p>
      <w:pPr>
        <w:pStyle w:val="9ccd1b00"/>
        <w:ind w:firstLine="1472" w:firstLineChars="460"/>
        <w:rPr>
          <w:rFonts w:ascii="仿宋" w:hAnsi="仿宋" w:eastAsia="仿宋"/>
          <w:sz w:val="32"/>
          <w:szCs w:val="32"/>
        </w:rPr>
      </w:pPr>
    </w:p>
    <w:p>
      <w:pPr>
        <w:pStyle w:val="9ccd1b00"/>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9ccd1b00"/>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95.34分，等级为优，设置绩效目标6个，实际完成5个，具体情况如下：</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sz w:val="32"/>
        </w:rPr>
        <w:t>1)财政投入资金</w:t>
      </w:r>
      <w:r>
        <w:rPr>
          <w:rFonts w:ascii="仿宋" w:hAnsi="仿宋" w:eastAsia="仿宋" w:cs="仿宋"/>
          <w:sz w:val="32"/>
        </w:rPr>
        <w:t>(万元)，目标值145.784，完成值121.64，分值10，得分8.34</w:t>
      </w:r>
      <w:r>
        <w:rPr>
          <w:rFonts w:hint="eastAsia" w:ascii="仿宋" w:hAnsi="仿宋" w:eastAsia="仿宋"/>
          <w:sz w:val="32"/>
          <w:szCs w:val="32"/>
        </w:rPr>
        <w:t>。</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sz w:val="32"/>
        </w:rPr>
        <w:t>1)造林及时率</w:t>
      </w:r>
      <w:r>
        <w:rPr>
          <w:rFonts w:ascii="仿宋" w:hAnsi="仿宋" w:eastAsia="仿宋" w:cs="仿宋"/>
          <w:sz w:val="32"/>
        </w:rPr>
        <w:t>(%)，目标值100，完成值100，分值10，得分10</w:t>
      </w:r>
      <w:r>
        <w:rPr>
          <w:rFonts w:hint="eastAsia" w:ascii="仿宋" w:hAnsi="仿宋" w:eastAsia="仿宋"/>
          <w:sz w:val="32"/>
          <w:szCs w:val="32"/>
        </w:rPr>
        <w:t>。</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sz w:val="32"/>
        </w:rPr>
        <w:t>1)造林成活率</w:t>
      </w:r>
      <w:r>
        <w:rPr>
          <w:rFonts w:ascii="仿宋" w:hAnsi="仿宋" w:eastAsia="仿宋" w:cs="仿宋"/>
          <w:sz w:val="32"/>
        </w:rPr>
        <w:t>(%)，目标值85，完成值85，分值20，得分20</w:t>
      </w:r>
      <w:r>
        <w:rPr>
          <w:rFonts w:hint="eastAsia" w:ascii="仿宋" w:hAnsi="仿宋" w:eastAsia="仿宋"/>
          <w:sz w:val="32"/>
          <w:szCs w:val="32"/>
        </w:rPr>
        <w:t>。</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sz w:val="32"/>
        </w:rPr>
        <w:t>1)年度任务完成率</w:t>
      </w:r>
      <w:r>
        <w:rPr>
          <w:rFonts w:ascii="仿宋" w:hAnsi="仿宋" w:eastAsia="仿宋" w:cs="仿宋"/>
          <w:sz w:val="32"/>
        </w:rPr>
        <w:t>(%)，目标值100，完成值100，分值10，得分10</w:t>
      </w:r>
      <w:r>
        <w:rPr>
          <w:rFonts w:hint="eastAsia" w:ascii="仿宋" w:hAnsi="仿宋" w:eastAsia="仿宋"/>
          <w:sz w:val="32"/>
          <w:szCs w:val="32"/>
        </w:rPr>
        <w:t>。</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sz w:val="32"/>
        </w:rPr>
        <w:t>1)生态环境持续改善</w:t>
      </w:r>
      <w:r>
        <w:rPr>
          <w:rFonts w:ascii="仿宋" w:hAnsi="仿宋" w:eastAsia="仿宋" w:cs="仿宋"/>
          <w:sz w:val="32"/>
        </w:rPr>
        <w:t>(%)，目标值明显，完成值明显，分值30，得分30</w:t>
      </w:r>
      <w:r>
        <w:rPr>
          <w:rFonts w:hint="eastAsia" w:ascii="仿宋" w:hAnsi="仿宋" w:eastAsia="仿宋"/>
          <w:sz w:val="32"/>
          <w:szCs w:val="32"/>
        </w:rPr>
        <w:t>。</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9ccd1b00"/>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(%)，目标值90，完成值90，分值10，得分10</w:t>
      </w:r>
      <w:r>
        <w:rPr>
          <w:rFonts w:hint="eastAsia" w:ascii="仿宋" w:hAnsi="仿宋" w:eastAsia="仿宋"/>
          <w:sz w:val="32"/>
          <w:szCs w:val="32"/>
        </w:rPr>
        <w:t>。</w:t>
      </w:r>
    </w:p>
    <w:p>
      <w:pPr>
        <w:pStyle w:val="9ccd1b00"/>
        <w:tabs>
          <w:tab w:val="left" w:pos="2244"/>
        </w:tabs>
        <w:spacing w:line="620" w:lineRule="exact"/>
        <w:ind w:left="1890" w:leftChars="900"/>
        <w:rPr>
          <w:rFonts w:ascii="仿宋" w:hAnsi="仿宋" w:eastAsia="仿宋"/>
          <w:b/>
          <w:color w:val="FF0000"/>
          <w:sz w:val="32"/>
          <w:szCs w:val="32"/>
        </w:rPr>
      </w:pPr>
    </w:p>
    <w:p>
      <w:pPr>
        <w:pStyle w:val="9ccd1b00"/>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9ccd1b00"/>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9ccd1b00"/>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9ccd1b00"/>
        <w:ind w:left="840" w:firstLine="420"/>
        <w:sectPr>
          <w:type w:val="continuous"/>
          <w:pgSz w:w="11907" w:h="16840"/>
        </w:sectPr>
      </w:pPr>
    </w:p>
    <w:p>
      <w:pPr>
        <w:pageBreakBefore w:val="true"/>
      </w:pPr>
    </w:p>
    <w:p>
      <w:pPr>
        <w:pStyle w:val="70486273"/>
        <w:rPr>
          <w:rFonts w:ascii="仿宋" w:hAnsi="仿宋" w:eastAsia="仿宋"/>
          <w:sz w:val="32"/>
          <w:szCs w:val="32"/>
        </w:rPr>
      </w:pPr>
    </w:p>
    <w:p>
      <w:pPr>
        <w:pStyle w:val="70486273"/>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70486273"/>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南林函〔2024〕546号，2024年森林综合保险本级配套资金</w:t>
      </w:r>
      <w:r>
        <w:rPr>
          <w:rFonts w:hint="eastAsia" w:ascii="仿宋" w:hAnsi="仿宋" w:eastAsia="仿宋"/>
          <w:sz w:val="32"/>
          <w:szCs w:val="32"/>
        </w:rPr>
        <w:t>）</w:t>
      </w:r>
    </w:p>
    <w:p>
      <w:pPr>
        <w:pStyle w:val="70486273"/>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70486273"/>
        <w:ind w:firstLine="643" w:firstLineChars="200"/>
        <w:rPr>
          <w:rFonts w:ascii="仿宋" w:hAnsi="仿宋" w:eastAsia="仿宋"/>
          <w:sz w:val="32"/>
          <w:szCs w:val="32"/>
        </w:rPr>
      </w:pPr>
      <w:r>
        <w:rPr>
          <w:rFonts w:hint="eastAsia" w:ascii="仿宋" w:hAnsi="仿宋" w:eastAsia="仿宋"/>
          <w:b/>
          <w:sz w:val="32"/>
          <w:szCs w:val="32"/>
        </w:rPr>
        <w:t>（一）项目概况</w:t>
      </w:r>
    </w:p>
    <w:p>
      <w:pPr>
        <w:pStyle w:val="70486273"/>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70486273"/>
        <w:ind w:firstLine="643" w:firstLineChars="200"/>
        <w:rPr>
          <w:rFonts w:ascii="仿宋" w:hAnsi="仿宋" w:eastAsia="仿宋"/>
          <w:sz w:val="32"/>
          <w:szCs w:val="32"/>
        </w:rPr>
      </w:pPr>
      <w:r>
        <w:rPr>
          <w:rFonts w:hint="eastAsia" w:ascii="仿宋" w:hAnsi="仿宋" w:eastAsia="仿宋"/>
          <w:b/>
          <w:sz w:val="32"/>
          <w:szCs w:val="32"/>
        </w:rPr>
        <w:t>（二）主要成效</w:t>
      </w:r>
    </w:p>
    <w:p>
      <w:pPr>
        <w:pStyle w:val="70486273"/>
        <w:ind w:firstLine="1472" w:firstLineChars="460"/>
        <w:rPr>
          <w:rFonts w:ascii="仿宋" w:hAnsi="仿宋" w:eastAsia="仿宋"/>
          <w:sz w:val="32"/>
          <w:szCs w:val="32"/>
        </w:rPr>
      </w:pPr>
    </w:p>
    <w:p>
      <w:pPr>
        <w:pStyle w:val="70486273"/>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70486273"/>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90分，等级为优，设置绩效目标6个，实际完成5个，具体情况如下：</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sz w:val="32"/>
        </w:rPr>
        <w:t>1)财政投入资金</w:t>
      </w:r>
      <w:r>
        <w:rPr>
          <w:rFonts w:ascii="仿宋" w:hAnsi="仿宋" w:eastAsia="仿宋" w:cs="仿宋"/>
          <w:sz w:val="32"/>
        </w:rPr>
        <w:t>(万元)，目标值44.04，完成值44.04，分值10，得分0</w:t>
      </w:r>
      <w:r>
        <w:rPr>
          <w:rFonts w:hint="eastAsia" w:ascii="仿宋" w:hAnsi="仿宋" w:eastAsia="仿宋"/>
          <w:sz w:val="32"/>
          <w:szCs w:val="32"/>
        </w:rPr>
        <w:t>。</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sz w:val="32"/>
        </w:rPr>
        <w:t>1)省级以上生态公益林面积（万亩）</w:t>
      </w:r>
      <w:r>
        <w:rPr>
          <w:rFonts w:ascii="仿宋" w:hAnsi="仿宋" w:eastAsia="仿宋" w:cs="仿宋"/>
          <w:sz w:val="32"/>
        </w:rPr>
        <w:t>(万亩)，目标值51.0866，完成值51.0866，分值10，得分10</w:t>
      </w:r>
      <w:r>
        <w:rPr>
          <w:rFonts w:hint="eastAsia" w:ascii="仿宋" w:hAnsi="仿宋" w:eastAsia="仿宋"/>
          <w:sz w:val="32"/>
          <w:szCs w:val="32"/>
        </w:rPr>
        <w:t>。</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sz w:val="32"/>
        </w:rPr>
        <w:t>1)风险保障水平</w:t>
      </w:r>
      <w:r>
        <w:rPr>
          <w:rFonts w:ascii="仿宋" w:hAnsi="仿宋" w:eastAsia="仿宋" w:cs="仿宋"/>
          <w:sz w:val="32"/>
        </w:rPr>
        <w:t>(无)，目标值高于去年，完成值高于支年，分值20，得分20</w:t>
      </w:r>
      <w:r>
        <w:rPr>
          <w:rFonts w:hint="eastAsia" w:ascii="仿宋" w:hAnsi="仿宋" w:eastAsia="仿宋"/>
          <w:sz w:val="32"/>
          <w:szCs w:val="32"/>
        </w:rPr>
        <w:t>。</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sz w:val="32"/>
        </w:rPr>
        <w:t>1)项目完成时间（年）</w:t>
      </w:r>
      <w:r>
        <w:rPr>
          <w:rFonts w:ascii="仿宋" w:hAnsi="仿宋" w:eastAsia="仿宋" w:cs="仿宋"/>
          <w:sz w:val="32"/>
        </w:rPr>
        <w:t>(年)，目标值1，完成值1，分值10，得分10</w:t>
      </w:r>
      <w:r>
        <w:rPr>
          <w:rFonts w:hint="eastAsia" w:ascii="仿宋" w:hAnsi="仿宋" w:eastAsia="仿宋"/>
          <w:sz w:val="32"/>
          <w:szCs w:val="32"/>
        </w:rPr>
        <w:t>。</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sz w:val="32"/>
        </w:rPr>
        <w:t>1)承保机构县级分支机构覆盖率</w:t>
      </w:r>
      <w:r>
        <w:rPr>
          <w:rFonts w:ascii="仿宋" w:hAnsi="仿宋" w:eastAsia="仿宋" w:cs="仿宋"/>
          <w:sz w:val="32"/>
        </w:rPr>
        <w:t>(%)，目标值100，完成值100，分值30，得分30</w:t>
      </w:r>
      <w:r>
        <w:rPr>
          <w:rFonts w:hint="eastAsia" w:ascii="仿宋" w:hAnsi="仿宋" w:eastAsia="仿宋"/>
          <w:sz w:val="32"/>
          <w:szCs w:val="32"/>
        </w:rPr>
        <w:t>。</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70486273"/>
        <w:spacing w:line="620" w:lineRule="exact"/>
        <w:ind w:left="420" w:leftChars="200"/>
        <w:rPr>
          <w:rFonts w:ascii="仿宋" w:hAnsi="仿宋" w:eastAsia="仿宋"/>
          <w:sz w:val="32"/>
          <w:szCs w:val="32"/>
        </w:rPr>
      </w:pPr>
      <w:r>
        <w:rPr>
          <w:rFonts w:ascii="仿宋_GB2312" w:hAnsi="仿宋_GB2312" w:eastAsia="仿宋_GB2312" w:cs="仿宋_GB2312"/>
          <w:sz w:val="32"/>
        </w:rPr>
        <w:t>1)参保农户满意度</w:t>
      </w:r>
      <w:r>
        <w:rPr>
          <w:rFonts w:ascii="仿宋" w:hAnsi="仿宋" w:eastAsia="仿宋" w:cs="仿宋"/>
          <w:sz w:val="32"/>
        </w:rPr>
        <w:t>(%)，目标值80，完成值80，分值10，得分10</w:t>
      </w:r>
      <w:r>
        <w:rPr>
          <w:rFonts w:hint="eastAsia" w:ascii="仿宋" w:hAnsi="仿宋" w:eastAsia="仿宋"/>
          <w:sz w:val="32"/>
          <w:szCs w:val="32"/>
        </w:rPr>
        <w:t>。</w:t>
      </w:r>
    </w:p>
    <w:p>
      <w:pPr>
        <w:pStyle w:val="70486273"/>
        <w:tabs>
          <w:tab w:val="left" w:pos="2244"/>
        </w:tabs>
        <w:spacing w:line="620" w:lineRule="exact"/>
        <w:ind w:left="1890" w:leftChars="900"/>
        <w:rPr>
          <w:rFonts w:ascii="仿宋" w:hAnsi="仿宋" w:eastAsia="仿宋"/>
          <w:b/>
          <w:color w:val="FF0000"/>
          <w:sz w:val="32"/>
          <w:szCs w:val="32"/>
        </w:rPr>
      </w:pPr>
    </w:p>
    <w:p>
      <w:pPr>
        <w:pStyle w:val="70486273"/>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70486273"/>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70486273"/>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70486273"/>
        <w:ind w:left="840" w:firstLine="420"/>
        <w:sectPr>
          <w:type w:val="continuous"/>
          <w:pgSz w:w="11907" w:h="16840"/>
        </w:sectPr>
      </w:pPr>
    </w:p>
    <w:p>
      <w:pPr>
        <w:pageBreakBefore w:val="true"/>
      </w:pPr>
    </w:p>
    <w:p>
      <w:pPr>
        <w:pStyle w:val="83983d9c"/>
        <w:rPr>
          <w:rFonts w:ascii="仿宋" w:hAnsi="仿宋" w:eastAsia="仿宋"/>
          <w:sz w:val="32"/>
          <w:szCs w:val="32"/>
        </w:rPr>
      </w:pPr>
    </w:p>
    <w:p>
      <w:pPr>
        <w:pStyle w:val="83983d9c"/>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83983d9c"/>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泉财农指〔2024〕53号，2024年泉州市级财政现代林业经济专项资金（第一批）：林业保障性苗圃</w:t>
      </w:r>
      <w:r>
        <w:rPr>
          <w:rFonts w:hint="eastAsia" w:ascii="仿宋" w:hAnsi="仿宋" w:eastAsia="仿宋"/>
          <w:sz w:val="32"/>
          <w:szCs w:val="32"/>
        </w:rPr>
        <w:t>）</w:t>
      </w:r>
    </w:p>
    <w:p>
      <w:pPr>
        <w:pStyle w:val="83983d9c"/>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83983d9c"/>
        <w:ind w:firstLine="643" w:firstLineChars="200"/>
        <w:rPr>
          <w:rFonts w:ascii="仿宋" w:hAnsi="仿宋" w:eastAsia="仿宋"/>
          <w:sz w:val="32"/>
          <w:szCs w:val="32"/>
        </w:rPr>
      </w:pPr>
      <w:r>
        <w:rPr>
          <w:rFonts w:hint="eastAsia" w:ascii="仿宋" w:hAnsi="仿宋" w:eastAsia="仿宋"/>
          <w:b/>
          <w:sz w:val="32"/>
          <w:szCs w:val="32"/>
        </w:rPr>
        <w:t>（一）项目概况</w:t>
      </w:r>
    </w:p>
    <w:p>
      <w:pPr>
        <w:pStyle w:val="83983d9c"/>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83983d9c"/>
        <w:ind w:firstLine="643" w:firstLineChars="200"/>
        <w:rPr>
          <w:rFonts w:ascii="仿宋" w:hAnsi="仿宋" w:eastAsia="仿宋"/>
          <w:sz w:val="32"/>
          <w:szCs w:val="32"/>
        </w:rPr>
      </w:pPr>
      <w:r>
        <w:rPr>
          <w:rFonts w:hint="eastAsia" w:ascii="仿宋" w:hAnsi="仿宋" w:eastAsia="仿宋"/>
          <w:b/>
          <w:sz w:val="32"/>
          <w:szCs w:val="32"/>
        </w:rPr>
        <w:t>（二）主要成效</w:t>
      </w:r>
    </w:p>
    <w:p>
      <w:pPr>
        <w:pStyle w:val="83983d9c"/>
        <w:ind w:firstLine="1472" w:firstLineChars="460"/>
        <w:rPr>
          <w:rFonts w:ascii="仿宋" w:hAnsi="仿宋" w:eastAsia="仿宋"/>
          <w:sz w:val="32"/>
          <w:szCs w:val="32"/>
        </w:rPr>
      </w:pPr>
    </w:p>
    <w:p>
      <w:pPr>
        <w:pStyle w:val="83983d9c"/>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83983d9c"/>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80分，等级为良，设置绩效目标6个，实际完成5个，具体情况如下：</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sz w:val="32"/>
        </w:rPr>
        <w:t>1)补助资金</w:t>
      </w:r>
      <w:r>
        <w:rPr>
          <w:rFonts w:ascii="仿宋" w:hAnsi="仿宋" w:eastAsia="仿宋" w:cs="仿宋"/>
          <w:sz w:val="32"/>
        </w:rPr>
        <w:t>(万元)，目标值20，完成值0，分值10，得分10</w:t>
      </w:r>
      <w:r>
        <w:rPr>
          <w:rFonts w:hint="eastAsia" w:ascii="仿宋" w:hAnsi="仿宋" w:eastAsia="仿宋"/>
          <w:sz w:val="32"/>
          <w:szCs w:val="32"/>
        </w:rPr>
        <w:t>。</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sz w:val="32"/>
        </w:rPr>
        <w:t>1)绿化苗木基地数量</w:t>
      </w:r>
      <w:r>
        <w:rPr>
          <w:rFonts w:ascii="仿宋" w:hAnsi="仿宋" w:eastAsia="仿宋" w:cs="仿宋"/>
          <w:sz w:val="32"/>
        </w:rPr>
        <w:t>(个)，目标值1，完成值0，分值10，得分0</w:t>
      </w:r>
      <w:r>
        <w:rPr>
          <w:rFonts w:hint="eastAsia" w:ascii="仿宋" w:hAnsi="仿宋" w:eastAsia="仿宋"/>
          <w:sz w:val="32"/>
          <w:szCs w:val="32"/>
        </w:rPr>
        <w:t>。</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sz w:val="32"/>
        </w:rPr>
        <w:t>1)苗木质量合格率</w:t>
      </w:r>
      <w:r>
        <w:rPr>
          <w:rFonts w:ascii="仿宋" w:hAnsi="仿宋" w:eastAsia="仿宋" w:cs="仿宋"/>
          <w:sz w:val="32"/>
        </w:rPr>
        <w:t>(%)，目标值90，完成值90，分值10，得分10</w:t>
      </w:r>
      <w:r>
        <w:rPr>
          <w:rFonts w:hint="eastAsia" w:ascii="仿宋" w:hAnsi="仿宋" w:eastAsia="仿宋"/>
          <w:sz w:val="32"/>
          <w:szCs w:val="32"/>
        </w:rPr>
        <w:t>。</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sz w:val="32"/>
        </w:rPr>
        <w:t>1)项目推进</w:t>
      </w:r>
      <w:r>
        <w:rPr>
          <w:rFonts w:ascii="仿宋" w:hAnsi="仿宋" w:eastAsia="仿宋" w:cs="仿宋"/>
          <w:sz w:val="32"/>
        </w:rPr>
        <w:t>(无)，目标值有序推进，完成值有序推进，分值20，得分20</w:t>
      </w:r>
      <w:r>
        <w:rPr>
          <w:rFonts w:hint="eastAsia" w:ascii="仿宋" w:hAnsi="仿宋" w:eastAsia="仿宋"/>
          <w:sz w:val="32"/>
          <w:szCs w:val="32"/>
        </w:rPr>
        <w:t>。</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sz w:val="32"/>
        </w:rPr>
        <w:t>1)增加收入</w:t>
      </w:r>
      <w:r>
        <w:rPr>
          <w:rFonts w:ascii="仿宋" w:hAnsi="仿宋" w:eastAsia="仿宋" w:cs="仿宋"/>
          <w:sz w:val="32"/>
        </w:rPr>
        <w:t>(无)，目标值逐步增加，完成值逐步增加，分值30，得分30</w:t>
      </w:r>
      <w:r>
        <w:rPr>
          <w:rFonts w:hint="eastAsia" w:ascii="仿宋" w:hAnsi="仿宋" w:eastAsia="仿宋"/>
          <w:sz w:val="32"/>
          <w:szCs w:val="32"/>
        </w:rPr>
        <w:t>。</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83983d9c"/>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(%)，目标值90，完成值90，分值10，得分10</w:t>
      </w:r>
      <w:r>
        <w:rPr>
          <w:rFonts w:hint="eastAsia" w:ascii="仿宋" w:hAnsi="仿宋" w:eastAsia="仿宋"/>
          <w:sz w:val="32"/>
          <w:szCs w:val="32"/>
        </w:rPr>
        <w:t>。</w:t>
      </w:r>
    </w:p>
    <w:p>
      <w:pPr>
        <w:pStyle w:val="83983d9c"/>
        <w:tabs>
          <w:tab w:val="left" w:pos="2244"/>
        </w:tabs>
        <w:spacing w:line="620" w:lineRule="exact"/>
        <w:ind w:left="1890" w:leftChars="900"/>
        <w:rPr>
          <w:rFonts w:ascii="仿宋" w:hAnsi="仿宋" w:eastAsia="仿宋"/>
          <w:b/>
          <w:color w:val="FF0000"/>
          <w:sz w:val="32"/>
          <w:szCs w:val="32"/>
        </w:rPr>
      </w:pPr>
    </w:p>
    <w:p>
      <w:pPr>
        <w:pStyle w:val="83983d9c"/>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83983d9c"/>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83983d9c"/>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根据上级文件规定，当年已获得中央、省级或上年获得市级同类财政补助的，原则上不予安排市级补助资金（市级应配套资金除外），因溪美琼玉苗圃场在2023年已实施过林业保障性苗圃项目，故我市2024年未实施该项目，将项目补助资金20万元结转至2025年使用。</w:t>
      </w:r>
    </w:p>
    <w:p>
      <w:pPr>
        <w:pStyle w:val="83983d9c"/>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83983d9c"/>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根据上级文件规定，当年已获得中央、省级或上年获得市级同类财政补助的，原则上不予安排市级补助资金（市级应配套资金除外），因溪美琼玉苗圃场在2023年已实施过林业保障性苗圃项目，故我市2024年未实施该项目，将项目补助资金20万元结转至2025年使用。目前，该项目仍在建设中。</w:t>
      </w:r>
    </w:p>
    <w:p>
      <w:pPr>
        <w:pStyle w:val="83983d9c"/>
        <w:ind w:left="840" w:firstLine="420"/>
        <w:sectPr>
          <w:type w:val="continuous"/>
          <w:pgSz w:w="11907" w:h="16840"/>
        </w:sectPr>
      </w:pPr>
    </w:p>
    <w:p>
      <w:pPr>
        <w:pageBreakBefore w:val="true"/>
      </w:pPr>
    </w:p>
    <w:p>
      <w:pPr>
        <w:pStyle w:val="3d5ba637"/>
        <w:rPr>
          <w:rFonts w:ascii="仿宋" w:hAnsi="仿宋" w:eastAsia="仿宋"/>
          <w:sz w:val="32"/>
          <w:szCs w:val="32"/>
        </w:rPr>
      </w:pPr>
    </w:p>
    <w:p>
      <w:pPr>
        <w:pStyle w:val="3d5ba637"/>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3d5ba637"/>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泉财农指〔2024〕101号，2024年泉州市级财政现代林业经济专项资金（第二批）：现代油茶竹林24万元（油茶抚育含绿色栽培21万元、竹林抚育3万元）</w:t>
      </w:r>
      <w:r>
        <w:rPr>
          <w:rFonts w:hint="eastAsia" w:ascii="仿宋" w:hAnsi="仿宋" w:eastAsia="仿宋"/>
          <w:sz w:val="32"/>
          <w:szCs w:val="32"/>
        </w:rPr>
        <w:t>）</w:t>
      </w:r>
    </w:p>
    <w:p>
      <w:pPr>
        <w:pStyle w:val="3d5ba637"/>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3d5ba637"/>
        <w:ind w:firstLine="643" w:firstLineChars="200"/>
        <w:rPr>
          <w:rFonts w:ascii="仿宋" w:hAnsi="仿宋" w:eastAsia="仿宋"/>
          <w:sz w:val="32"/>
          <w:szCs w:val="32"/>
        </w:rPr>
      </w:pPr>
      <w:r>
        <w:rPr>
          <w:rFonts w:hint="eastAsia" w:ascii="仿宋" w:hAnsi="仿宋" w:eastAsia="仿宋"/>
          <w:b/>
          <w:sz w:val="32"/>
          <w:szCs w:val="32"/>
        </w:rPr>
        <w:t>（一）项目概况</w:t>
      </w:r>
    </w:p>
    <w:p>
      <w:pPr>
        <w:pStyle w:val="3d5ba637"/>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3d5ba637"/>
        <w:ind w:firstLine="643" w:firstLineChars="200"/>
        <w:rPr>
          <w:rFonts w:ascii="仿宋" w:hAnsi="仿宋" w:eastAsia="仿宋"/>
          <w:sz w:val="32"/>
          <w:szCs w:val="32"/>
        </w:rPr>
      </w:pPr>
      <w:r>
        <w:rPr>
          <w:rFonts w:hint="eastAsia" w:ascii="仿宋" w:hAnsi="仿宋" w:eastAsia="仿宋"/>
          <w:b/>
          <w:sz w:val="32"/>
          <w:szCs w:val="32"/>
        </w:rPr>
        <w:t>（二）主要成效</w:t>
      </w:r>
    </w:p>
    <w:p>
      <w:pPr>
        <w:pStyle w:val="3d5ba637"/>
        <w:ind w:firstLine="1472" w:firstLineChars="460"/>
        <w:rPr>
          <w:rFonts w:ascii="仿宋" w:hAnsi="仿宋" w:eastAsia="仿宋"/>
          <w:sz w:val="32"/>
          <w:szCs w:val="32"/>
        </w:rPr>
      </w:pPr>
    </w:p>
    <w:p>
      <w:pPr>
        <w:pStyle w:val="3d5ba637"/>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3d5ba637"/>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80分，等级为良，设置绩效目标6个，实际完成5个，具体情况如下：</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sz w:val="32"/>
        </w:rPr>
        <w:t>1)财政投入资金</w:t>
      </w:r>
      <w:r>
        <w:rPr>
          <w:rFonts w:ascii="仿宋" w:hAnsi="仿宋" w:eastAsia="仿宋" w:cs="仿宋"/>
          <w:sz w:val="32"/>
        </w:rPr>
        <w:t>(万元)，目标值25，完成值0，分值10，得分0</w:t>
      </w:r>
      <w:r>
        <w:rPr>
          <w:rFonts w:hint="eastAsia" w:ascii="仿宋" w:hAnsi="仿宋" w:eastAsia="仿宋"/>
          <w:sz w:val="32"/>
          <w:szCs w:val="32"/>
        </w:rPr>
        <w:t>。</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sz w:val="32"/>
        </w:rPr>
        <w:t>1)设施油茶、竹林（亩）</w:t>
      </w:r>
      <w:r>
        <w:rPr>
          <w:rFonts w:ascii="仿宋" w:hAnsi="仿宋" w:eastAsia="仿宋" w:cs="仿宋"/>
          <w:sz w:val="32"/>
        </w:rPr>
        <w:t>(亩)，目标值1600，完成值1600，分值20，得分20</w:t>
      </w:r>
      <w:r>
        <w:rPr>
          <w:rFonts w:hint="eastAsia" w:ascii="仿宋" w:hAnsi="仿宋" w:eastAsia="仿宋"/>
          <w:sz w:val="32"/>
          <w:szCs w:val="32"/>
        </w:rPr>
        <w:t>。</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sz w:val="32"/>
        </w:rPr>
        <w:t>1)实用林产品质量监测</w:t>
      </w:r>
      <w:r>
        <w:rPr>
          <w:rFonts w:ascii="仿宋" w:hAnsi="仿宋" w:eastAsia="仿宋" w:cs="仿宋"/>
          <w:sz w:val="32"/>
        </w:rPr>
        <w:t>(无)，目标值完成，完成值完成，分值10，得分10</w:t>
      </w:r>
      <w:r>
        <w:rPr>
          <w:rFonts w:hint="eastAsia" w:ascii="仿宋" w:hAnsi="仿宋" w:eastAsia="仿宋"/>
          <w:sz w:val="32"/>
          <w:szCs w:val="32"/>
        </w:rPr>
        <w:t>。</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sz w:val="32"/>
        </w:rPr>
        <w:t>1)项目建设情况</w:t>
      </w:r>
      <w:r>
        <w:rPr>
          <w:rFonts w:ascii="仿宋" w:hAnsi="仿宋" w:eastAsia="仿宋" w:cs="仿宋"/>
          <w:sz w:val="32"/>
        </w:rPr>
        <w:t>(无)，目标值有序推进，完成值有序推进，分值10，得分10</w:t>
      </w:r>
      <w:r>
        <w:rPr>
          <w:rFonts w:hint="eastAsia" w:ascii="仿宋" w:hAnsi="仿宋" w:eastAsia="仿宋"/>
          <w:sz w:val="32"/>
          <w:szCs w:val="32"/>
        </w:rPr>
        <w:t>。</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sz w:val="32"/>
        </w:rPr>
        <w:t>1)增加企业收入</w:t>
      </w:r>
      <w:r>
        <w:rPr>
          <w:rFonts w:ascii="仿宋" w:hAnsi="仿宋" w:eastAsia="仿宋" w:cs="仿宋"/>
          <w:sz w:val="32"/>
        </w:rPr>
        <w:t>(无)，目标值逐步增加，完成值逐步增加，分值30，得分30</w:t>
      </w:r>
      <w:r>
        <w:rPr>
          <w:rFonts w:hint="eastAsia" w:ascii="仿宋" w:hAnsi="仿宋" w:eastAsia="仿宋"/>
          <w:sz w:val="32"/>
          <w:szCs w:val="32"/>
        </w:rPr>
        <w:t>。</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3d5ba637"/>
        <w:spacing w:line="620" w:lineRule="exact"/>
        <w:ind w:left="420" w:leftChars="200"/>
        <w:rPr>
          <w:rFonts w:ascii="仿宋" w:hAnsi="仿宋" w:eastAsia="仿宋"/>
          <w:sz w:val="32"/>
          <w:szCs w:val="32"/>
        </w:rPr>
      </w:pPr>
      <w:r>
        <w:rPr>
          <w:rFonts w:ascii="仿宋_GB2312" w:hAnsi="仿宋_GB2312" w:eastAsia="仿宋_GB2312" w:cs="仿宋_GB2312"/>
          <w:sz w:val="32"/>
        </w:rPr>
        <w:t>1)</w:t>
      </w:r>
      <w:r>
        <w:rPr>
          <w:rFonts w:ascii="仿宋_GB2312" w:hAnsi="仿宋_GB2312" w:eastAsia="仿宋_GB2312" w:cs="仿宋_GB2312"/>
          <w:sz w:val="32"/>
        </w:rPr>
        <w:tab/>
      </w:r>
      <w:r>
        <w:rPr>
          <w:rFonts w:ascii="仿宋_GB2312" w:hAnsi="仿宋_GB2312" w:eastAsia="仿宋_GB2312" w:cs="仿宋_GB2312"/>
          <w:sz w:val="32"/>
        </w:rPr>
        <w:cr/>
      </w:r>
      <w:r>
        <w:rPr>
          <w:rFonts w:ascii="仿宋_GB2312" w:hAnsi="仿宋_GB2312" w:eastAsia="仿宋_GB2312" w:cs="仿宋_GB2312"/>
          <w:sz w:val="32"/>
        </w:rPr>
        <w:t>服务对象满意度</w:t>
      </w:r>
      <w:r>
        <w:rPr>
          <w:rFonts w:ascii="仿宋" w:hAnsi="仿宋" w:eastAsia="仿宋" w:cs="仿宋"/>
          <w:sz w:val="32"/>
        </w:rPr>
        <w:t>(%)，目标值90，完成值90，分值10，得分10</w:t>
      </w:r>
      <w:r>
        <w:rPr>
          <w:rFonts w:hint="eastAsia" w:ascii="仿宋" w:hAnsi="仿宋" w:eastAsia="仿宋"/>
          <w:sz w:val="32"/>
          <w:szCs w:val="32"/>
        </w:rPr>
        <w:t>。</w:t>
      </w:r>
    </w:p>
    <w:p>
      <w:pPr>
        <w:pStyle w:val="3d5ba637"/>
        <w:tabs>
          <w:tab w:val="left" w:pos="2244"/>
        </w:tabs>
        <w:spacing w:line="620" w:lineRule="exact"/>
        <w:ind w:left="1890" w:leftChars="900"/>
        <w:rPr>
          <w:rFonts w:ascii="仿宋" w:hAnsi="仿宋" w:eastAsia="仿宋"/>
          <w:b/>
          <w:color w:val="FF0000"/>
          <w:sz w:val="32"/>
          <w:szCs w:val="32"/>
        </w:rPr>
      </w:pPr>
    </w:p>
    <w:p>
      <w:pPr>
        <w:pStyle w:val="3d5ba637"/>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3d5ba637"/>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3d5ba637"/>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一是实施单位工作推进缓慢，二是项目补助资金标准低，企业积极性不高。</w:t>
      </w:r>
    </w:p>
    <w:p>
      <w:pPr>
        <w:pStyle w:val="3d5ba637"/>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3d5ba637"/>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一是加大督促实施单位工作进度，提高工作效率，二是加强与上级及财政部门的沟通协调，努力争取提高项目补助资金标准，鼓励企业积极完成建设。</w:t>
      </w:r>
    </w:p>
    <w:p>
      <w:pPr>
        <w:pStyle w:val="3d5ba637"/>
        <w:ind w:left="840" w:firstLine="420"/>
        <w:sectPr>
          <w:type w:val="continuous"/>
          <w:pgSz w:w="11907" w:h="16840"/>
        </w:sectPr>
      </w:pPr>
    </w:p>
    <w:p>
      <w:pPr>
        <w:pageBreakBefore w:val="true"/>
      </w:pPr>
    </w:p>
    <w:p>
      <w:pPr>
        <w:pStyle w:val="9f99f299"/>
        <w:rPr>
          <w:rFonts w:ascii="仿宋" w:hAnsi="仿宋" w:eastAsia="仿宋"/>
          <w:sz w:val="32"/>
          <w:szCs w:val="32"/>
        </w:rPr>
      </w:pPr>
    </w:p>
    <w:p>
      <w:pPr>
        <w:pStyle w:val="9f99f299"/>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bookmarkStart w:id="0" w:name="_GoBack"/>
      <w:bookmarkEnd w:id="0"/>
      <w:r>
        <w:rPr>
          <w:rFonts w:ascii="宋体" w:hAnsi="宋体" w:eastAsia="宋体" w:cs="宋体"/>
          <w:b/>
          <w:sz w:val="44"/>
        </w:rPr>
        <w:t>报告</w:t>
      </w:r>
    </w:p>
    <w:p>
      <w:pPr>
        <w:pStyle w:val="9f99f299"/>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2021结转-基本支出1</w:t>
      </w:r>
      <w:r>
        <w:rPr>
          <w:rFonts w:hint="eastAsia" w:ascii="仿宋" w:hAnsi="仿宋" w:eastAsia="仿宋"/>
          <w:sz w:val="32"/>
          <w:szCs w:val="32"/>
        </w:rPr>
        <w:t>）</w:t>
      </w:r>
    </w:p>
    <w:p>
      <w:pPr>
        <w:pStyle w:val="9f99f299"/>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9f99f299"/>
        <w:ind w:firstLine="643" w:firstLineChars="200"/>
        <w:rPr>
          <w:rFonts w:ascii="仿宋" w:hAnsi="仿宋" w:eastAsia="仿宋"/>
          <w:sz w:val="32"/>
          <w:szCs w:val="32"/>
        </w:rPr>
      </w:pPr>
      <w:r>
        <w:rPr>
          <w:rFonts w:hint="eastAsia" w:ascii="仿宋" w:hAnsi="仿宋" w:eastAsia="仿宋"/>
          <w:b/>
          <w:sz w:val="32"/>
          <w:szCs w:val="32"/>
        </w:rPr>
        <w:t>（一）项目概况</w:t>
      </w:r>
    </w:p>
    <w:p>
      <w:pPr>
        <w:pStyle w:val="9f99f299"/>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9f99f299"/>
        <w:ind w:firstLine="643" w:firstLineChars="200"/>
        <w:rPr>
          <w:rFonts w:ascii="仿宋" w:hAnsi="仿宋" w:eastAsia="仿宋"/>
          <w:sz w:val="32"/>
          <w:szCs w:val="32"/>
        </w:rPr>
      </w:pPr>
      <w:r>
        <w:rPr>
          <w:rFonts w:hint="eastAsia" w:ascii="仿宋" w:hAnsi="仿宋" w:eastAsia="仿宋"/>
          <w:b/>
          <w:sz w:val="32"/>
          <w:szCs w:val="32"/>
        </w:rPr>
        <w:t>（二）主要成效</w:t>
      </w:r>
    </w:p>
    <w:p>
      <w:pPr>
        <w:pStyle w:val="9f99f299"/>
        <w:ind w:firstLine="1472" w:firstLineChars="460"/>
        <w:rPr>
          <w:rFonts w:ascii="仿宋" w:hAnsi="仿宋" w:eastAsia="仿宋"/>
          <w:sz w:val="32"/>
          <w:szCs w:val="32"/>
        </w:rPr>
      </w:pPr>
    </w:p>
    <w:p>
      <w:pPr>
        <w:pStyle w:val="9f99f299"/>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9f99f299"/>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80分，等级为良，设置绩效目标6个，实际完成5个，具体情况如下：</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sz w:val="32"/>
        </w:rPr>
        <w:t>1)2021结转-基本支出1</w:t>
      </w:r>
      <w:r>
        <w:rPr>
          <w:rFonts w:ascii="仿宋" w:hAnsi="仿宋" w:eastAsia="仿宋" w:cs="仿宋"/>
          <w:sz w:val="32"/>
        </w:rPr>
        <w:t>(元)，目标值187，完成值187，分值10，得分10</w:t>
      </w:r>
      <w:r>
        <w:rPr>
          <w:rFonts w:hint="eastAsia" w:ascii="仿宋" w:hAnsi="仿宋" w:eastAsia="仿宋"/>
          <w:sz w:val="32"/>
          <w:szCs w:val="32"/>
        </w:rPr>
        <w:t>。</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sz w:val="32"/>
        </w:rPr>
        <w:t>1)2021结转-基本支出1</w:t>
      </w:r>
      <w:r>
        <w:rPr>
          <w:rFonts w:ascii="仿宋" w:hAnsi="仿宋" w:eastAsia="仿宋" w:cs="仿宋"/>
          <w:sz w:val="32"/>
        </w:rPr>
        <w:t>(元)，目标值187，完成值187.0000，分值20，得分20</w:t>
      </w:r>
      <w:r>
        <w:rPr>
          <w:rFonts w:hint="eastAsia" w:ascii="仿宋" w:hAnsi="仿宋" w:eastAsia="仿宋"/>
          <w:sz w:val="32"/>
          <w:szCs w:val="32"/>
        </w:rPr>
        <w:t>。</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sz w:val="32"/>
        </w:rPr>
        <w:t>1)是否年度结转</w:t>
      </w:r>
      <w:r>
        <w:rPr>
          <w:rFonts w:ascii="仿宋" w:hAnsi="仿宋" w:eastAsia="仿宋" w:cs="仿宋"/>
          <w:sz w:val="32"/>
        </w:rPr>
        <w:t>(无)，目标值是，完成值是，分值10，得分10</w:t>
      </w:r>
      <w:r>
        <w:rPr>
          <w:rFonts w:hint="eastAsia" w:ascii="仿宋" w:hAnsi="仿宋" w:eastAsia="仿宋"/>
          <w:sz w:val="32"/>
          <w:szCs w:val="32"/>
        </w:rPr>
        <w:t>。</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sz w:val="32"/>
        </w:rPr>
        <w:t>1)年度决算（年/次）</w:t>
      </w:r>
      <w:r>
        <w:rPr>
          <w:rFonts w:ascii="仿宋" w:hAnsi="仿宋" w:eastAsia="仿宋" w:cs="仿宋"/>
          <w:sz w:val="32"/>
        </w:rPr>
        <w:t>(年/次)，目标值1，完成值1，分值10，得分10</w:t>
      </w:r>
      <w:r>
        <w:rPr>
          <w:rFonts w:hint="eastAsia" w:ascii="仿宋" w:hAnsi="仿宋" w:eastAsia="仿宋"/>
          <w:sz w:val="32"/>
          <w:szCs w:val="32"/>
        </w:rPr>
        <w:t>。</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sz w:val="32"/>
        </w:rPr>
        <w:t>1)完成决算</w:t>
      </w:r>
      <w:r>
        <w:rPr>
          <w:rFonts w:ascii="仿宋" w:hAnsi="仿宋" w:eastAsia="仿宋" w:cs="仿宋"/>
          <w:sz w:val="32"/>
        </w:rPr>
        <w:t>(否)，目标值是，完成值是，分值30，得分30</w:t>
      </w:r>
      <w:r>
        <w:rPr>
          <w:rFonts w:hint="eastAsia" w:ascii="仿宋" w:hAnsi="仿宋" w:eastAsia="仿宋"/>
          <w:sz w:val="32"/>
          <w:szCs w:val="32"/>
        </w:rPr>
        <w:t>。</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9f99f299"/>
        <w:spacing w:line="620" w:lineRule="exact"/>
        <w:ind w:left="420" w:leftChars="200"/>
        <w:rPr>
          <w:rFonts w:ascii="仿宋" w:hAnsi="仿宋" w:eastAsia="仿宋"/>
          <w:sz w:val="32"/>
          <w:szCs w:val="32"/>
        </w:rPr>
      </w:pPr>
      <w:r>
        <w:rPr>
          <w:rFonts w:ascii="仿宋_GB2312" w:hAnsi="仿宋_GB2312" w:eastAsia="仿宋_GB2312" w:cs="仿宋_GB2312"/>
          <w:sz w:val="32"/>
        </w:rPr>
        <w:t>1)满意度</w:t>
      </w:r>
      <w:r>
        <w:rPr>
          <w:rFonts w:ascii="仿宋" w:hAnsi="仿宋" w:eastAsia="仿宋" w:cs="仿宋"/>
          <w:sz w:val="32"/>
        </w:rPr>
        <w:t>(%)，目标值90，完成值90，分值10，得分0</w:t>
      </w:r>
      <w:r>
        <w:rPr>
          <w:rFonts w:hint="eastAsia" w:ascii="仿宋" w:hAnsi="仿宋" w:eastAsia="仿宋"/>
          <w:sz w:val="32"/>
          <w:szCs w:val="32"/>
        </w:rPr>
        <w:t>。</w:t>
      </w:r>
    </w:p>
    <w:p>
      <w:pPr>
        <w:pStyle w:val="9f99f299"/>
        <w:tabs>
          <w:tab w:val="left" w:pos="2244"/>
        </w:tabs>
        <w:spacing w:line="620" w:lineRule="exact"/>
        <w:ind w:left="1890" w:leftChars="900"/>
        <w:rPr>
          <w:rFonts w:ascii="仿宋" w:hAnsi="仿宋" w:eastAsia="仿宋"/>
          <w:b/>
          <w:color w:val="FF0000"/>
          <w:sz w:val="32"/>
          <w:szCs w:val="32"/>
        </w:rPr>
      </w:pPr>
    </w:p>
    <w:p>
      <w:pPr>
        <w:pStyle w:val="9f99f299"/>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9f99f299"/>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9f99f299"/>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该笔资金系2021结转-基本支出1，属于历史遗留下来的款项结余，每年度进行结转，建议财政部进行收回处理。</w:t>
      </w:r>
    </w:p>
    <w:p>
      <w:pPr>
        <w:pStyle w:val="9f99f299"/>
        <w:spacing w:line="620" w:lineRule="exact"/>
        <w:ind w:left="840" w:leftChars="400" w:firstLine="420"/>
        <w:rPr>
          <w:rFonts w:ascii="仿宋" w:hAnsi="仿宋" w:eastAsia="仿宋"/>
          <w:sz w:val="32"/>
          <w:szCs w:val="32"/>
        </w:rPr>
      </w:pPr>
      <w:r>
        <w:rPr>
          <w:rFonts w:hint="eastAsia" w:ascii="仿宋" w:hAnsi="仿宋" w:eastAsia="仿宋"/>
          <w:sz w:val="32"/>
          <w:szCs w:val="32"/>
        </w:rPr>
        <w:t>2</w:t>
      </w:r>
      <w:r>
        <w:rPr>
          <w:rFonts w:ascii="仿宋" w:hAnsi="仿宋" w:eastAsia="仿宋" w:cs="仿宋"/>
          <w:sz w:val="32"/>
        </w:rPr>
        <w:t>. 该笔资金系2021结转-基本支出1，属于历史遗留下来的款项结余，每年度进行结转，建议财政部进行收回处理</w:t>
      </w:r>
    </w:p>
    <w:p>
      <w:pPr>
        <w:pStyle w:val="9f99f299"/>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9f99f299"/>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该笔资金系2021结转-基本支出1，属于历史遗留下来的款项结余，每年度进行结转，建议财政部进行收回处理。</w:t>
      </w:r>
    </w:p>
    <w:p>
      <w:pPr>
        <w:pStyle w:val="9f99f299"/>
        <w:spacing w:line="620" w:lineRule="exact"/>
        <w:ind w:left="840" w:leftChars="400" w:firstLine="420"/>
        <w:rPr>
          <w:rFonts w:ascii="仿宋" w:hAnsi="仿宋" w:eastAsia="仿宋"/>
          <w:sz w:val="32"/>
          <w:szCs w:val="32"/>
        </w:rPr>
      </w:pPr>
      <w:r>
        <w:rPr>
          <w:rFonts w:hint="eastAsia" w:ascii="仿宋" w:hAnsi="仿宋" w:eastAsia="仿宋"/>
          <w:sz w:val="32"/>
          <w:szCs w:val="32"/>
        </w:rPr>
        <w:t>2</w:t>
      </w:r>
      <w:r>
        <w:rPr>
          <w:rFonts w:ascii="仿宋" w:hAnsi="仿宋" w:eastAsia="仿宋" w:cs="仿宋"/>
          <w:sz w:val="32"/>
        </w:rPr>
        <w:t>. 该笔资金系2021结转-基本支出1，属于历史遗留下来的款项结余，每年度进行结转，建议财政部进行收回处理</w:t>
      </w:r>
    </w:p>
    <w:p>
      <w:pPr>
        <w:pStyle w:val="9f99f299"/>
        <w:ind w:left="840" w:firstLine="420"/>
        <w:sectPr>
          <w:type w:val="continuous"/>
          <w:pgSz w:w="11907" w:h="16840"/>
        </w:sectPr>
      </w:pPr>
    </w:p>
    <w:p>
      <w:pPr>
        <w:pageBreakBefore w:val="true"/>
      </w:pPr>
    </w:p>
    <w:p>
      <w:pPr>
        <w:pStyle w:val="1df915f7"/>
        <w:rPr>
          <w:rFonts w:ascii="仿宋" w:hAnsi="仿宋" w:eastAsia="仿宋"/>
          <w:sz w:val="32"/>
          <w:szCs w:val="32"/>
        </w:rPr>
      </w:pPr>
    </w:p>
    <w:p>
      <w:pPr>
        <w:pStyle w:val="1df915f7"/>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1df915f7"/>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泉财指标〔2023〕880号，2023年泉州市级财政森林资源培育与管护专项资金（第二批）：林业生态保护——新建生物防火阻隔带60万元</w:t>
      </w:r>
      <w:r>
        <w:rPr>
          <w:rFonts w:hint="eastAsia" w:ascii="仿宋" w:hAnsi="仿宋" w:eastAsia="仿宋"/>
          <w:sz w:val="32"/>
          <w:szCs w:val="32"/>
        </w:rPr>
        <w:t>）</w:t>
      </w:r>
    </w:p>
    <w:p>
      <w:pPr>
        <w:pStyle w:val="1df915f7"/>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1df915f7"/>
        <w:ind w:firstLine="643" w:firstLineChars="200"/>
        <w:rPr>
          <w:rFonts w:ascii="仿宋" w:hAnsi="仿宋" w:eastAsia="仿宋"/>
          <w:sz w:val="32"/>
          <w:szCs w:val="32"/>
        </w:rPr>
      </w:pPr>
      <w:r>
        <w:rPr>
          <w:rFonts w:hint="eastAsia" w:ascii="仿宋" w:hAnsi="仿宋" w:eastAsia="仿宋"/>
          <w:b/>
          <w:sz w:val="32"/>
          <w:szCs w:val="32"/>
        </w:rPr>
        <w:t>（一）项目概况</w:t>
      </w:r>
    </w:p>
    <w:p>
      <w:pPr>
        <w:pStyle w:val="1df915f7"/>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1df915f7"/>
        <w:ind w:firstLine="643" w:firstLineChars="200"/>
        <w:rPr>
          <w:rFonts w:ascii="仿宋" w:hAnsi="仿宋" w:eastAsia="仿宋"/>
          <w:sz w:val="32"/>
          <w:szCs w:val="32"/>
        </w:rPr>
      </w:pPr>
      <w:r>
        <w:rPr>
          <w:rFonts w:hint="eastAsia" w:ascii="仿宋" w:hAnsi="仿宋" w:eastAsia="仿宋"/>
          <w:b/>
          <w:sz w:val="32"/>
          <w:szCs w:val="32"/>
        </w:rPr>
        <w:t>（二）主要成效</w:t>
      </w:r>
    </w:p>
    <w:p>
      <w:pPr>
        <w:pStyle w:val="1df915f7"/>
        <w:ind w:firstLine="1472" w:firstLineChars="460"/>
        <w:rPr>
          <w:rFonts w:ascii="仿宋" w:hAnsi="仿宋" w:eastAsia="仿宋"/>
          <w:sz w:val="32"/>
          <w:szCs w:val="32"/>
        </w:rPr>
      </w:pPr>
    </w:p>
    <w:p>
      <w:pPr>
        <w:pStyle w:val="1df915f7"/>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1df915f7"/>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80分，等级为良，设置绩效目标6个，实际完成5个，具体情况如下：</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sz w:val="32"/>
        </w:rPr>
        <w:t>1)财政投入资金</w:t>
      </w:r>
      <w:r>
        <w:rPr>
          <w:rFonts w:ascii="仿宋" w:hAnsi="仿宋" w:eastAsia="仿宋" w:cs="仿宋"/>
          <w:sz w:val="32"/>
        </w:rPr>
        <w:t>(万元)，目标值60，完成值0，分值10，得分0</w:t>
      </w:r>
      <w:r>
        <w:rPr>
          <w:rFonts w:hint="eastAsia" w:ascii="仿宋" w:hAnsi="仿宋" w:eastAsia="仿宋"/>
          <w:sz w:val="32"/>
          <w:szCs w:val="32"/>
        </w:rPr>
        <w:t>。</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sz w:val="32"/>
        </w:rPr>
        <w:t>1)新建工程阻隔带（亩）</w:t>
      </w:r>
      <w:r>
        <w:rPr>
          <w:rFonts w:ascii="仿宋" w:hAnsi="仿宋" w:eastAsia="仿宋" w:cs="仿宋"/>
          <w:sz w:val="32"/>
        </w:rPr>
        <w:t>(亩)，目标值240，完成值240，分值20，得分20</w:t>
      </w:r>
      <w:r>
        <w:rPr>
          <w:rFonts w:hint="eastAsia" w:ascii="仿宋" w:hAnsi="仿宋" w:eastAsia="仿宋"/>
          <w:sz w:val="32"/>
          <w:szCs w:val="32"/>
        </w:rPr>
        <w:t>。</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sz w:val="32"/>
        </w:rPr>
        <w:t>1)提升森林火灾防控能力</w:t>
      </w:r>
      <w:r>
        <w:rPr>
          <w:rFonts w:ascii="仿宋" w:hAnsi="仿宋" w:eastAsia="仿宋" w:cs="仿宋"/>
          <w:sz w:val="32"/>
        </w:rPr>
        <w:t>(无)，目标值有效提升，完成值有效提升，分值10，得分10</w:t>
      </w:r>
      <w:r>
        <w:rPr>
          <w:rFonts w:hint="eastAsia" w:ascii="仿宋" w:hAnsi="仿宋" w:eastAsia="仿宋"/>
          <w:sz w:val="32"/>
          <w:szCs w:val="32"/>
        </w:rPr>
        <w:t>。</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sz w:val="32"/>
        </w:rPr>
        <w:t>1)年度任务完成率</w:t>
      </w:r>
      <w:r>
        <w:rPr>
          <w:rFonts w:ascii="仿宋" w:hAnsi="仿宋" w:eastAsia="仿宋" w:cs="仿宋"/>
          <w:sz w:val="32"/>
        </w:rPr>
        <w:t>(%)，目标值100，完成值100，分值10，得分10</w:t>
      </w:r>
      <w:r>
        <w:rPr>
          <w:rFonts w:hint="eastAsia" w:ascii="仿宋" w:hAnsi="仿宋" w:eastAsia="仿宋"/>
          <w:sz w:val="32"/>
          <w:szCs w:val="32"/>
        </w:rPr>
        <w:t>。</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sz w:val="32"/>
        </w:rPr>
        <w:t>1)森林生态效益发挥</w:t>
      </w:r>
      <w:r>
        <w:rPr>
          <w:rFonts w:ascii="仿宋" w:hAnsi="仿宋" w:eastAsia="仿宋" w:cs="仿宋"/>
          <w:sz w:val="32"/>
        </w:rPr>
        <w:t>(无)，目标值明显，完成值明显，分值30，得分30</w:t>
      </w:r>
      <w:r>
        <w:rPr>
          <w:rFonts w:hint="eastAsia" w:ascii="仿宋" w:hAnsi="仿宋" w:eastAsia="仿宋"/>
          <w:sz w:val="32"/>
          <w:szCs w:val="32"/>
        </w:rPr>
        <w:t>。</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1df915f7"/>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w:t>
      </w:r>
      <w:r>
        <w:rPr>
          <w:rFonts w:ascii="仿宋" w:hAnsi="仿宋" w:eastAsia="仿宋" w:cs="仿宋"/>
          <w:sz w:val="32"/>
        </w:rPr>
        <w:t>(%)，目标值90，完成值90，分值10，得分10</w:t>
      </w:r>
      <w:r>
        <w:rPr>
          <w:rFonts w:hint="eastAsia" w:ascii="仿宋" w:hAnsi="仿宋" w:eastAsia="仿宋"/>
          <w:sz w:val="32"/>
          <w:szCs w:val="32"/>
        </w:rPr>
        <w:t>。</w:t>
      </w:r>
    </w:p>
    <w:p>
      <w:pPr>
        <w:pStyle w:val="1df915f7"/>
        <w:tabs>
          <w:tab w:val="left" w:pos="2244"/>
        </w:tabs>
        <w:spacing w:line="620" w:lineRule="exact"/>
        <w:ind w:left="1890" w:leftChars="900"/>
        <w:rPr>
          <w:rFonts w:ascii="仿宋" w:hAnsi="仿宋" w:eastAsia="仿宋"/>
          <w:b/>
          <w:color w:val="FF0000"/>
          <w:sz w:val="32"/>
          <w:szCs w:val="32"/>
        </w:rPr>
      </w:pPr>
    </w:p>
    <w:p>
      <w:pPr>
        <w:pStyle w:val="1df915f7"/>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1df915f7"/>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1df915f7"/>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新建生物防火阻隔带后续抚育、养护的人力、物力投入相当大，长效管护措施仍需细化。</w:t>
      </w:r>
    </w:p>
    <w:p>
      <w:pPr>
        <w:pStyle w:val="1df915f7"/>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1df915f7"/>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加大生物防火阻隔带后续抚育，细化长效管护措施，保障树种成林成带、持续发挥防火阻隔功能。</w:t>
      </w:r>
    </w:p>
    <w:p>
      <w:pPr>
        <w:pStyle w:val="1df915f7"/>
        <w:ind w:left="840" w:firstLine="420"/>
        <w:sectPr>
          <w:type w:val="continuous"/>
          <w:pgSz w:w="11907" w:h="16840"/>
        </w:sectPr>
      </w:pPr>
    </w:p>
    <w:p>
      <w:pPr>
        <w:pageBreakBefore w:val="true"/>
      </w:pPr>
    </w:p>
    <w:p>
      <w:pPr>
        <w:pStyle w:val="357dcab4"/>
        <w:rPr>
          <w:rFonts w:ascii="仿宋" w:hAnsi="仿宋" w:eastAsia="仿宋"/>
          <w:sz w:val="32"/>
          <w:szCs w:val="32"/>
        </w:rPr>
      </w:pPr>
    </w:p>
    <w:p>
      <w:pPr>
        <w:pStyle w:val="357dcab4"/>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357dcab4"/>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泉财农指〔2024〕56号，2024年泉州市级财政森林资源培育与管护专项资金（第一批）：林业生态保护——林业有害生物防治</w:t>
      </w:r>
      <w:r>
        <w:rPr>
          <w:rFonts w:hint="eastAsia" w:ascii="仿宋" w:hAnsi="仿宋" w:eastAsia="仿宋"/>
          <w:sz w:val="32"/>
          <w:szCs w:val="32"/>
        </w:rPr>
        <w:t>）</w:t>
      </w:r>
    </w:p>
    <w:p>
      <w:pPr>
        <w:pStyle w:val="357dcab4"/>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357dcab4"/>
        <w:ind w:firstLine="643" w:firstLineChars="200"/>
        <w:rPr>
          <w:rFonts w:ascii="仿宋" w:hAnsi="仿宋" w:eastAsia="仿宋"/>
          <w:sz w:val="32"/>
          <w:szCs w:val="32"/>
        </w:rPr>
      </w:pPr>
      <w:r>
        <w:rPr>
          <w:rFonts w:hint="eastAsia" w:ascii="仿宋" w:hAnsi="仿宋" w:eastAsia="仿宋"/>
          <w:b/>
          <w:sz w:val="32"/>
          <w:szCs w:val="32"/>
        </w:rPr>
        <w:t>（一）项目概况</w:t>
      </w:r>
    </w:p>
    <w:p>
      <w:pPr>
        <w:pStyle w:val="357dcab4"/>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357dcab4"/>
        <w:ind w:firstLine="643" w:firstLineChars="200"/>
        <w:rPr>
          <w:rFonts w:ascii="仿宋" w:hAnsi="仿宋" w:eastAsia="仿宋"/>
          <w:sz w:val="32"/>
          <w:szCs w:val="32"/>
        </w:rPr>
      </w:pPr>
      <w:r>
        <w:rPr>
          <w:rFonts w:hint="eastAsia" w:ascii="仿宋" w:hAnsi="仿宋" w:eastAsia="仿宋"/>
          <w:b/>
          <w:sz w:val="32"/>
          <w:szCs w:val="32"/>
        </w:rPr>
        <w:t>（二）主要成效</w:t>
      </w:r>
    </w:p>
    <w:p>
      <w:pPr>
        <w:pStyle w:val="357dcab4"/>
        <w:ind w:firstLine="1472" w:firstLineChars="460"/>
        <w:rPr>
          <w:rFonts w:ascii="仿宋" w:hAnsi="仿宋" w:eastAsia="仿宋"/>
          <w:sz w:val="32"/>
          <w:szCs w:val="32"/>
        </w:rPr>
      </w:pPr>
    </w:p>
    <w:p>
      <w:pPr>
        <w:pStyle w:val="357dcab4"/>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357dcab4"/>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sz w:val="32"/>
        </w:rPr>
        <w:t>1)补助资金</w:t>
      </w:r>
      <w:r>
        <w:rPr>
          <w:rFonts w:ascii="仿宋" w:hAnsi="仿宋" w:eastAsia="仿宋" w:cs="仿宋"/>
          <w:sz w:val="32"/>
        </w:rPr>
        <w:t>(元)，目标值115，完成值115，分值10，得分10</w:t>
      </w:r>
      <w:r>
        <w:rPr>
          <w:rFonts w:hint="eastAsia" w:ascii="仿宋" w:hAnsi="仿宋" w:eastAsia="仿宋"/>
          <w:sz w:val="32"/>
          <w:szCs w:val="32"/>
        </w:rPr>
        <w:t>。</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sz w:val="32"/>
        </w:rPr>
        <w:t>1)防治性采伐面积（万亩）</w:t>
      </w:r>
      <w:r>
        <w:rPr>
          <w:rFonts w:ascii="仿宋" w:hAnsi="仿宋" w:eastAsia="仿宋" w:cs="仿宋"/>
          <w:sz w:val="32"/>
        </w:rPr>
        <w:t>(万亩)，目标值0.75，完成值0.75，分值20，得分20</w:t>
      </w:r>
      <w:r>
        <w:rPr>
          <w:rFonts w:hint="eastAsia" w:ascii="仿宋" w:hAnsi="仿宋" w:eastAsia="仿宋"/>
          <w:sz w:val="32"/>
          <w:szCs w:val="32"/>
        </w:rPr>
        <w:t>。</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sz w:val="32"/>
        </w:rPr>
        <w:t>1)林业有害生物无公害防治率</w:t>
      </w:r>
      <w:r>
        <w:rPr>
          <w:rFonts w:ascii="仿宋" w:hAnsi="仿宋" w:eastAsia="仿宋" w:cs="仿宋"/>
          <w:sz w:val="32"/>
        </w:rPr>
        <w:t>(%)，目标值85，完成值85，分值10，得分10</w:t>
      </w:r>
      <w:r>
        <w:rPr>
          <w:rFonts w:hint="eastAsia" w:ascii="仿宋" w:hAnsi="仿宋" w:eastAsia="仿宋"/>
          <w:sz w:val="32"/>
          <w:szCs w:val="32"/>
        </w:rPr>
        <w:t>。</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sz w:val="32"/>
        </w:rPr>
        <w:t>1)全年无公害防治率</w:t>
      </w:r>
      <w:r>
        <w:rPr>
          <w:rFonts w:ascii="仿宋" w:hAnsi="仿宋" w:eastAsia="仿宋" w:cs="仿宋"/>
          <w:sz w:val="32"/>
        </w:rPr>
        <w:t>(%)，目标值100，完成值100，分值10，得分10</w:t>
      </w:r>
      <w:r>
        <w:rPr>
          <w:rFonts w:hint="eastAsia" w:ascii="仿宋" w:hAnsi="仿宋" w:eastAsia="仿宋"/>
          <w:sz w:val="32"/>
          <w:szCs w:val="32"/>
        </w:rPr>
        <w:t>。</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sz w:val="32"/>
        </w:rPr>
        <w:t>1)森林蓄积量变化</w:t>
      </w:r>
      <w:r>
        <w:rPr>
          <w:rFonts w:ascii="仿宋" w:hAnsi="仿宋" w:eastAsia="仿宋" w:cs="仿宋"/>
          <w:sz w:val="32"/>
        </w:rPr>
        <w:t>(无)，目标值明显，完成值明显，分值30，得分30</w:t>
      </w:r>
      <w:r>
        <w:rPr>
          <w:rFonts w:hint="eastAsia" w:ascii="仿宋" w:hAnsi="仿宋" w:eastAsia="仿宋"/>
          <w:sz w:val="32"/>
          <w:szCs w:val="32"/>
        </w:rPr>
        <w:t>。</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357dcab4"/>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(%)，目标值80，完成值80，分值10，得分10</w:t>
      </w:r>
      <w:r>
        <w:rPr>
          <w:rFonts w:hint="eastAsia" w:ascii="仿宋" w:hAnsi="仿宋" w:eastAsia="仿宋"/>
          <w:sz w:val="32"/>
          <w:szCs w:val="32"/>
        </w:rPr>
        <w:t>。</w:t>
      </w:r>
    </w:p>
    <w:p>
      <w:pPr>
        <w:pStyle w:val="357dcab4"/>
        <w:tabs>
          <w:tab w:val="left" w:pos="2244"/>
        </w:tabs>
        <w:spacing w:line="620" w:lineRule="exact"/>
        <w:ind w:left="1890" w:leftChars="900"/>
        <w:rPr>
          <w:rFonts w:ascii="仿宋" w:hAnsi="仿宋" w:eastAsia="仿宋"/>
          <w:b/>
          <w:color w:val="FF0000"/>
          <w:sz w:val="32"/>
          <w:szCs w:val="32"/>
        </w:rPr>
      </w:pPr>
    </w:p>
    <w:p>
      <w:pPr>
        <w:pStyle w:val="357dcab4"/>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357dcab4"/>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357dcab4"/>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357dcab4"/>
        <w:ind w:left="840" w:firstLine="420"/>
        <w:sectPr>
          <w:type w:val="continuous"/>
          <w:pgSz w:w="11907" w:h="16840"/>
        </w:sectPr>
      </w:pPr>
    </w:p>
    <w:p>
      <w:pPr>
        <w:pageBreakBefore w:val="true"/>
      </w:pPr>
    </w:p>
    <w:p>
      <w:pPr>
        <w:pStyle w:val="8b8a0eb4"/>
        <w:rPr>
          <w:rFonts w:ascii="仿宋" w:hAnsi="仿宋" w:eastAsia="仿宋"/>
          <w:sz w:val="32"/>
          <w:szCs w:val="32"/>
        </w:rPr>
      </w:pPr>
      <w:bookmarkStart w:id="0" w:name="_GoBack"/>
      <w:bookmarkEnd w:id="0"/>
    </w:p>
    <w:p>
      <w:pPr>
        <w:pStyle w:val="8b8a0eb4"/>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r>
        <w:rPr>
          <w:rFonts w:ascii="宋体" w:hAnsi="宋体" w:eastAsia="宋体" w:cs="宋体"/>
          <w:b/>
          <w:sz w:val="44"/>
        </w:rPr>
        <w:t>报告</w:t>
      </w:r>
    </w:p>
    <w:p>
      <w:pPr>
        <w:pStyle w:val="8b8a0eb4"/>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泉财指标〔2023〕433号泉州市级绿化、生态项目（南财指标〔2023〕639号）</w:t>
      </w:r>
      <w:r>
        <w:rPr>
          <w:rFonts w:hint="eastAsia" w:ascii="仿宋" w:hAnsi="仿宋" w:eastAsia="仿宋"/>
          <w:sz w:val="32"/>
          <w:szCs w:val="32"/>
        </w:rPr>
        <w:t>）</w:t>
      </w:r>
    </w:p>
    <w:p>
      <w:pPr>
        <w:pStyle w:val="8b8a0eb4"/>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8b8a0eb4"/>
        <w:ind w:firstLine="643" w:firstLineChars="200"/>
        <w:rPr>
          <w:rFonts w:ascii="仿宋" w:hAnsi="仿宋" w:eastAsia="仿宋"/>
          <w:sz w:val="32"/>
          <w:szCs w:val="32"/>
        </w:rPr>
      </w:pPr>
      <w:r>
        <w:rPr>
          <w:rFonts w:hint="eastAsia" w:ascii="仿宋" w:hAnsi="仿宋" w:eastAsia="仿宋"/>
          <w:b/>
          <w:sz w:val="32"/>
          <w:szCs w:val="32"/>
        </w:rPr>
        <w:t>（一）项目概况</w:t>
      </w:r>
    </w:p>
    <w:p>
      <w:pPr>
        <w:pStyle w:val="8b8a0eb4"/>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8b8a0eb4"/>
        <w:ind w:firstLine="643" w:firstLineChars="200"/>
        <w:rPr>
          <w:rFonts w:ascii="仿宋" w:hAnsi="仿宋" w:eastAsia="仿宋"/>
          <w:sz w:val="32"/>
          <w:szCs w:val="32"/>
        </w:rPr>
      </w:pPr>
      <w:r>
        <w:rPr>
          <w:rFonts w:hint="eastAsia" w:ascii="仿宋" w:hAnsi="仿宋" w:eastAsia="仿宋"/>
          <w:b/>
          <w:sz w:val="32"/>
          <w:szCs w:val="32"/>
        </w:rPr>
        <w:t>（二）主要成效</w:t>
      </w:r>
    </w:p>
    <w:p>
      <w:pPr>
        <w:pStyle w:val="8b8a0eb4"/>
        <w:ind w:firstLine="1472" w:firstLineChars="460"/>
        <w:rPr>
          <w:rFonts w:ascii="仿宋" w:hAnsi="仿宋" w:eastAsia="仿宋"/>
          <w:sz w:val="32"/>
          <w:szCs w:val="32"/>
        </w:rPr>
      </w:pPr>
    </w:p>
    <w:p>
      <w:pPr>
        <w:pStyle w:val="8b8a0eb4"/>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8b8a0eb4"/>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sz w:val="32"/>
        </w:rPr>
        <w:t>1)建设重点区域林相改善</w:t>
      </w:r>
      <w:r>
        <w:rPr>
          <w:rFonts w:ascii="仿宋" w:hAnsi="仿宋" w:eastAsia="仿宋" w:cs="仿宋"/>
          <w:sz w:val="32"/>
        </w:rPr>
        <w:t>(亩)，目标值1800，完成值1800，分值10，得分10</w:t>
      </w:r>
      <w:r>
        <w:rPr>
          <w:rFonts w:hint="eastAsia" w:ascii="仿宋" w:hAnsi="仿宋" w:eastAsia="仿宋"/>
          <w:sz w:val="32"/>
          <w:szCs w:val="32"/>
        </w:rPr>
        <w:t>。</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sz w:val="32"/>
        </w:rPr>
        <w:t>1)乡村绿化提升行动村庄个数</w:t>
      </w:r>
      <w:r>
        <w:rPr>
          <w:rFonts w:ascii="仿宋" w:hAnsi="仿宋" w:eastAsia="仿宋" w:cs="仿宋"/>
          <w:sz w:val="32"/>
        </w:rPr>
        <w:t>(个)，目标值6，完成值6，分值20，得分20</w:t>
      </w:r>
      <w:r>
        <w:rPr>
          <w:rFonts w:hint="eastAsia" w:ascii="仿宋" w:hAnsi="仿宋" w:eastAsia="仿宋"/>
          <w:sz w:val="32"/>
          <w:szCs w:val="32"/>
        </w:rPr>
        <w:t>。</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sz w:val="32"/>
        </w:rPr>
        <w:t>1)建设森林生态文明宣传示范点</w:t>
      </w:r>
      <w:r>
        <w:rPr>
          <w:rFonts w:ascii="仿宋" w:hAnsi="仿宋" w:eastAsia="仿宋" w:cs="仿宋"/>
          <w:sz w:val="32"/>
        </w:rPr>
        <w:t>(无)，目标值完成，完成值完成，分值10，得分10</w:t>
      </w:r>
      <w:r>
        <w:rPr>
          <w:rFonts w:hint="eastAsia" w:ascii="仿宋" w:hAnsi="仿宋" w:eastAsia="仿宋"/>
          <w:sz w:val="32"/>
          <w:szCs w:val="32"/>
        </w:rPr>
        <w:t>。</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sz w:val="32"/>
        </w:rPr>
        <w:t>1)分解下达任务率</w:t>
      </w:r>
      <w:r>
        <w:rPr>
          <w:rFonts w:ascii="仿宋" w:hAnsi="仿宋" w:eastAsia="仿宋" w:cs="仿宋"/>
          <w:sz w:val="32"/>
        </w:rPr>
        <w:t>(%)，目标值100，完成值100，分值10，得分10</w:t>
      </w:r>
      <w:r>
        <w:rPr>
          <w:rFonts w:hint="eastAsia" w:ascii="仿宋" w:hAnsi="仿宋" w:eastAsia="仿宋"/>
          <w:sz w:val="32"/>
          <w:szCs w:val="32"/>
        </w:rPr>
        <w:t>。</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sz w:val="32"/>
        </w:rPr>
        <w:t>1)森林生态系统功能改善可持续影响</w:t>
      </w:r>
      <w:r>
        <w:rPr>
          <w:rFonts w:ascii="仿宋" w:hAnsi="仿宋" w:eastAsia="仿宋" w:cs="仿宋"/>
          <w:sz w:val="32"/>
        </w:rPr>
        <w:t>(无)，目标值明显，完成值明显，分值30，得分30</w:t>
      </w:r>
      <w:r>
        <w:rPr>
          <w:rFonts w:hint="eastAsia" w:ascii="仿宋" w:hAnsi="仿宋" w:eastAsia="仿宋"/>
          <w:sz w:val="32"/>
          <w:szCs w:val="32"/>
        </w:rPr>
        <w:t>。</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8b8a0eb4"/>
        <w:spacing w:line="620" w:lineRule="exact"/>
        <w:ind w:left="420" w:leftChars="200"/>
        <w:rPr>
          <w:rFonts w:ascii="仿宋" w:hAnsi="仿宋" w:eastAsia="仿宋"/>
          <w:sz w:val="32"/>
          <w:szCs w:val="32"/>
        </w:rPr>
      </w:pPr>
      <w:r>
        <w:rPr>
          <w:rFonts w:ascii="仿宋_GB2312" w:hAnsi="仿宋_GB2312" w:eastAsia="仿宋_GB2312" w:cs="仿宋_GB2312"/>
          <w:sz w:val="32"/>
        </w:rPr>
        <w:t>1)公益林林权所有者满意度</w:t>
      </w:r>
      <w:r>
        <w:rPr>
          <w:rFonts w:ascii="仿宋" w:hAnsi="仿宋" w:eastAsia="仿宋" w:cs="仿宋"/>
          <w:sz w:val="32"/>
        </w:rPr>
        <w:t>(%)，目标值85，完成值85，分值10，得分10</w:t>
      </w:r>
      <w:r>
        <w:rPr>
          <w:rFonts w:hint="eastAsia" w:ascii="仿宋" w:hAnsi="仿宋" w:eastAsia="仿宋"/>
          <w:sz w:val="32"/>
          <w:szCs w:val="32"/>
        </w:rPr>
        <w:t>。</w:t>
      </w:r>
    </w:p>
    <w:p>
      <w:pPr>
        <w:pStyle w:val="8b8a0eb4"/>
        <w:tabs>
          <w:tab w:val="left" w:pos="2244"/>
        </w:tabs>
        <w:spacing w:line="620" w:lineRule="exact"/>
        <w:ind w:left="1890" w:leftChars="900"/>
        <w:rPr>
          <w:rFonts w:ascii="仿宋" w:hAnsi="仿宋" w:eastAsia="仿宋"/>
          <w:b/>
          <w:color w:val="FF0000"/>
          <w:sz w:val="32"/>
          <w:szCs w:val="32"/>
        </w:rPr>
      </w:pPr>
    </w:p>
    <w:p>
      <w:pPr>
        <w:pStyle w:val="8b8a0eb4"/>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8b8a0eb4"/>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8b8a0eb4"/>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8b8a0eb4"/>
        <w:ind w:left="840" w:firstLine="420"/>
        <w:sectPr>
          <w:type w:val="continuous"/>
          <w:pgSz w:w="11907" w:h="16840"/>
        </w:sectPr>
      </w:pPr>
    </w:p>
    <w:p>
      <w:pPr>
        <w:pageBreakBefore w:val="true"/>
      </w:pPr>
    </w:p>
    <w:p>
      <w:pPr>
        <w:pStyle w:val="5d8d51c3"/>
        <w:rPr>
          <w:rFonts w:ascii="仿宋" w:hAnsi="仿宋" w:eastAsia="仿宋"/>
          <w:sz w:val="32"/>
          <w:szCs w:val="32"/>
        </w:rPr>
      </w:pPr>
      <w:bookmarkStart w:id="0" w:name="_GoBack"/>
      <w:bookmarkEnd w:id="0"/>
    </w:p>
    <w:p>
      <w:pPr>
        <w:pStyle w:val="5d8d51c3"/>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r>
        <w:rPr>
          <w:rFonts w:ascii="宋体" w:hAnsi="宋体" w:eastAsia="宋体" w:cs="宋体"/>
          <w:b/>
          <w:sz w:val="44"/>
        </w:rPr>
        <w:t>报告</w:t>
      </w:r>
    </w:p>
    <w:p>
      <w:pPr>
        <w:pStyle w:val="5d8d51c3"/>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泉财农指〔2025〕41号，2025年泉州市级财政现代林业经济专项资金（第一批）：现代油茶竹林（油茶抚育7.05万、机耕路建设1.75万元） 林业产品质量安全监测1.1万元</w:t>
      </w:r>
      <w:r>
        <w:rPr>
          <w:rFonts w:hint="eastAsia" w:ascii="仿宋" w:hAnsi="仿宋" w:eastAsia="仿宋"/>
          <w:sz w:val="32"/>
          <w:szCs w:val="32"/>
        </w:rPr>
        <w:t>）</w:t>
      </w:r>
    </w:p>
    <w:p>
      <w:pPr>
        <w:pStyle w:val="5d8d51c3"/>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5d8d51c3"/>
        <w:ind w:firstLine="643" w:firstLineChars="200"/>
        <w:rPr>
          <w:rFonts w:ascii="仿宋" w:hAnsi="仿宋" w:eastAsia="仿宋"/>
          <w:sz w:val="32"/>
          <w:szCs w:val="32"/>
        </w:rPr>
      </w:pPr>
      <w:r>
        <w:rPr>
          <w:rFonts w:hint="eastAsia" w:ascii="仿宋" w:hAnsi="仿宋" w:eastAsia="仿宋"/>
          <w:b/>
          <w:sz w:val="32"/>
          <w:szCs w:val="32"/>
        </w:rPr>
        <w:t>（一）项目概况</w:t>
      </w:r>
    </w:p>
    <w:p>
      <w:pPr>
        <w:pStyle w:val="5d8d51c3"/>
        <w:ind w:firstLine="1472" w:firstLineChars="460"/>
        <w:rPr>
          <w:rFonts w:ascii="仿宋" w:hAnsi="仿宋" w:eastAsia="仿宋"/>
          <w:sz w:val="32"/>
          <w:szCs w:val="32"/>
        </w:rPr>
      </w:pPr>
      <w:r>
        <w:rPr>
          <w:rFonts w:hint="eastAsia" w:ascii="仿宋" w:hAnsi="仿宋" w:eastAsia="仿宋"/>
          <w:sz w:val="32"/>
          <w:szCs w:val="32"/>
        </w:rPr>
        <w:t>完成现代油茶竹林等项目建设，开展林产品质量安全监测。</w:t>
      </w:r>
      <w:r>
        <w:rPr>
          <w:rFonts w:ascii="仿宋" w:hAnsi="仿宋" w:eastAsia="仿宋" w:cs="仿宋"/>
          <w:sz w:val="32"/>
        </w:rPr>
        <w:t xml:space="preserve"> </w:t>
      </w:r>
    </w:p>
    <w:p>
      <w:pPr>
        <w:pStyle w:val="5d8d51c3"/>
        <w:ind w:firstLine="643" w:firstLineChars="200"/>
        <w:rPr>
          <w:rFonts w:ascii="仿宋" w:hAnsi="仿宋" w:eastAsia="仿宋"/>
          <w:sz w:val="32"/>
          <w:szCs w:val="32"/>
        </w:rPr>
      </w:pPr>
      <w:r>
        <w:rPr>
          <w:rFonts w:hint="eastAsia" w:ascii="仿宋" w:hAnsi="仿宋" w:eastAsia="仿宋"/>
          <w:b/>
          <w:sz w:val="32"/>
          <w:szCs w:val="32"/>
        </w:rPr>
        <w:t>（二）主要成效</w:t>
      </w:r>
    </w:p>
    <w:p>
      <w:pPr>
        <w:pStyle w:val="5d8d51c3"/>
        <w:ind w:firstLine="1472" w:firstLineChars="460"/>
        <w:rPr>
          <w:rFonts w:ascii="仿宋" w:hAnsi="仿宋" w:eastAsia="仿宋"/>
          <w:sz w:val="32"/>
          <w:szCs w:val="32"/>
        </w:rPr>
      </w:pPr>
    </w:p>
    <w:p>
      <w:pPr>
        <w:pStyle w:val="5d8d51c3"/>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5d8d51c3"/>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sz w:val="32"/>
        </w:rPr>
        <w:t>1)机耕路建设补助标准</w:t>
      </w:r>
      <w:r>
        <w:rPr>
          <w:rFonts w:ascii="仿宋" w:hAnsi="仿宋" w:eastAsia="仿宋" w:cs="仿宋"/>
          <w:sz w:val="32"/>
        </w:rPr>
        <w:t>(元)，目标值5000，完成值5000，分值10，得分10</w:t>
      </w:r>
      <w:r>
        <w:rPr>
          <w:rFonts w:hint="eastAsia" w:ascii="仿宋" w:hAnsi="仿宋" w:eastAsia="仿宋"/>
          <w:sz w:val="32"/>
          <w:szCs w:val="32"/>
        </w:rPr>
        <w:t>。</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sz w:val="32"/>
        </w:rPr>
        <w:t>1)开展现代油茶项目建设面积</w:t>
      </w:r>
      <w:r>
        <w:rPr>
          <w:rFonts w:ascii="仿宋" w:hAnsi="仿宋" w:eastAsia="仿宋" w:cs="仿宋"/>
          <w:sz w:val="32"/>
        </w:rPr>
        <w:t>(亩)，目标值470，完成值470，分值20，得分20</w:t>
      </w:r>
      <w:r>
        <w:rPr>
          <w:rFonts w:hint="eastAsia" w:ascii="仿宋" w:hAnsi="仿宋" w:eastAsia="仿宋"/>
          <w:sz w:val="32"/>
          <w:szCs w:val="32"/>
        </w:rPr>
        <w:t>。</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sz w:val="32"/>
        </w:rPr>
        <w:t>1)食用林产品质量监测批次</w:t>
      </w:r>
      <w:r>
        <w:rPr>
          <w:rFonts w:ascii="仿宋" w:hAnsi="仿宋" w:eastAsia="仿宋" w:cs="仿宋"/>
          <w:sz w:val="32"/>
        </w:rPr>
        <w:t>(批次)，目标值11，完成值11，分值10，得分10</w:t>
      </w:r>
      <w:r>
        <w:rPr>
          <w:rFonts w:hint="eastAsia" w:ascii="仿宋" w:hAnsi="仿宋" w:eastAsia="仿宋"/>
          <w:sz w:val="32"/>
          <w:szCs w:val="32"/>
        </w:rPr>
        <w:t>。</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sz w:val="32"/>
        </w:rPr>
        <w:t>1)完成项目建设时效</w:t>
      </w:r>
      <w:r>
        <w:rPr>
          <w:rFonts w:ascii="仿宋" w:hAnsi="仿宋" w:eastAsia="仿宋" w:cs="仿宋"/>
          <w:sz w:val="32"/>
        </w:rPr>
        <w:t>(年)，目标值1，完成值1，分值10，得分10</w:t>
      </w:r>
      <w:r>
        <w:rPr>
          <w:rFonts w:hint="eastAsia" w:ascii="仿宋" w:hAnsi="仿宋" w:eastAsia="仿宋"/>
          <w:sz w:val="32"/>
          <w:szCs w:val="32"/>
        </w:rPr>
        <w:t>。</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sz w:val="32"/>
        </w:rPr>
        <w:t>1)提高生产技术水平和知名度</w:t>
      </w:r>
      <w:r>
        <w:rPr>
          <w:rFonts w:ascii="仿宋" w:hAnsi="仿宋" w:eastAsia="仿宋" w:cs="仿宋"/>
          <w:sz w:val="32"/>
        </w:rPr>
        <w:t>(无)，目标值是，完成值显著，分值30，得分30</w:t>
      </w:r>
      <w:r>
        <w:rPr>
          <w:rFonts w:hint="eastAsia" w:ascii="仿宋" w:hAnsi="仿宋" w:eastAsia="仿宋"/>
          <w:sz w:val="32"/>
          <w:szCs w:val="32"/>
        </w:rPr>
        <w:t>。</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5d8d51c3"/>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w:t>
      </w:r>
      <w:r>
        <w:rPr>
          <w:rFonts w:ascii="仿宋" w:hAnsi="仿宋" w:eastAsia="仿宋" w:cs="仿宋"/>
          <w:sz w:val="32"/>
        </w:rPr>
        <w:t>(%)，目标值90，完成值90，分值10，得分10</w:t>
      </w:r>
      <w:r>
        <w:rPr>
          <w:rFonts w:hint="eastAsia" w:ascii="仿宋" w:hAnsi="仿宋" w:eastAsia="仿宋"/>
          <w:sz w:val="32"/>
          <w:szCs w:val="32"/>
        </w:rPr>
        <w:t>。</w:t>
      </w:r>
    </w:p>
    <w:p>
      <w:pPr>
        <w:pStyle w:val="5d8d51c3"/>
        <w:tabs>
          <w:tab w:val="left" w:pos="2244"/>
        </w:tabs>
        <w:spacing w:line="620" w:lineRule="exact"/>
        <w:ind w:left="1890" w:leftChars="900"/>
        <w:rPr>
          <w:rFonts w:ascii="仿宋" w:hAnsi="仿宋" w:eastAsia="仿宋"/>
          <w:b/>
          <w:color w:val="FF0000"/>
          <w:sz w:val="32"/>
          <w:szCs w:val="32"/>
        </w:rPr>
      </w:pPr>
    </w:p>
    <w:p>
      <w:pPr>
        <w:pStyle w:val="5d8d51c3"/>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5d8d51c3"/>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5d8d51c3"/>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5d8d51c3"/>
        <w:ind w:left="840" w:firstLine="420"/>
        <w:sectPr>
          <w:type w:val="continuous"/>
          <w:pgSz w:w="11907" w:h="16840"/>
        </w:sectPr>
      </w:pPr>
    </w:p>
    <w:p>
      <w:pPr>
        <w:pageBreakBefore w:val="true"/>
      </w:pPr>
    </w:p>
    <w:p>
      <w:pPr>
        <w:pStyle w:val="ee0189b5"/>
        <w:rPr>
          <w:rFonts w:ascii="仿宋" w:hAnsi="仿宋" w:eastAsia="仿宋"/>
          <w:sz w:val="32"/>
          <w:szCs w:val="32"/>
        </w:rPr>
      </w:pPr>
    </w:p>
    <w:p>
      <w:pPr>
        <w:pStyle w:val="ee0189b5"/>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ee0189b5"/>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泉财农指〔2024〕56号，2024年泉州市级财政森林资源培育与管护专项资金（第一批）：造林绿化—古树名木保护管理示范点建设</w:t>
      </w:r>
      <w:r>
        <w:rPr>
          <w:rFonts w:hint="eastAsia" w:ascii="仿宋" w:hAnsi="仿宋" w:eastAsia="仿宋"/>
          <w:sz w:val="32"/>
          <w:szCs w:val="32"/>
        </w:rPr>
        <w:t>）</w:t>
      </w:r>
    </w:p>
    <w:p>
      <w:pPr>
        <w:pStyle w:val="ee0189b5"/>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ee0189b5"/>
        <w:ind w:firstLine="643" w:firstLineChars="200"/>
        <w:rPr>
          <w:rFonts w:ascii="仿宋" w:hAnsi="仿宋" w:eastAsia="仿宋"/>
          <w:sz w:val="32"/>
          <w:szCs w:val="32"/>
        </w:rPr>
      </w:pPr>
      <w:r>
        <w:rPr>
          <w:rFonts w:hint="eastAsia" w:ascii="仿宋" w:hAnsi="仿宋" w:eastAsia="仿宋"/>
          <w:b/>
          <w:sz w:val="32"/>
          <w:szCs w:val="32"/>
        </w:rPr>
        <w:t>（一）项目概况</w:t>
      </w:r>
    </w:p>
    <w:p>
      <w:pPr>
        <w:pStyle w:val="ee0189b5"/>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ee0189b5"/>
        <w:ind w:firstLine="643" w:firstLineChars="200"/>
        <w:rPr>
          <w:rFonts w:ascii="仿宋" w:hAnsi="仿宋" w:eastAsia="仿宋"/>
          <w:sz w:val="32"/>
          <w:szCs w:val="32"/>
        </w:rPr>
      </w:pPr>
      <w:r>
        <w:rPr>
          <w:rFonts w:hint="eastAsia" w:ascii="仿宋" w:hAnsi="仿宋" w:eastAsia="仿宋"/>
          <w:b/>
          <w:sz w:val="32"/>
          <w:szCs w:val="32"/>
        </w:rPr>
        <w:t>（二）主要成效</w:t>
      </w:r>
    </w:p>
    <w:p>
      <w:pPr>
        <w:pStyle w:val="ee0189b5"/>
        <w:ind w:firstLine="1472" w:firstLineChars="460"/>
        <w:rPr>
          <w:rFonts w:ascii="仿宋" w:hAnsi="仿宋" w:eastAsia="仿宋"/>
          <w:sz w:val="32"/>
          <w:szCs w:val="32"/>
        </w:rPr>
      </w:pPr>
    </w:p>
    <w:p>
      <w:pPr>
        <w:pStyle w:val="ee0189b5"/>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ee0189b5"/>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sz w:val="32"/>
        </w:rPr>
        <w:t>1)示范点建设补助（万元/个）</w:t>
      </w:r>
      <w:r>
        <w:rPr>
          <w:rFonts w:ascii="仿宋" w:hAnsi="仿宋" w:eastAsia="仿宋" w:cs="仿宋"/>
          <w:sz w:val="32"/>
        </w:rPr>
        <w:t>(万元/个)，目标值个，完成值2，分值10，得分10</w:t>
      </w:r>
      <w:r>
        <w:rPr>
          <w:rFonts w:hint="eastAsia" w:ascii="仿宋" w:hAnsi="仿宋" w:eastAsia="仿宋"/>
          <w:sz w:val="32"/>
          <w:szCs w:val="32"/>
        </w:rPr>
        <w:t>。</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sz w:val="32"/>
        </w:rPr>
        <w:t>1)古树名木保护管理示范点建设</w:t>
      </w:r>
      <w:r>
        <w:rPr>
          <w:rFonts w:ascii="仿宋" w:hAnsi="仿宋" w:eastAsia="仿宋" w:cs="仿宋"/>
          <w:sz w:val="32"/>
        </w:rPr>
        <w:t>(个)，目标值1，完成值1，分值20，得分20</w:t>
      </w:r>
      <w:r>
        <w:rPr>
          <w:rFonts w:hint="eastAsia" w:ascii="仿宋" w:hAnsi="仿宋" w:eastAsia="仿宋"/>
          <w:sz w:val="32"/>
          <w:szCs w:val="32"/>
        </w:rPr>
        <w:t>。</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sz w:val="32"/>
        </w:rPr>
        <w:t>1)示范点建设完成</w:t>
      </w:r>
      <w:r>
        <w:rPr>
          <w:rFonts w:ascii="仿宋" w:hAnsi="仿宋" w:eastAsia="仿宋" w:cs="仿宋"/>
          <w:sz w:val="32"/>
        </w:rPr>
        <w:t>(无)，目标值完成，完成值完成，分值10，得分10</w:t>
      </w:r>
      <w:r>
        <w:rPr>
          <w:rFonts w:hint="eastAsia" w:ascii="仿宋" w:hAnsi="仿宋" w:eastAsia="仿宋"/>
          <w:sz w:val="32"/>
          <w:szCs w:val="32"/>
        </w:rPr>
        <w:t>。</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sz w:val="32"/>
        </w:rPr>
        <w:t>1)建设进度</w:t>
      </w:r>
      <w:r>
        <w:rPr>
          <w:rFonts w:ascii="仿宋" w:hAnsi="仿宋" w:eastAsia="仿宋" w:cs="仿宋"/>
          <w:sz w:val="32"/>
        </w:rPr>
        <w:t>(无)，目标值完成，完成值完成，分值10，得分10</w:t>
      </w:r>
      <w:r>
        <w:rPr>
          <w:rFonts w:hint="eastAsia" w:ascii="仿宋" w:hAnsi="仿宋" w:eastAsia="仿宋"/>
          <w:sz w:val="32"/>
          <w:szCs w:val="32"/>
        </w:rPr>
        <w:t>。</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sz w:val="32"/>
        </w:rPr>
        <w:t>1)古树名木保护宣传</w:t>
      </w:r>
      <w:r>
        <w:rPr>
          <w:rFonts w:ascii="仿宋" w:hAnsi="仿宋" w:eastAsia="仿宋" w:cs="仿宋"/>
          <w:sz w:val="32"/>
        </w:rPr>
        <w:t>(无)，目标值是，完成值是，分值30，得分30</w:t>
      </w:r>
      <w:r>
        <w:rPr>
          <w:rFonts w:hint="eastAsia" w:ascii="仿宋" w:hAnsi="仿宋" w:eastAsia="仿宋"/>
          <w:sz w:val="32"/>
          <w:szCs w:val="32"/>
        </w:rPr>
        <w:t>。</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ee0189b5"/>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w:t>
      </w:r>
      <w:r>
        <w:rPr>
          <w:rFonts w:ascii="仿宋" w:hAnsi="仿宋" w:eastAsia="仿宋" w:cs="仿宋"/>
          <w:sz w:val="32"/>
        </w:rPr>
        <w:t>(%)，目标值80，完成值80，分值10，得分10</w:t>
      </w:r>
      <w:r>
        <w:rPr>
          <w:rFonts w:hint="eastAsia" w:ascii="仿宋" w:hAnsi="仿宋" w:eastAsia="仿宋"/>
          <w:sz w:val="32"/>
          <w:szCs w:val="32"/>
        </w:rPr>
        <w:t>。</w:t>
      </w:r>
    </w:p>
    <w:p>
      <w:pPr>
        <w:pStyle w:val="ee0189b5"/>
        <w:tabs>
          <w:tab w:val="left" w:pos="2244"/>
        </w:tabs>
        <w:spacing w:line="620" w:lineRule="exact"/>
        <w:ind w:left="1890" w:leftChars="900"/>
        <w:rPr>
          <w:rFonts w:ascii="仿宋" w:hAnsi="仿宋" w:eastAsia="仿宋"/>
          <w:b/>
          <w:color w:val="FF0000"/>
          <w:sz w:val="32"/>
          <w:szCs w:val="32"/>
        </w:rPr>
      </w:pPr>
    </w:p>
    <w:p>
      <w:pPr>
        <w:pStyle w:val="ee0189b5"/>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ee0189b5"/>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ee0189b5"/>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ee0189b5"/>
        <w:ind w:left="840" w:firstLine="420"/>
        <w:sectPr>
          <w:type w:val="continuous"/>
          <w:pgSz w:w="11907" w:h="16840"/>
        </w:sectPr>
      </w:pPr>
    </w:p>
    <w:p>
      <w:pPr>
        <w:pageBreakBefore w:val="true"/>
      </w:pPr>
    </w:p>
    <w:p>
      <w:pPr>
        <w:pStyle w:val="2b2e09f2"/>
        <w:rPr>
          <w:rFonts w:ascii="仿宋" w:hAnsi="仿宋" w:eastAsia="仿宋"/>
          <w:sz w:val="32"/>
          <w:szCs w:val="32"/>
        </w:rPr>
      </w:pPr>
      <w:bookmarkStart w:id="0" w:name="_GoBack"/>
      <w:bookmarkEnd w:id="0"/>
    </w:p>
    <w:p>
      <w:pPr>
        <w:pStyle w:val="2b2e09f2"/>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r>
        <w:rPr>
          <w:rFonts w:ascii="宋体" w:hAnsi="宋体" w:eastAsia="宋体" w:cs="宋体"/>
          <w:b/>
          <w:sz w:val="44"/>
        </w:rPr>
        <w:t>报告</w:t>
      </w:r>
    </w:p>
    <w:p>
      <w:pPr>
        <w:pStyle w:val="2b2e09f2"/>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泉财农指〔2024〕140号，2025年省级财政林业专项资金（林业生态保护——林业有害生物防治）</w:t>
      </w:r>
      <w:r>
        <w:rPr>
          <w:rFonts w:hint="eastAsia" w:ascii="仿宋" w:hAnsi="仿宋" w:eastAsia="仿宋"/>
          <w:sz w:val="32"/>
          <w:szCs w:val="32"/>
        </w:rPr>
        <w:t>）</w:t>
      </w:r>
    </w:p>
    <w:p>
      <w:pPr>
        <w:pStyle w:val="2b2e09f2"/>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2b2e09f2"/>
        <w:ind w:firstLine="643" w:firstLineChars="200"/>
        <w:rPr>
          <w:rFonts w:ascii="仿宋" w:hAnsi="仿宋" w:eastAsia="仿宋"/>
          <w:sz w:val="32"/>
          <w:szCs w:val="32"/>
        </w:rPr>
      </w:pPr>
      <w:r>
        <w:rPr>
          <w:rFonts w:hint="eastAsia" w:ascii="仿宋" w:hAnsi="仿宋" w:eastAsia="仿宋"/>
          <w:b/>
          <w:sz w:val="32"/>
          <w:szCs w:val="32"/>
        </w:rPr>
        <w:t>（一）项目概况</w:t>
      </w:r>
    </w:p>
    <w:p>
      <w:pPr>
        <w:pStyle w:val="2b2e09f2"/>
        <w:ind w:firstLine="1472" w:firstLineChars="460"/>
        <w:rPr>
          <w:rFonts w:ascii="仿宋" w:hAnsi="仿宋" w:eastAsia="仿宋"/>
          <w:sz w:val="32"/>
          <w:szCs w:val="32"/>
        </w:rPr>
      </w:pPr>
      <w:r>
        <w:rPr>
          <w:rFonts w:hint="eastAsia" w:ascii="仿宋" w:hAnsi="仿宋" w:eastAsia="仿宋"/>
          <w:sz w:val="32"/>
          <w:szCs w:val="32"/>
        </w:rPr>
        <w:t>进行林业有害生物防治,降低松材线虫病疫情发生面积</w:t>
      </w:r>
      <w:r>
        <w:rPr>
          <w:rFonts w:ascii="仿宋" w:hAnsi="仿宋" w:eastAsia="仿宋" w:cs="仿宋"/>
          <w:sz w:val="32"/>
        </w:rPr>
        <w:t xml:space="preserve"> </w:t>
      </w:r>
    </w:p>
    <w:p>
      <w:pPr>
        <w:pStyle w:val="2b2e09f2"/>
        <w:ind w:firstLine="643" w:firstLineChars="200"/>
        <w:rPr>
          <w:rFonts w:ascii="仿宋" w:hAnsi="仿宋" w:eastAsia="仿宋"/>
          <w:sz w:val="32"/>
          <w:szCs w:val="32"/>
        </w:rPr>
      </w:pPr>
      <w:r>
        <w:rPr>
          <w:rFonts w:hint="eastAsia" w:ascii="仿宋" w:hAnsi="仿宋" w:eastAsia="仿宋"/>
          <w:b/>
          <w:sz w:val="32"/>
          <w:szCs w:val="32"/>
        </w:rPr>
        <w:t>（二）主要成效</w:t>
      </w:r>
    </w:p>
    <w:p>
      <w:pPr>
        <w:pStyle w:val="2b2e09f2"/>
        <w:ind w:firstLine="1472" w:firstLineChars="460"/>
        <w:rPr>
          <w:rFonts w:ascii="仿宋" w:hAnsi="仿宋" w:eastAsia="仿宋"/>
          <w:sz w:val="32"/>
          <w:szCs w:val="32"/>
        </w:rPr>
      </w:pPr>
    </w:p>
    <w:p>
      <w:pPr>
        <w:pStyle w:val="2b2e09f2"/>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2b2e09f2"/>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100分，等级为优，设置绩效目标8个，实际完成8个，具体情况如下：</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sz w:val="32"/>
        </w:rPr>
        <w:t>1)补助资金</w:t>
      </w:r>
      <w:r>
        <w:rPr>
          <w:rFonts w:ascii="仿宋" w:hAnsi="仿宋" w:eastAsia="仿宋" w:cs="仿宋"/>
          <w:sz w:val="32"/>
        </w:rPr>
        <w:t>(万元)，目标值85.48，完成值85.48，分值5，得分5</w:t>
      </w:r>
      <w:r>
        <w:rPr>
          <w:rFonts w:hint="eastAsia" w:ascii="仿宋" w:hAnsi="仿宋" w:eastAsia="仿宋"/>
          <w:sz w:val="32"/>
          <w:szCs w:val="32"/>
        </w:rPr>
        <w:t>。</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sz w:val="32"/>
        </w:rPr>
        <w:t>1)促进社会经济发展</w:t>
      </w:r>
      <w:r>
        <w:rPr>
          <w:rFonts w:ascii="仿宋" w:hAnsi="仿宋" w:eastAsia="仿宋" w:cs="仿宋"/>
          <w:sz w:val="32"/>
        </w:rPr>
        <w:t>(无)，目标值有效促进，完成值有效促进，分值5，得分5</w:t>
      </w:r>
      <w:r>
        <w:rPr>
          <w:rFonts w:hint="eastAsia" w:ascii="仿宋" w:hAnsi="仿宋" w:eastAsia="仿宋"/>
          <w:sz w:val="32"/>
          <w:szCs w:val="32"/>
        </w:rPr>
        <w:t>。</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sz w:val="32"/>
        </w:rPr>
        <w:t>1)防治面积</w:t>
      </w:r>
      <w:r>
        <w:rPr>
          <w:rFonts w:ascii="仿宋" w:hAnsi="仿宋" w:eastAsia="仿宋" w:cs="仿宋"/>
          <w:sz w:val="32"/>
        </w:rPr>
        <w:t>(亩)，目标值5072，完成值5072，分值20，得分20</w:t>
      </w:r>
      <w:r>
        <w:rPr>
          <w:rFonts w:hint="eastAsia" w:ascii="仿宋" w:hAnsi="仿宋" w:eastAsia="仿宋"/>
          <w:sz w:val="32"/>
          <w:szCs w:val="32"/>
        </w:rPr>
        <w:t>。</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sz w:val="32"/>
        </w:rPr>
        <w:t>1)任务完成情况</w:t>
      </w:r>
      <w:r>
        <w:rPr>
          <w:rFonts w:ascii="仿宋" w:hAnsi="仿宋" w:eastAsia="仿宋" w:cs="仿宋"/>
          <w:sz w:val="32"/>
        </w:rPr>
        <w:t>(无)，目标值全面完成，完成值全面完成，分值10，得分10</w:t>
      </w:r>
      <w:r>
        <w:rPr>
          <w:rFonts w:hint="eastAsia" w:ascii="仿宋" w:hAnsi="仿宋" w:eastAsia="仿宋"/>
          <w:sz w:val="32"/>
          <w:szCs w:val="32"/>
        </w:rPr>
        <w:t>。</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sz w:val="32"/>
        </w:rPr>
        <w:t>1)预算执行进度</w:t>
      </w:r>
      <w:r>
        <w:rPr>
          <w:rFonts w:ascii="仿宋" w:hAnsi="仿宋" w:eastAsia="仿宋" w:cs="仿宋"/>
          <w:sz w:val="32"/>
        </w:rPr>
        <w:t>(%)，目标值100，完成值100，分值10，得分10</w:t>
      </w:r>
      <w:r>
        <w:rPr>
          <w:rFonts w:hint="eastAsia" w:ascii="仿宋" w:hAnsi="仿宋" w:eastAsia="仿宋"/>
          <w:sz w:val="32"/>
          <w:szCs w:val="32"/>
        </w:rPr>
        <w:t>。</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sz w:val="32"/>
        </w:rPr>
        <w:t>1)综合防范能力提升</w:t>
      </w:r>
      <w:r>
        <w:rPr>
          <w:rFonts w:ascii="仿宋" w:hAnsi="仿宋" w:eastAsia="仿宋" w:cs="仿宋"/>
          <w:sz w:val="32"/>
        </w:rPr>
        <w:t>(无)，目标值有效促进，完成值有效促进，分值20，得分20</w:t>
      </w:r>
      <w:r>
        <w:rPr>
          <w:rFonts w:hint="eastAsia" w:ascii="仿宋" w:hAnsi="仿宋" w:eastAsia="仿宋"/>
          <w:sz w:val="32"/>
          <w:szCs w:val="32"/>
        </w:rPr>
        <w:t>。</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sz w:val="32"/>
        </w:rPr>
        <w:t>1)可持续发展</w:t>
      </w:r>
      <w:r>
        <w:rPr>
          <w:rFonts w:ascii="仿宋" w:hAnsi="仿宋" w:eastAsia="仿宋" w:cs="仿宋"/>
          <w:sz w:val="32"/>
        </w:rPr>
        <w:t>(无)，目标值发展良好，完成值发展良好，分值10，得分10</w:t>
      </w:r>
      <w:r>
        <w:rPr>
          <w:rFonts w:hint="eastAsia" w:ascii="仿宋" w:hAnsi="仿宋" w:eastAsia="仿宋"/>
          <w:sz w:val="32"/>
          <w:szCs w:val="32"/>
        </w:rPr>
        <w:t>。</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2b2e09f2"/>
        <w:spacing w:line="620" w:lineRule="exact"/>
        <w:ind w:left="420" w:leftChars="200"/>
        <w:rPr>
          <w:rFonts w:ascii="仿宋" w:hAnsi="仿宋" w:eastAsia="仿宋"/>
          <w:sz w:val="32"/>
          <w:szCs w:val="32"/>
        </w:rPr>
      </w:pPr>
      <w:r>
        <w:rPr>
          <w:rFonts w:ascii="仿宋_GB2312" w:hAnsi="仿宋_GB2312" w:eastAsia="仿宋_GB2312" w:cs="仿宋_GB2312"/>
          <w:sz w:val="32"/>
        </w:rPr>
        <w:t>1)社会公众对湿地保护工作满意度</w:t>
      </w:r>
      <w:r>
        <w:rPr>
          <w:rFonts w:ascii="仿宋" w:hAnsi="仿宋" w:eastAsia="仿宋" w:cs="仿宋"/>
          <w:sz w:val="32"/>
        </w:rPr>
        <w:t>(%)，目标值90，完成值90，分值10，得分10</w:t>
      </w:r>
      <w:r>
        <w:rPr>
          <w:rFonts w:hint="eastAsia" w:ascii="仿宋" w:hAnsi="仿宋" w:eastAsia="仿宋"/>
          <w:sz w:val="32"/>
          <w:szCs w:val="32"/>
        </w:rPr>
        <w:t>。</w:t>
      </w:r>
    </w:p>
    <w:p>
      <w:pPr>
        <w:pStyle w:val="2b2e09f2"/>
        <w:tabs>
          <w:tab w:val="left" w:pos="2244"/>
        </w:tabs>
        <w:spacing w:line="620" w:lineRule="exact"/>
        <w:ind w:left="1890" w:leftChars="900"/>
        <w:rPr>
          <w:rFonts w:ascii="仿宋" w:hAnsi="仿宋" w:eastAsia="仿宋"/>
          <w:b/>
          <w:color w:val="FF0000"/>
          <w:sz w:val="32"/>
          <w:szCs w:val="32"/>
        </w:rPr>
      </w:pPr>
    </w:p>
    <w:p>
      <w:pPr>
        <w:pStyle w:val="2b2e09f2"/>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2b2e09f2"/>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2b2e09f2"/>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2b2e09f2"/>
        <w:ind w:left="840" w:firstLine="420"/>
        <w:sectPr>
          <w:type w:val="continuous"/>
          <w:pgSz w:w="11907" w:h="16840"/>
        </w:sectPr>
      </w:pPr>
    </w:p>
    <w:p>
      <w:pPr>
        <w:pageBreakBefore w:val="true"/>
      </w:pPr>
    </w:p>
    <w:p>
      <w:pPr>
        <w:pStyle w:val="b2b0eb04"/>
        <w:rPr>
          <w:rFonts w:ascii="仿宋" w:hAnsi="仿宋" w:eastAsia="仿宋"/>
          <w:sz w:val="32"/>
          <w:szCs w:val="32"/>
        </w:rPr>
      </w:pPr>
    </w:p>
    <w:p>
      <w:pPr>
        <w:pStyle w:val="b2b0eb04"/>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b2b0eb04"/>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泉财农指〔2024〕101号，2024年泉州市级财政现代林业经济专项资金（第二批）：实用林产品质量监测1万元</w:t>
      </w:r>
      <w:r>
        <w:rPr>
          <w:rFonts w:hint="eastAsia" w:ascii="仿宋" w:hAnsi="仿宋" w:eastAsia="仿宋"/>
          <w:sz w:val="32"/>
          <w:szCs w:val="32"/>
        </w:rPr>
        <w:t>）</w:t>
      </w:r>
    </w:p>
    <w:p>
      <w:pPr>
        <w:pStyle w:val="b2b0eb04"/>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b2b0eb04"/>
        <w:ind w:firstLine="643" w:firstLineChars="200"/>
        <w:rPr>
          <w:rFonts w:ascii="仿宋" w:hAnsi="仿宋" w:eastAsia="仿宋"/>
          <w:sz w:val="32"/>
          <w:szCs w:val="32"/>
        </w:rPr>
      </w:pPr>
      <w:r>
        <w:rPr>
          <w:rFonts w:hint="eastAsia" w:ascii="仿宋" w:hAnsi="仿宋" w:eastAsia="仿宋"/>
          <w:b/>
          <w:sz w:val="32"/>
          <w:szCs w:val="32"/>
        </w:rPr>
        <w:t>（一）项目概况</w:t>
      </w:r>
    </w:p>
    <w:p>
      <w:pPr>
        <w:pStyle w:val="b2b0eb04"/>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b2b0eb04"/>
        <w:ind w:firstLine="643" w:firstLineChars="200"/>
        <w:rPr>
          <w:rFonts w:ascii="仿宋" w:hAnsi="仿宋" w:eastAsia="仿宋"/>
          <w:sz w:val="32"/>
          <w:szCs w:val="32"/>
        </w:rPr>
      </w:pPr>
      <w:r>
        <w:rPr>
          <w:rFonts w:hint="eastAsia" w:ascii="仿宋" w:hAnsi="仿宋" w:eastAsia="仿宋"/>
          <w:b/>
          <w:sz w:val="32"/>
          <w:szCs w:val="32"/>
        </w:rPr>
        <w:t>（二）主要成效</w:t>
      </w:r>
    </w:p>
    <w:p>
      <w:pPr>
        <w:pStyle w:val="b2b0eb04"/>
        <w:ind w:firstLine="1472" w:firstLineChars="460"/>
        <w:rPr>
          <w:rFonts w:ascii="仿宋" w:hAnsi="仿宋" w:eastAsia="仿宋"/>
          <w:sz w:val="32"/>
          <w:szCs w:val="32"/>
        </w:rPr>
      </w:pPr>
    </w:p>
    <w:p>
      <w:pPr>
        <w:pStyle w:val="b2b0eb04"/>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b2b0eb04"/>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sz w:val="32"/>
        </w:rPr>
        <w:t>1)财政投入资金</w:t>
      </w:r>
      <w:r>
        <w:rPr>
          <w:rFonts w:ascii="仿宋" w:hAnsi="仿宋" w:eastAsia="仿宋" w:cs="仿宋"/>
          <w:sz w:val="32"/>
        </w:rPr>
        <w:t>(万元)，目标值1，完成值1，分值10，得分10</w:t>
      </w:r>
      <w:r>
        <w:rPr>
          <w:rFonts w:hint="eastAsia" w:ascii="仿宋" w:hAnsi="仿宋" w:eastAsia="仿宋"/>
          <w:sz w:val="32"/>
          <w:szCs w:val="32"/>
        </w:rPr>
        <w:t>。</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sz w:val="32"/>
        </w:rPr>
        <w:t>1)新增食用林产品入驻可追溯体系建设（个）</w:t>
      </w:r>
      <w:r>
        <w:rPr>
          <w:rFonts w:ascii="仿宋" w:hAnsi="仿宋" w:eastAsia="仿宋" w:cs="仿宋"/>
          <w:sz w:val="32"/>
        </w:rPr>
        <w:t>(个)，目标值2，完成值2，分值10，得分10</w:t>
      </w:r>
      <w:r>
        <w:rPr>
          <w:rFonts w:hint="eastAsia" w:ascii="仿宋" w:hAnsi="仿宋" w:eastAsia="仿宋"/>
          <w:sz w:val="32"/>
          <w:szCs w:val="32"/>
        </w:rPr>
        <w:t>。</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sz w:val="32"/>
        </w:rPr>
        <w:t>1)林产品和土壤检测</w:t>
      </w:r>
      <w:r>
        <w:rPr>
          <w:rFonts w:ascii="仿宋" w:hAnsi="仿宋" w:eastAsia="仿宋" w:cs="仿宋"/>
          <w:sz w:val="32"/>
        </w:rPr>
        <w:t>(批次)，目标值10，完成值10，分值20，得分20</w:t>
      </w:r>
      <w:r>
        <w:rPr>
          <w:rFonts w:hint="eastAsia" w:ascii="仿宋" w:hAnsi="仿宋" w:eastAsia="仿宋"/>
          <w:sz w:val="32"/>
          <w:szCs w:val="32"/>
        </w:rPr>
        <w:t>。</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sz w:val="32"/>
        </w:rPr>
        <w:t>1)监测完成率</w:t>
      </w:r>
      <w:r>
        <w:rPr>
          <w:rFonts w:ascii="仿宋" w:hAnsi="仿宋" w:eastAsia="仿宋" w:cs="仿宋"/>
          <w:sz w:val="32"/>
        </w:rPr>
        <w:t>(%)，目标值100，完成值100，分值10，得分10</w:t>
      </w:r>
      <w:r>
        <w:rPr>
          <w:rFonts w:hint="eastAsia" w:ascii="仿宋" w:hAnsi="仿宋" w:eastAsia="仿宋"/>
          <w:sz w:val="32"/>
          <w:szCs w:val="32"/>
        </w:rPr>
        <w:t>。</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sz w:val="32"/>
        </w:rPr>
        <w:t>1)增加企业收入</w:t>
      </w:r>
      <w:r>
        <w:rPr>
          <w:rFonts w:ascii="仿宋" w:hAnsi="仿宋" w:eastAsia="仿宋" w:cs="仿宋"/>
          <w:sz w:val="32"/>
        </w:rPr>
        <w:t>(无)，目标值逐步增加，完成值逐步增加，分值30，得分30</w:t>
      </w:r>
      <w:r>
        <w:rPr>
          <w:rFonts w:hint="eastAsia" w:ascii="仿宋" w:hAnsi="仿宋" w:eastAsia="仿宋"/>
          <w:sz w:val="32"/>
          <w:szCs w:val="32"/>
        </w:rPr>
        <w:t>。</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b2b0eb04"/>
        <w:spacing w:line="620" w:lineRule="exact"/>
        <w:ind w:left="420" w:leftChars="200"/>
        <w:rPr>
          <w:rFonts w:ascii="仿宋" w:hAnsi="仿宋" w:eastAsia="仿宋"/>
          <w:sz w:val="32"/>
          <w:szCs w:val="32"/>
        </w:rPr>
      </w:pPr>
      <w:r>
        <w:rPr>
          <w:rFonts w:ascii="仿宋_GB2312" w:hAnsi="仿宋_GB2312" w:eastAsia="仿宋_GB2312" w:cs="仿宋_GB2312"/>
          <w:sz w:val="32"/>
        </w:rPr>
        <w:t>1)</w:t>
      </w:r>
      <w:r>
        <w:rPr>
          <w:rFonts w:ascii="仿宋_GB2312" w:hAnsi="仿宋_GB2312" w:eastAsia="仿宋_GB2312" w:cs="仿宋_GB2312"/>
          <w:sz w:val="32"/>
        </w:rPr>
        <w:tab/>
      </w:r>
      <w:r>
        <w:rPr>
          <w:rFonts w:ascii="仿宋_GB2312" w:hAnsi="仿宋_GB2312" w:eastAsia="仿宋_GB2312" w:cs="仿宋_GB2312"/>
          <w:sz w:val="32"/>
        </w:rPr>
        <w:cr/>
      </w:r>
      <w:r>
        <w:rPr>
          <w:rFonts w:ascii="仿宋_GB2312" w:hAnsi="仿宋_GB2312" w:eastAsia="仿宋_GB2312" w:cs="仿宋_GB2312"/>
          <w:sz w:val="32"/>
        </w:rPr>
        <w:t>服务对象满意度</w:t>
      </w:r>
      <w:r>
        <w:rPr>
          <w:rFonts w:ascii="仿宋" w:hAnsi="仿宋" w:eastAsia="仿宋" w:cs="仿宋"/>
          <w:sz w:val="32"/>
        </w:rPr>
        <w:t>(%)，目标值90，完成值90，分值10，得分10</w:t>
      </w:r>
      <w:r>
        <w:rPr>
          <w:rFonts w:hint="eastAsia" w:ascii="仿宋" w:hAnsi="仿宋" w:eastAsia="仿宋"/>
          <w:sz w:val="32"/>
          <w:szCs w:val="32"/>
        </w:rPr>
        <w:t>。</w:t>
      </w:r>
    </w:p>
    <w:p>
      <w:pPr>
        <w:pStyle w:val="b2b0eb04"/>
        <w:tabs>
          <w:tab w:val="left" w:pos="2244"/>
        </w:tabs>
        <w:spacing w:line="620" w:lineRule="exact"/>
        <w:ind w:left="1890" w:leftChars="900"/>
        <w:rPr>
          <w:rFonts w:ascii="仿宋" w:hAnsi="仿宋" w:eastAsia="仿宋"/>
          <w:b/>
          <w:color w:val="FF0000"/>
          <w:sz w:val="32"/>
          <w:szCs w:val="32"/>
        </w:rPr>
      </w:pPr>
    </w:p>
    <w:p>
      <w:pPr>
        <w:pStyle w:val="b2b0eb04"/>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b2b0eb04"/>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b2b0eb04"/>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b2b0eb04"/>
        <w:ind w:left="840" w:firstLine="420"/>
        <w:sectPr>
          <w:type w:val="continuous"/>
          <w:pgSz w:w="11907" w:h="16840"/>
        </w:sectPr>
      </w:pPr>
    </w:p>
    <w:p>
      <w:pPr>
        <w:pageBreakBefore w:val="true"/>
      </w:pPr>
    </w:p>
    <w:p>
      <w:pPr>
        <w:pStyle w:val="629fe46c"/>
        <w:rPr>
          <w:rFonts w:ascii="仿宋" w:hAnsi="仿宋" w:eastAsia="仿宋"/>
          <w:sz w:val="32"/>
          <w:szCs w:val="32"/>
        </w:rPr>
      </w:pPr>
      <w:bookmarkStart w:id="0" w:name="_GoBack"/>
      <w:bookmarkEnd w:id="0"/>
    </w:p>
    <w:p>
      <w:pPr>
        <w:pStyle w:val="629fe46c"/>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r>
        <w:rPr>
          <w:rFonts w:ascii="宋体" w:hAnsi="宋体" w:eastAsia="宋体" w:cs="宋体"/>
          <w:b/>
          <w:sz w:val="44"/>
        </w:rPr>
        <w:t>报告</w:t>
      </w:r>
    </w:p>
    <w:p>
      <w:pPr>
        <w:pStyle w:val="629fe46c"/>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2021结转-林木火灾赔款</w:t>
      </w:r>
      <w:r>
        <w:rPr>
          <w:rFonts w:hint="eastAsia" w:ascii="仿宋" w:hAnsi="仿宋" w:eastAsia="仿宋"/>
          <w:sz w:val="32"/>
          <w:szCs w:val="32"/>
        </w:rPr>
        <w:t>）</w:t>
      </w:r>
    </w:p>
    <w:p>
      <w:pPr>
        <w:pStyle w:val="629fe46c"/>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629fe46c"/>
        <w:ind w:firstLine="643" w:firstLineChars="200"/>
        <w:rPr>
          <w:rFonts w:ascii="仿宋" w:hAnsi="仿宋" w:eastAsia="仿宋"/>
          <w:sz w:val="32"/>
          <w:szCs w:val="32"/>
        </w:rPr>
      </w:pPr>
      <w:r>
        <w:rPr>
          <w:rFonts w:hint="eastAsia" w:ascii="仿宋" w:hAnsi="仿宋" w:eastAsia="仿宋"/>
          <w:b/>
          <w:sz w:val="32"/>
          <w:szCs w:val="32"/>
        </w:rPr>
        <w:t>（一）项目概况</w:t>
      </w:r>
    </w:p>
    <w:p>
      <w:pPr>
        <w:pStyle w:val="629fe46c"/>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629fe46c"/>
        <w:ind w:firstLine="643" w:firstLineChars="200"/>
        <w:rPr>
          <w:rFonts w:ascii="仿宋" w:hAnsi="仿宋" w:eastAsia="仿宋"/>
          <w:sz w:val="32"/>
          <w:szCs w:val="32"/>
        </w:rPr>
      </w:pPr>
      <w:r>
        <w:rPr>
          <w:rFonts w:hint="eastAsia" w:ascii="仿宋" w:hAnsi="仿宋" w:eastAsia="仿宋"/>
          <w:b/>
          <w:sz w:val="32"/>
          <w:szCs w:val="32"/>
        </w:rPr>
        <w:t>（二）主要成效</w:t>
      </w:r>
    </w:p>
    <w:p>
      <w:pPr>
        <w:pStyle w:val="629fe46c"/>
        <w:ind w:firstLine="1472" w:firstLineChars="460"/>
        <w:rPr>
          <w:rFonts w:ascii="仿宋" w:hAnsi="仿宋" w:eastAsia="仿宋"/>
          <w:sz w:val="32"/>
          <w:szCs w:val="32"/>
        </w:rPr>
      </w:pPr>
    </w:p>
    <w:p>
      <w:pPr>
        <w:pStyle w:val="629fe46c"/>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629fe46c"/>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sz w:val="32"/>
        </w:rPr>
        <w:t>1)2021结转-林木火灾赔款</w:t>
      </w:r>
      <w:r>
        <w:rPr>
          <w:rFonts w:ascii="仿宋" w:hAnsi="仿宋" w:eastAsia="仿宋" w:cs="仿宋"/>
          <w:sz w:val="32"/>
        </w:rPr>
        <w:t>(万元)，目标值7.630114，完成值7.6301，分值10，得分10</w:t>
      </w:r>
      <w:r>
        <w:rPr>
          <w:rFonts w:hint="eastAsia" w:ascii="仿宋" w:hAnsi="仿宋" w:eastAsia="仿宋"/>
          <w:sz w:val="32"/>
          <w:szCs w:val="32"/>
        </w:rPr>
        <w:t>。</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sz w:val="32"/>
        </w:rPr>
        <w:t>1)2021结转-林木火灾赔款</w:t>
      </w:r>
      <w:r>
        <w:rPr>
          <w:rFonts w:ascii="仿宋" w:hAnsi="仿宋" w:eastAsia="仿宋" w:cs="仿宋"/>
          <w:sz w:val="32"/>
        </w:rPr>
        <w:t>(万元)，目标值7.630114，完成值7.6301，分值20，得分20</w:t>
      </w:r>
      <w:r>
        <w:rPr>
          <w:rFonts w:hint="eastAsia" w:ascii="仿宋" w:hAnsi="仿宋" w:eastAsia="仿宋"/>
          <w:sz w:val="32"/>
          <w:szCs w:val="32"/>
        </w:rPr>
        <w:t>。</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sz w:val="32"/>
        </w:rPr>
        <w:t>1)是否年度结转</w:t>
      </w:r>
      <w:r>
        <w:rPr>
          <w:rFonts w:ascii="仿宋" w:hAnsi="仿宋" w:eastAsia="仿宋" w:cs="仿宋"/>
          <w:sz w:val="32"/>
        </w:rPr>
        <w:t>(无)，目标值是，完成值是，分值10，得分10</w:t>
      </w:r>
      <w:r>
        <w:rPr>
          <w:rFonts w:hint="eastAsia" w:ascii="仿宋" w:hAnsi="仿宋" w:eastAsia="仿宋"/>
          <w:sz w:val="32"/>
          <w:szCs w:val="32"/>
        </w:rPr>
        <w:t>。</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sz w:val="32"/>
        </w:rPr>
        <w:t>1)年度决算（年/次）</w:t>
      </w:r>
      <w:r>
        <w:rPr>
          <w:rFonts w:ascii="仿宋" w:hAnsi="仿宋" w:eastAsia="仿宋" w:cs="仿宋"/>
          <w:sz w:val="32"/>
        </w:rPr>
        <w:t>(年/次)，目标值1，完成值1，分值10，得分10</w:t>
      </w:r>
      <w:r>
        <w:rPr>
          <w:rFonts w:hint="eastAsia" w:ascii="仿宋" w:hAnsi="仿宋" w:eastAsia="仿宋"/>
          <w:sz w:val="32"/>
          <w:szCs w:val="32"/>
        </w:rPr>
        <w:t>。</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sz w:val="32"/>
        </w:rPr>
        <w:t>1)维护社会安全</w:t>
      </w:r>
      <w:r>
        <w:rPr>
          <w:rFonts w:ascii="仿宋" w:hAnsi="仿宋" w:eastAsia="仿宋" w:cs="仿宋"/>
          <w:sz w:val="32"/>
        </w:rPr>
        <w:t>(无)，目标值有效提升，完成值有效提升，分值30，得分30</w:t>
      </w:r>
      <w:r>
        <w:rPr>
          <w:rFonts w:hint="eastAsia" w:ascii="仿宋" w:hAnsi="仿宋" w:eastAsia="仿宋"/>
          <w:sz w:val="32"/>
          <w:szCs w:val="32"/>
        </w:rPr>
        <w:t>。</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629fe46c"/>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(%)，目标值90，完成值90，分值10，得分10</w:t>
      </w:r>
      <w:r>
        <w:rPr>
          <w:rFonts w:hint="eastAsia" w:ascii="仿宋" w:hAnsi="仿宋" w:eastAsia="仿宋"/>
          <w:sz w:val="32"/>
          <w:szCs w:val="32"/>
        </w:rPr>
        <w:t>。</w:t>
      </w:r>
    </w:p>
    <w:p>
      <w:pPr>
        <w:pStyle w:val="629fe46c"/>
        <w:tabs>
          <w:tab w:val="left" w:pos="2244"/>
        </w:tabs>
        <w:spacing w:line="620" w:lineRule="exact"/>
        <w:ind w:left="1890" w:leftChars="900"/>
        <w:rPr>
          <w:rFonts w:ascii="仿宋" w:hAnsi="仿宋" w:eastAsia="仿宋"/>
          <w:b/>
          <w:color w:val="FF0000"/>
          <w:sz w:val="32"/>
          <w:szCs w:val="32"/>
        </w:rPr>
      </w:pPr>
    </w:p>
    <w:p>
      <w:pPr>
        <w:pStyle w:val="629fe46c"/>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629fe46c"/>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629fe46c"/>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629fe46c"/>
        <w:ind w:left="840" w:firstLine="420"/>
        <w:sectPr>
          <w:type w:val="continuous"/>
          <w:pgSz w:w="11907" w:h="16840"/>
        </w:sectPr>
      </w:pPr>
    </w:p>
    <w:p>
      <w:pPr>
        <w:pageBreakBefore w:val="true"/>
      </w:pPr>
    </w:p>
    <w:p>
      <w:pPr>
        <w:pStyle w:val="5bd46b1b"/>
        <w:rPr>
          <w:rFonts w:ascii="仿宋" w:hAnsi="仿宋" w:eastAsia="仿宋"/>
          <w:sz w:val="32"/>
          <w:szCs w:val="32"/>
        </w:rPr>
      </w:pPr>
      <w:bookmarkStart w:id="0" w:name="_GoBack"/>
      <w:bookmarkEnd w:id="0"/>
    </w:p>
    <w:p>
      <w:pPr>
        <w:pStyle w:val="5bd46b1b"/>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r>
        <w:rPr>
          <w:rFonts w:ascii="宋体" w:hAnsi="宋体" w:eastAsia="宋体" w:cs="宋体"/>
          <w:b/>
          <w:sz w:val="44"/>
        </w:rPr>
        <w:t>报告</w:t>
      </w:r>
    </w:p>
    <w:p>
      <w:pPr>
        <w:pStyle w:val="5bd46b1b"/>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泉财指标〔2023〕435号2023年市级财政现代林业经济专项资金（第一批）</w:t>
      </w:r>
      <w:r>
        <w:rPr>
          <w:rFonts w:hint="eastAsia" w:ascii="仿宋" w:hAnsi="仿宋" w:eastAsia="仿宋"/>
          <w:sz w:val="32"/>
          <w:szCs w:val="32"/>
        </w:rPr>
        <w:t>）</w:t>
      </w:r>
    </w:p>
    <w:p>
      <w:pPr>
        <w:pStyle w:val="5bd46b1b"/>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5bd46b1b"/>
        <w:ind w:firstLine="643" w:firstLineChars="200"/>
        <w:rPr>
          <w:rFonts w:ascii="仿宋" w:hAnsi="仿宋" w:eastAsia="仿宋"/>
          <w:sz w:val="32"/>
          <w:szCs w:val="32"/>
        </w:rPr>
      </w:pPr>
      <w:r>
        <w:rPr>
          <w:rFonts w:hint="eastAsia" w:ascii="仿宋" w:hAnsi="仿宋" w:eastAsia="仿宋"/>
          <w:b/>
          <w:sz w:val="32"/>
          <w:szCs w:val="32"/>
        </w:rPr>
        <w:t>（一）项目概况</w:t>
      </w:r>
    </w:p>
    <w:p>
      <w:pPr>
        <w:pStyle w:val="5bd46b1b"/>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5bd46b1b"/>
        <w:ind w:firstLine="643" w:firstLineChars="200"/>
        <w:rPr>
          <w:rFonts w:ascii="仿宋" w:hAnsi="仿宋" w:eastAsia="仿宋"/>
          <w:sz w:val="32"/>
          <w:szCs w:val="32"/>
        </w:rPr>
      </w:pPr>
      <w:r>
        <w:rPr>
          <w:rFonts w:hint="eastAsia" w:ascii="仿宋" w:hAnsi="仿宋" w:eastAsia="仿宋"/>
          <w:b/>
          <w:sz w:val="32"/>
          <w:szCs w:val="32"/>
        </w:rPr>
        <w:t>（二）主要成效</w:t>
      </w:r>
    </w:p>
    <w:p>
      <w:pPr>
        <w:pStyle w:val="5bd46b1b"/>
        <w:ind w:firstLine="1472" w:firstLineChars="460"/>
        <w:rPr>
          <w:rFonts w:ascii="仿宋" w:hAnsi="仿宋" w:eastAsia="仿宋"/>
          <w:sz w:val="32"/>
          <w:szCs w:val="32"/>
        </w:rPr>
      </w:pPr>
    </w:p>
    <w:p>
      <w:pPr>
        <w:pStyle w:val="5bd46b1b"/>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5bd46b1b"/>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sz w:val="32"/>
        </w:rPr>
        <w:t>1)带动苗农增收（万元）</w:t>
      </w:r>
      <w:r>
        <w:rPr>
          <w:rFonts w:ascii="仿宋" w:hAnsi="仿宋" w:eastAsia="仿宋" w:cs="仿宋"/>
          <w:sz w:val="32"/>
        </w:rPr>
        <w:t>(万元)，目标值50，完成值50，分值10，得分10</w:t>
      </w:r>
      <w:r>
        <w:rPr>
          <w:rFonts w:hint="eastAsia" w:ascii="仿宋" w:hAnsi="仿宋" w:eastAsia="仿宋"/>
          <w:sz w:val="32"/>
          <w:szCs w:val="32"/>
        </w:rPr>
        <w:t>。</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sz w:val="32"/>
        </w:rPr>
        <w:t>1)苗圃建设（个）</w:t>
      </w:r>
      <w:r>
        <w:rPr>
          <w:rFonts w:ascii="仿宋" w:hAnsi="仿宋" w:eastAsia="仿宋" w:cs="仿宋"/>
          <w:sz w:val="32"/>
        </w:rPr>
        <w:t>(个)，目标值1，完成值1，分值20，得分20</w:t>
      </w:r>
      <w:r>
        <w:rPr>
          <w:rFonts w:hint="eastAsia" w:ascii="仿宋" w:hAnsi="仿宋" w:eastAsia="仿宋"/>
          <w:sz w:val="32"/>
          <w:szCs w:val="32"/>
        </w:rPr>
        <w:t>。</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sz w:val="32"/>
        </w:rPr>
        <w:t>1)转型增效建设</w:t>
      </w:r>
      <w:r>
        <w:rPr>
          <w:rFonts w:ascii="仿宋" w:hAnsi="仿宋" w:eastAsia="仿宋" w:cs="仿宋"/>
          <w:sz w:val="32"/>
        </w:rPr>
        <w:t>(个)，目标值2，完成值2，分值10，得分10</w:t>
      </w:r>
      <w:r>
        <w:rPr>
          <w:rFonts w:hint="eastAsia" w:ascii="仿宋" w:hAnsi="仿宋" w:eastAsia="仿宋"/>
          <w:sz w:val="32"/>
          <w:szCs w:val="32"/>
        </w:rPr>
        <w:t>。</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sz w:val="32"/>
        </w:rPr>
        <w:t>1)增加企业收入</w:t>
      </w:r>
      <w:r>
        <w:rPr>
          <w:rFonts w:ascii="仿宋" w:hAnsi="仿宋" w:eastAsia="仿宋" w:cs="仿宋"/>
          <w:sz w:val="32"/>
        </w:rPr>
        <w:t>(无)，目标值逐步增加，完成值逐步增加，分值10，得分10</w:t>
      </w:r>
      <w:r>
        <w:rPr>
          <w:rFonts w:hint="eastAsia" w:ascii="仿宋" w:hAnsi="仿宋" w:eastAsia="仿宋"/>
          <w:sz w:val="32"/>
          <w:szCs w:val="32"/>
        </w:rPr>
        <w:t>。</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sz w:val="32"/>
        </w:rPr>
        <w:t>1)提高生产技术水平和知名度（是/否）</w:t>
      </w:r>
      <w:r>
        <w:rPr>
          <w:rFonts w:ascii="仿宋" w:hAnsi="仿宋" w:eastAsia="仿宋" w:cs="仿宋"/>
          <w:sz w:val="32"/>
        </w:rPr>
        <w:t>(无)，目标值是，完成值是，分值30，得分30</w:t>
      </w:r>
      <w:r>
        <w:rPr>
          <w:rFonts w:hint="eastAsia" w:ascii="仿宋" w:hAnsi="仿宋" w:eastAsia="仿宋"/>
          <w:sz w:val="32"/>
          <w:szCs w:val="32"/>
        </w:rPr>
        <w:t>。</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5bd46b1b"/>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w:t>
      </w:r>
      <w:r>
        <w:rPr>
          <w:rFonts w:ascii="仿宋" w:hAnsi="仿宋" w:eastAsia="仿宋" w:cs="仿宋"/>
          <w:sz w:val="32"/>
        </w:rPr>
        <w:t>(%)，目标值90，完成值90，分值10，得分10</w:t>
      </w:r>
      <w:r>
        <w:rPr>
          <w:rFonts w:hint="eastAsia" w:ascii="仿宋" w:hAnsi="仿宋" w:eastAsia="仿宋"/>
          <w:sz w:val="32"/>
          <w:szCs w:val="32"/>
        </w:rPr>
        <w:t>。</w:t>
      </w:r>
    </w:p>
    <w:p>
      <w:pPr>
        <w:pStyle w:val="5bd46b1b"/>
        <w:tabs>
          <w:tab w:val="left" w:pos="2244"/>
        </w:tabs>
        <w:spacing w:line="620" w:lineRule="exact"/>
        <w:ind w:left="1890" w:leftChars="900"/>
        <w:rPr>
          <w:rFonts w:ascii="仿宋" w:hAnsi="仿宋" w:eastAsia="仿宋"/>
          <w:b/>
          <w:color w:val="FF0000"/>
          <w:sz w:val="32"/>
          <w:szCs w:val="32"/>
        </w:rPr>
      </w:pPr>
    </w:p>
    <w:p>
      <w:pPr>
        <w:pStyle w:val="5bd46b1b"/>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5bd46b1b"/>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5bd46b1b"/>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5bd46b1b"/>
        <w:ind w:left="840" w:firstLine="420"/>
        <w:sectPr>
          <w:type w:val="continuous"/>
          <w:pgSz w:w="11907" w:h="16840"/>
        </w:sectPr>
      </w:pPr>
    </w:p>
    <w:p>
      <w:pPr>
        <w:pageBreakBefore w:val="true"/>
      </w:pPr>
    </w:p>
    <w:p>
      <w:pPr>
        <w:pStyle w:val="ef6ce027"/>
        <w:rPr>
          <w:rFonts w:ascii="仿宋" w:hAnsi="仿宋" w:eastAsia="仿宋"/>
          <w:sz w:val="32"/>
          <w:szCs w:val="32"/>
        </w:rPr>
      </w:pPr>
      <w:bookmarkStart w:id="0" w:name="_GoBack"/>
      <w:bookmarkEnd w:id="0"/>
    </w:p>
    <w:p>
      <w:pPr>
        <w:pStyle w:val="ef6ce027"/>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r>
        <w:rPr>
          <w:rFonts w:ascii="宋体" w:hAnsi="宋体" w:eastAsia="宋体" w:cs="宋体"/>
          <w:b/>
          <w:sz w:val="44"/>
        </w:rPr>
        <w:t>报告</w:t>
      </w:r>
    </w:p>
    <w:p>
      <w:pPr>
        <w:pStyle w:val="ef6ce027"/>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2021结转-罚没款</w:t>
      </w:r>
      <w:r>
        <w:rPr>
          <w:rFonts w:hint="eastAsia" w:ascii="仿宋" w:hAnsi="仿宋" w:eastAsia="仿宋"/>
          <w:sz w:val="32"/>
          <w:szCs w:val="32"/>
        </w:rPr>
        <w:t>）</w:t>
      </w:r>
    </w:p>
    <w:p>
      <w:pPr>
        <w:pStyle w:val="ef6ce027"/>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ef6ce027"/>
        <w:ind w:firstLine="643" w:firstLineChars="200"/>
        <w:rPr>
          <w:rFonts w:ascii="仿宋" w:hAnsi="仿宋" w:eastAsia="仿宋"/>
          <w:sz w:val="32"/>
          <w:szCs w:val="32"/>
        </w:rPr>
      </w:pPr>
      <w:r>
        <w:rPr>
          <w:rFonts w:hint="eastAsia" w:ascii="仿宋" w:hAnsi="仿宋" w:eastAsia="仿宋"/>
          <w:b/>
          <w:sz w:val="32"/>
          <w:szCs w:val="32"/>
        </w:rPr>
        <w:t>（一）项目概况</w:t>
      </w:r>
    </w:p>
    <w:p>
      <w:pPr>
        <w:pStyle w:val="ef6ce027"/>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ef6ce027"/>
        <w:ind w:firstLine="643" w:firstLineChars="200"/>
        <w:rPr>
          <w:rFonts w:ascii="仿宋" w:hAnsi="仿宋" w:eastAsia="仿宋"/>
          <w:sz w:val="32"/>
          <w:szCs w:val="32"/>
        </w:rPr>
      </w:pPr>
      <w:r>
        <w:rPr>
          <w:rFonts w:hint="eastAsia" w:ascii="仿宋" w:hAnsi="仿宋" w:eastAsia="仿宋"/>
          <w:b/>
          <w:sz w:val="32"/>
          <w:szCs w:val="32"/>
        </w:rPr>
        <w:t>（二）主要成效</w:t>
      </w:r>
    </w:p>
    <w:p>
      <w:pPr>
        <w:pStyle w:val="ef6ce027"/>
        <w:ind w:firstLine="1472" w:firstLineChars="460"/>
        <w:rPr>
          <w:rFonts w:ascii="仿宋" w:hAnsi="仿宋" w:eastAsia="仿宋"/>
          <w:sz w:val="32"/>
          <w:szCs w:val="32"/>
        </w:rPr>
      </w:pPr>
    </w:p>
    <w:p>
      <w:pPr>
        <w:pStyle w:val="ef6ce027"/>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ef6ce027"/>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sz w:val="32"/>
        </w:rPr>
        <w:t>1)2021结转-罚没款</w:t>
      </w:r>
      <w:r>
        <w:rPr>
          <w:rFonts w:ascii="仿宋" w:hAnsi="仿宋" w:eastAsia="仿宋" w:cs="仿宋"/>
          <w:sz w:val="32"/>
        </w:rPr>
        <w:t>(万元)，目标值18.315，完成值18.3150，分值10，得分10</w:t>
      </w:r>
      <w:r>
        <w:rPr>
          <w:rFonts w:hint="eastAsia" w:ascii="仿宋" w:hAnsi="仿宋" w:eastAsia="仿宋"/>
          <w:sz w:val="32"/>
          <w:szCs w:val="32"/>
        </w:rPr>
        <w:t>。</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sz w:val="32"/>
        </w:rPr>
        <w:t>1)2021结转-罚没款</w:t>
      </w:r>
      <w:r>
        <w:rPr>
          <w:rFonts w:ascii="仿宋" w:hAnsi="仿宋" w:eastAsia="仿宋" w:cs="仿宋"/>
          <w:sz w:val="32"/>
        </w:rPr>
        <w:t>(万元)，目标值18.315，完成值18.3150，分值20，得分20</w:t>
      </w:r>
      <w:r>
        <w:rPr>
          <w:rFonts w:hint="eastAsia" w:ascii="仿宋" w:hAnsi="仿宋" w:eastAsia="仿宋"/>
          <w:sz w:val="32"/>
          <w:szCs w:val="32"/>
        </w:rPr>
        <w:t>。</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sz w:val="32"/>
        </w:rPr>
        <w:t>1)年度结转（是/否）</w:t>
      </w:r>
      <w:r>
        <w:rPr>
          <w:rFonts w:ascii="仿宋" w:hAnsi="仿宋" w:eastAsia="仿宋" w:cs="仿宋"/>
          <w:sz w:val="32"/>
        </w:rPr>
        <w:t>(无)，目标值是，完成值是，分值10，得分10</w:t>
      </w:r>
      <w:r>
        <w:rPr>
          <w:rFonts w:hint="eastAsia" w:ascii="仿宋" w:hAnsi="仿宋" w:eastAsia="仿宋"/>
          <w:sz w:val="32"/>
          <w:szCs w:val="32"/>
        </w:rPr>
        <w:t>。</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sz w:val="32"/>
        </w:rPr>
        <w:t>1)年度决算（是/否）</w:t>
      </w:r>
      <w:r>
        <w:rPr>
          <w:rFonts w:ascii="仿宋" w:hAnsi="仿宋" w:eastAsia="仿宋" w:cs="仿宋"/>
          <w:sz w:val="32"/>
        </w:rPr>
        <w:t>(无)，目标值是，完成值是，分值10，得分10</w:t>
      </w:r>
      <w:r>
        <w:rPr>
          <w:rFonts w:hint="eastAsia" w:ascii="仿宋" w:hAnsi="仿宋" w:eastAsia="仿宋"/>
          <w:sz w:val="32"/>
          <w:szCs w:val="32"/>
        </w:rPr>
        <w:t>。</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sz w:val="32"/>
        </w:rPr>
        <w:t>1)维护社会安全</w:t>
      </w:r>
      <w:r>
        <w:rPr>
          <w:rFonts w:ascii="仿宋" w:hAnsi="仿宋" w:eastAsia="仿宋" w:cs="仿宋"/>
          <w:sz w:val="32"/>
        </w:rPr>
        <w:t>(无)，目标值是，完成值是，分值30，得分30</w:t>
      </w:r>
      <w:r>
        <w:rPr>
          <w:rFonts w:hint="eastAsia" w:ascii="仿宋" w:hAnsi="仿宋" w:eastAsia="仿宋"/>
          <w:sz w:val="32"/>
          <w:szCs w:val="32"/>
        </w:rPr>
        <w:t>。</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ef6ce027"/>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(%)，目标值90，完成值90，分值10，得分10</w:t>
      </w:r>
      <w:r>
        <w:rPr>
          <w:rFonts w:hint="eastAsia" w:ascii="仿宋" w:hAnsi="仿宋" w:eastAsia="仿宋"/>
          <w:sz w:val="32"/>
          <w:szCs w:val="32"/>
        </w:rPr>
        <w:t>。</w:t>
      </w:r>
    </w:p>
    <w:p>
      <w:pPr>
        <w:pStyle w:val="ef6ce027"/>
        <w:tabs>
          <w:tab w:val="left" w:pos="2244"/>
        </w:tabs>
        <w:spacing w:line="620" w:lineRule="exact"/>
        <w:ind w:left="1890" w:leftChars="900"/>
        <w:rPr>
          <w:rFonts w:ascii="仿宋" w:hAnsi="仿宋" w:eastAsia="仿宋"/>
          <w:b/>
          <w:color w:val="FF0000"/>
          <w:sz w:val="32"/>
          <w:szCs w:val="32"/>
        </w:rPr>
      </w:pPr>
    </w:p>
    <w:p>
      <w:pPr>
        <w:pStyle w:val="ef6ce027"/>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ef6ce027"/>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ef6ce027"/>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ef6ce027"/>
        <w:ind w:left="840" w:firstLine="420"/>
        <w:sectPr>
          <w:type w:val="continuous"/>
          <w:pgSz w:w="11907" w:h="16840"/>
        </w:sectPr>
      </w:pPr>
    </w:p>
    <w:p>
      <w:pPr>
        <w:pageBreakBefore w:val="true"/>
      </w:pPr>
    </w:p>
    <w:p>
      <w:pPr>
        <w:pStyle w:val="44fb569d"/>
        <w:rPr>
          <w:rFonts w:ascii="仿宋" w:hAnsi="仿宋" w:eastAsia="仿宋"/>
          <w:sz w:val="32"/>
          <w:szCs w:val="32"/>
        </w:rPr>
      </w:pPr>
      <w:bookmarkStart w:id="0" w:name="_GoBack"/>
      <w:bookmarkEnd w:id="0"/>
    </w:p>
    <w:p>
      <w:pPr>
        <w:pStyle w:val="44fb569d"/>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r>
        <w:rPr>
          <w:rFonts w:ascii="宋体" w:hAnsi="宋体" w:eastAsia="宋体" w:cs="宋体"/>
          <w:b/>
          <w:sz w:val="44"/>
        </w:rPr>
        <w:t>报告</w:t>
      </w:r>
    </w:p>
    <w:p>
      <w:pPr>
        <w:pStyle w:val="44fb569d"/>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泉财农指〔2025〕43号，2025年泉州市级财政森林资源培育与管护专项资金我（第一批）：推进林长制工作（林长制示范区建设30万元、林长制正向激励7万元）</w:t>
      </w:r>
      <w:r>
        <w:rPr>
          <w:rFonts w:hint="eastAsia" w:ascii="仿宋" w:hAnsi="仿宋" w:eastAsia="仿宋"/>
          <w:sz w:val="32"/>
          <w:szCs w:val="32"/>
        </w:rPr>
        <w:t>）</w:t>
      </w:r>
    </w:p>
    <w:p>
      <w:pPr>
        <w:pStyle w:val="44fb569d"/>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44fb569d"/>
        <w:ind w:firstLine="643" w:firstLineChars="200"/>
        <w:rPr>
          <w:rFonts w:ascii="仿宋" w:hAnsi="仿宋" w:eastAsia="仿宋"/>
          <w:sz w:val="32"/>
          <w:szCs w:val="32"/>
        </w:rPr>
      </w:pPr>
      <w:r>
        <w:rPr>
          <w:rFonts w:hint="eastAsia" w:ascii="仿宋" w:hAnsi="仿宋" w:eastAsia="仿宋"/>
          <w:b/>
          <w:sz w:val="32"/>
          <w:szCs w:val="32"/>
        </w:rPr>
        <w:t>（一）项目概况</w:t>
      </w:r>
    </w:p>
    <w:p>
      <w:pPr>
        <w:pStyle w:val="44fb569d"/>
        <w:ind w:firstLine="1472" w:firstLineChars="460"/>
        <w:rPr>
          <w:rFonts w:ascii="仿宋" w:hAnsi="仿宋" w:eastAsia="仿宋"/>
          <w:sz w:val="32"/>
          <w:szCs w:val="32"/>
        </w:rPr>
      </w:pPr>
      <w:r>
        <w:rPr>
          <w:rFonts w:hint="eastAsia" w:ascii="仿宋" w:hAnsi="仿宋" w:eastAsia="仿宋"/>
          <w:sz w:val="32"/>
          <w:szCs w:val="32"/>
        </w:rPr>
        <w:t>完成泉州市2025年林长制“一公园一标准一品牌”项目</w:t>
      </w:r>
      <w:r>
        <w:rPr>
          <w:rFonts w:ascii="仿宋" w:hAnsi="仿宋" w:eastAsia="仿宋" w:cs="仿宋"/>
          <w:sz w:val="32"/>
        </w:rPr>
        <w:t xml:space="preserve"> </w:t>
      </w:r>
    </w:p>
    <w:p>
      <w:pPr>
        <w:pStyle w:val="44fb569d"/>
        <w:ind w:firstLine="643" w:firstLineChars="200"/>
        <w:rPr>
          <w:rFonts w:ascii="仿宋" w:hAnsi="仿宋" w:eastAsia="仿宋"/>
          <w:sz w:val="32"/>
          <w:szCs w:val="32"/>
        </w:rPr>
      </w:pPr>
      <w:r>
        <w:rPr>
          <w:rFonts w:hint="eastAsia" w:ascii="仿宋" w:hAnsi="仿宋" w:eastAsia="仿宋"/>
          <w:b/>
          <w:sz w:val="32"/>
          <w:szCs w:val="32"/>
        </w:rPr>
        <w:t>（二）主要成效</w:t>
      </w:r>
    </w:p>
    <w:p>
      <w:pPr>
        <w:pStyle w:val="44fb569d"/>
        <w:ind w:firstLine="1472" w:firstLineChars="460"/>
        <w:rPr>
          <w:rFonts w:ascii="仿宋" w:hAnsi="仿宋" w:eastAsia="仿宋"/>
          <w:sz w:val="32"/>
          <w:szCs w:val="32"/>
        </w:rPr>
      </w:pPr>
    </w:p>
    <w:p>
      <w:pPr>
        <w:pStyle w:val="44fb569d"/>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44fb569d"/>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43分，等级为低，设置绩效目标6个，实际完成2个，具体情况如下：</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sz w:val="32"/>
        </w:rPr>
        <w:t>1)项目建设合格率（%）</w:t>
      </w:r>
      <w:r>
        <w:rPr>
          <w:rFonts w:ascii="仿宋" w:hAnsi="仿宋" w:eastAsia="仿宋" w:cs="仿宋"/>
          <w:sz w:val="32"/>
        </w:rPr>
        <w:t>(%)，目标值100，完成值30，分值10，得分3</w:t>
      </w:r>
      <w:r>
        <w:rPr>
          <w:rFonts w:hint="eastAsia" w:ascii="仿宋" w:hAnsi="仿宋" w:eastAsia="仿宋"/>
          <w:sz w:val="32"/>
          <w:szCs w:val="32"/>
        </w:rPr>
        <w:t>。</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sz w:val="32"/>
        </w:rPr>
        <w:t>1)新增泉州市林长制“一公园一标准一品牌”项目个数（个）</w:t>
      </w:r>
      <w:r>
        <w:rPr>
          <w:rFonts w:ascii="仿宋" w:hAnsi="仿宋" w:eastAsia="仿宋" w:cs="仿宋"/>
          <w:sz w:val="32"/>
        </w:rPr>
        <w:t>(个)，目标值3，完成值0，分值20，得分0</w:t>
      </w:r>
      <w:r>
        <w:rPr>
          <w:rFonts w:hint="eastAsia" w:ascii="仿宋" w:hAnsi="仿宋" w:eastAsia="仿宋"/>
          <w:sz w:val="32"/>
          <w:szCs w:val="32"/>
        </w:rPr>
        <w:t>。</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sz w:val="32"/>
        </w:rPr>
        <w:t>1)项目建设任务完成率（%）</w:t>
      </w:r>
      <w:r>
        <w:rPr>
          <w:rFonts w:ascii="仿宋" w:hAnsi="仿宋" w:eastAsia="仿宋" w:cs="仿宋"/>
          <w:sz w:val="32"/>
        </w:rPr>
        <w:t>(%)，目标值100，完成值0，分值10，得分0</w:t>
      </w:r>
      <w:r>
        <w:rPr>
          <w:rFonts w:hint="eastAsia" w:ascii="仿宋" w:hAnsi="仿宋" w:eastAsia="仿宋"/>
          <w:sz w:val="32"/>
          <w:szCs w:val="32"/>
        </w:rPr>
        <w:t>。</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sz w:val="32"/>
        </w:rPr>
        <w:t>1)项目建设合格率（%）</w:t>
      </w:r>
      <w:r>
        <w:rPr>
          <w:rFonts w:ascii="仿宋" w:hAnsi="仿宋" w:eastAsia="仿宋" w:cs="仿宋"/>
          <w:sz w:val="32"/>
        </w:rPr>
        <w:t>(%)，目标值100，完成值0，分值10，得分0</w:t>
      </w:r>
      <w:r>
        <w:rPr>
          <w:rFonts w:hint="eastAsia" w:ascii="仿宋" w:hAnsi="仿宋" w:eastAsia="仿宋"/>
          <w:sz w:val="32"/>
          <w:szCs w:val="32"/>
        </w:rPr>
        <w:t>。</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sz w:val="32"/>
        </w:rPr>
        <w:t>1)打造“绿水青山就是金山银山”品牌</w:t>
      </w:r>
      <w:r>
        <w:rPr>
          <w:rFonts w:ascii="仿宋" w:hAnsi="仿宋" w:eastAsia="仿宋" w:cs="仿宋"/>
          <w:sz w:val="32"/>
        </w:rPr>
        <w:t>(个)，目标值1，完成值30，分值30，得分30</w:t>
      </w:r>
      <w:r>
        <w:rPr>
          <w:rFonts w:hint="eastAsia" w:ascii="仿宋" w:hAnsi="仿宋" w:eastAsia="仿宋"/>
          <w:sz w:val="32"/>
          <w:szCs w:val="32"/>
        </w:rPr>
        <w:t>。</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44fb569d"/>
        <w:spacing w:line="620" w:lineRule="exact"/>
        <w:ind w:left="420" w:leftChars="200"/>
        <w:rPr>
          <w:rFonts w:ascii="仿宋" w:hAnsi="仿宋" w:eastAsia="仿宋"/>
          <w:sz w:val="32"/>
          <w:szCs w:val="32"/>
        </w:rPr>
      </w:pPr>
      <w:r>
        <w:rPr>
          <w:rFonts w:ascii="仿宋_GB2312" w:hAnsi="仿宋_GB2312" w:eastAsia="仿宋_GB2312" w:cs="仿宋_GB2312"/>
          <w:sz w:val="32"/>
        </w:rPr>
        <w:t>1)林农满意度</w:t>
      </w:r>
      <w:r>
        <w:rPr>
          <w:rFonts w:ascii="仿宋" w:hAnsi="仿宋" w:eastAsia="仿宋" w:cs="仿宋"/>
          <w:sz w:val="32"/>
        </w:rPr>
        <w:t>(%)，目标值90，完成值90，分值10，得分10</w:t>
      </w:r>
      <w:r>
        <w:rPr>
          <w:rFonts w:hint="eastAsia" w:ascii="仿宋" w:hAnsi="仿宋" w:eastAsia="仿宋"/>
          <w:sz w:val="32"/>
          <w:szCs w:val="32"/>
        </w:rPr>
        <w:t>。</w:t>
      </w:r>
    </w:p>
    <w:p>
      <w:pPr>
        <w:pStyle w:val="44fb569d"/>
        <w:tabs>
          <w:tab w:val="left" w:pos="2244"/>
        </w:tabs>
        <w:spacing w:line="620" w:lineRule="exact"/>
        <w:ind w:left="1890" w:leftChars="900"/>
        <w:rPr>
          <w:rFonts w:ascii="仿宋" w:hAnsi="仿宋" w:eastAsia="仿宋"/>
          <w:b/>
          <w:color w:val="FF0000"/>
          <w:sz w:val="32"/>
          <w:szCs w:val="32"/>
        </w:rPr>
      </w:pPr>
    </w:p>
    <w:p>
      <w:pPr>
        <w:pStyle w:val="44fb569d"/>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44fb569d"/>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44fb569d"/>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正在开展项目建设。因林长制主题公园建设选址，个别乡镇招投标等原因，导致项目建设还未完成。</w:t>
      </w:r>
    </w:p>
    <w:p>
      <w:pPr>
        <w:pStyle w:val="44fb569d"/>
        <w:spacing w:line="620" w:lineRule="exact"/>
        <w:ind w:left="840" w:leftChars="400" w:firstLine="420"/>
        <w:rPr>
          <w:rFonts w:ascii="仿宋" w:hAnsi="仿宋" w:eastAsia="仿宋"/>
          <w:sz w:val="32"/>
          <w:szCs w:val="32"/>
        </w:rPr>
      </w:pPr>
      <w:r>
        <w:rPr>
          <w:rFonts w:hint="eastAsia" w:ascii="仿宋" w:hAnsi="仿宋" w:eastAsia="仿宋"/>
          <w:sz w:val="32"/>
          <w:szCs w:val="32"/>
        </w:rPr>
        <w:t>2</w:t>
      </w:r>
      <w:r>
        <w:rPr>
          <w:rFonts w:ascii="仿宋" w:hAnsi="仿宋" w:eastAsia="仿宋" w:cs="仿宋"/>
          <w:sz w:val="32"/>
        </w:rPr>
        <w:t>. 　 正在开展项目建设。因林长制主题公园建设选址，个别乡镇招投标等原因，导致项目建设还未完成。</w:t>
      </w:r>
    </w:p>
    <w:p>
      <w:pPr>
        <w:pStyle w:val="44fb569d"/>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44fb569d"/>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正在开展项目建设。因林长制主题公园建设选址，个别乡镇招投标等原因，导致项目建设还未完成。加快进度、加大力度抓建设</w:t>
      </w:r>
    </w:p>
    <w:p>
      <w:pPr>
        <w:pStyle w:val="44fb569d"/>
        <w:spacing w:line="620" w:lineRule="exact"/>
        <w:ind w:left="840" w:leftChars="400" w:firstLine="420"/>
        <w:rPr>
          <w:rFonts w:ascii="仿宋" w:hAnsi="仿宋" w:eastAsia="仿宋"/>
          <w:sz w:val="32"/>
          <w:szCs w:val="32"/>
        </w:rPr>
      </w:pPr>
      <w:r>
        <w:rPr>
          <w:rFonts w:hint="eastAsia" w:ascii="仿宋" w:hAnsi="仿宋" w:eastAsia="仿宋"/>
          <w:sz w:val="32"/>
          <w:szCs w:val="32"/>
        </w:rPr>
        <w:t>2</w:t>
      </w:r>
      <w:r>
        <w:rPr>
          <w:rFonts w:ascii="仿宋" w:hAnsi="仿宋" w:eastAsia="仿宋" w:cs="仿宋"/>
          <w:sz w:val="32"/>
        </w:rPr>
        <w:t>. 正在开展项目建设。因林长制主题公园建设选址，个别乡镇招投标等原因，导致项目建设还未完成。加快进度、加大力度抓建设</w:t>
      </w:r>
    </w:p>
    <w:p>
      <w:pPr>
        <w:pStyle w:val="44fb569d"/>
        <w:ind w:left="840" w:firstLine="420"/>
        <w:sectPr>
          <w:type w:val="continuous"/>
          <w:pgSz w:w="11907" w:h="16840"/>
        </w:sectPr>
      </w:pPr>
    </w:p>
    <w:p>
      <w:pPr>
        <w:pageBreakBefore w:val="true"/>
      </w:pPr>
    </w:p>
    <w:p>
      <w:pPr>
        <w:pStyle w:val="ce9fe46c"/>
        <w:rPr>
          <w:rFonts w:ascii="仿宋" w:hAnsi="仿宋" w:eastAsia="仿宋"/>
          <w:sz w:val="32"/>
          <w:szCs w:val="32"/>
        </w:rPr>
      </w:pPr>
      <w:bookmarkStart w:id="0" w:name="_GoBack"/>
      <w:bookmarkEnd w:id="0"/>
    </w:p>
    <w:p>
      <w:pPr>
        <w:pStyle w:val="ce9fe46c"/>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r>
        <w:rPr>
          <w:rFonts w:ascii="宋体" w:hAnsi="宋体" w:eastAsia="宋体" w:cs="宋体"/>
          <w:b/>
          <w:sz w:val="44"/>
        </w:rPr>
        <w:t>报告</w:t>
      </w:r>
    </w:p>
    <w:p>
      <w:pPr>
        <w:pStyle w:val="ce9fe46c"/>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闽财资环指〔2024〕35号，2025年天然商品林停伐管护补助及生态效益补偿资金</w:t>
      </w:r>
      <w:r>
        <w:rPr>
          <w:rFonts w:hint="eastAsia" w:ascii="仿宋" w:hAnsi="仿宋" w:eastAsia="仿宋"/>
          <w:sz w:val="32"/>
          <w:szCs w:val="32"/>
        </w:rPr>
        <w:t>）</w:t>
      </w:r>
    </w:p>
    <w:p>
      <w:pPr>
        <w:pStyle w:val="ce9fe46c"/>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ce9fe46c"/>
        <w:ind w:firstLine="643" w:firstLineChars="200"/>
        <w:rPr>
          <w:rFonts w:ascii="仿宋" w:hAnsi="仿宋" w:eastAsia="仿宋"/>
          <w:sz w:val="32"/>
          <w:szCs w:val="32"/>
        </w:rPr>
      </w:pPr>
      <w:r>
        <w:rPr>
          <w:rFonts w:hint="eastAsia" w:ascii="仿宋" w:hAnsi="仿宋" w:eastAsia="仿宋"/>
          <w:b/>
          <w:sz w:val="32"/>
          <w:szCs w:val="32"/>
        </w:rPr>
        <w:t>（一）项目概况</w:t>
      </w:r>
    </w:p>
    <w:p>
      <w:pPr>
        <w:pStyle w:val="ce9fe46c"/>
        <w:ind w:firstLine="1472" w:firstLineChars="460"/>
        <w:rPr>
          <w:rFonts w:ascii="仿宋" w:hAnsi="仿宋" w:eastAsia="仿宋"/>
          <w:sz w:val="32"/>
          <w:szCs w:val="32"/>
        </w:rPr>
      </w:pPr>
      <w:r>
        <w:rPr>
          <w:rFonts w:hint="eastAsia" w:ascii="仿宋" w:hAnsi="仿宋" w:eastAsia="仿宋"/>
          <w:sz w:val="32"/>
          <w:szCs w:val="32"/>
        </w:rPr>
        <w:t>森林生态效益补偿资金2696238元。</w:t>
      </w:r>
      <w:r>
        <w:rPr>
          <w:rFonts w:ascii="仿宋" w:hAnsi="仿宋" w:eastAsia="仿宋" w:cs="仿宋"/>
          <w:sz w:val="32"/>
        </w:rPr>
        <w:t xml:space="preserve"> </w:t>
      </w:r>
    </w:p>
    <w:p>
      <w:pPr>
        <w:pStyle w:val="ce9fe46c"/>
        <w:ind w:firstLine="643" w:firstLineChars="200"/>
        <w:rPr>
          <w:rFonts w:ascii="仿宋" w:hAnsi="仿宋" w:eastAsia="仿宋"/>
          <w:sz w:val="32"/>
          <w:szCs w:val="32"/>
        </w:rPr>
      </w:pPr>
      <w:r>
        <w:rPr>
          <w:rFonts w:hint="eastAsia" w:ascii="仿宋" w:hAnsi="仿宋" w:eastAsia="仿宋"/>
          <w:b/>
          <w:sz w:val="32"/>
          <w:szCs w:val="32"/>
        </w:rPr>
        <w:t>（二）主要成效</w:t>
      </w:r>
    </w:p>
    <w:p>
      <w:pPr>
        <w:pStyle w:val="ce9fe46c"/>
        <w:ind w:firstLine="1472" w:firstLineChars="460"/>
        <w:rPr>
          <w:rFonts w:ascii="仿宋" w:hAnsi="仿宋" w:eastAsia="仿宋"/>
          <w:sz w:val="32"/>
          <w:szCs w:val="32"/>
        </w:rPr>
      </w:pPr>
    </w:p>
    <w:p>
      <w:pPr>
        <w:pStyle w:val="ce9fe46c"/>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ce9fe46c"/>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sz w:val="32"/>
        </w:rPr>
        <w:t>1)森林生态效益补偿标准（元/亩）</w:t>
      </w:r>
      <w:r>
        <w:rPr>
          <w:rFonts w:ascii="仿宋" w:hAnsi="仿宋" w:eastAsia="仿宋" w:cs="仿宋"/>
          <w:sz w:val="32"/>
        </w:rPr>
        <w:t>(元/亩)，目标值22，完成值22，分值10，得分10</w:t>
      </w:r>
      <w:r>
        <w:rPr>
          <w:rFonts w:hint="eastAsia" w:ascii="仿宋" w:hAnsi="仿宋" w:eastAsia="仿宋"/>
          <w:sz w:val="32"/>
          <w:szCs w:val="32"/>
        </w:rPr>
        <w:t>。</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sz w:val="32"/>
        </w:rPr>
        <w:t>1)生态林管护面积</w:t>
      </w:r>
      <w:r>
        <w:rPr>
          <w:rFonts w:ascii="仿宋" w:hAnsi="仿宋" w:eastAsia="仿宋" w:cs="仿宋"/>
          <w:sz w:val="32"/>
        </w:rPr>
        <w:t>(亩)，目标值51.0864，完成值51.0864，分值20，得分20</w:t>
      </w:r>
      <w:r>
        <w:rPr>
          <w:rFonts w:hint="eastAsia" w:ascii="仿宋" w:hAnsi="仿宋" w:eastAsia="仿宋"/>
          <w:sz w:val="32"/>
          <w:szCs w:val="32"/>
        </w:rPr>
        <w:t>。</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sz w:val="32"/>
        </w:rPr>
        <w:t>1)森林资源管护责任落实率%</w:t>
      </w:r>
      <w:r>
        <w:rPr>
          <w:rFonts w:ascii="仿宋" w:hAnsi="仿宋" w:eastAsia="仿宋" w:cs="仿宋"/>
          <w:sz w:val="32"/>
        </w:rPr>
        <w:t>(%)，目标值100，完成值100，分值10，得分10</w:t>
      </w:r>
      <w:r>
        <w:rPr>
          <w:rFonts w:hint="eastAsia" w:ascii="仿宋" w:hAnsi="仿宋" w:eastAsia="仿宋"/>
          <w:sz w:val="32"/>
          <w:szCs w:val="32"/>
        </w:rPr>
        <w:t>。</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sz w:val="32"/>
        </w:rPr>
        <w:t>1)预算执行率%</w:t>
      </w:r>
      <w:r>
        <w:rPr>
          <w:rFonts w:ascii="仿宋" w:hAnsi="仿宋" w:eastAsia="仿宋" w:cs="仿宋"/>
          <w:sz w:val="32"/>
        </w:rPr>
        <w:t>(%)，目标值100，完成值100，分值10，得分10</w:t>
      </w:r>
      <w:r>
        <w:rPr>
          <w:rFonts w:hint="eastAsia" w:ascii="仿宋" w:hAnsi="仿宋" w:eastAsia="仿宋"/>
          <w:sz w:val="32"/>
          <w:szCs w:val="32"/>
        </w:rPr>
        <w:t>。</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sz w:val="32"/>
        </w:rPr>
        <w:t>1)持续发挥生态作用</w:t>
      </w:r>
      <w:r>
        <w:rPr>
          <w:rFonts w:ascii="仿宋" w:hAnsi="仿宋" w:eastAsia="仿宋" w:cs="仿宋"/>
          <w:sz w:val="32"/>
        </w:rPr>
        <w:t>(%)，目标值100，完成值100，分值30，得分30</w:t>
      </w:r>
      <w:r>
        <w:rPr>
          <w:rFonts w:hint="eastAsia" w:ascii="仿宋" w:hAnsi="仿宋" w:eastAsia="仿宋"/>
          <w:sz w:val="32"/>
          <w:szCs w:val="32"/>
        </w:rPr>
        <w:t>。</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ce9fe46c"/>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1)服务对象满意度度</w:t>
      </w:r>
      <w:r>
        <w:rPr>
          <w:rFonts w:ascii="仿宋" w:hAnsi="仿宋" w:eastAsia="仿宋" w:cs="仿宋"/>
          <w:sz w:val="32"/>
        </w:rPr>
        <w:t>(%)，目标值90，完成值90，分值10，得分10</w:t>
      </w:r>
      <w:r>
        <w:rPr>
          <w:rFonts w:hint="eastAsia" w:ascii="仿宋" w:hAnsi="仿宋" w:eastAsia="仿宋"/>
          <w:sz w:val="32"/>
          <w:szCs w:val="32"/>
        </w:rPr>
        <w:t>。</w:t>
      </w:r>
    </w:p>
    <w:p>
      <w:pPr>
        <w:pStyle w:val="ce9fe46c"/>
        <w:tabs>
          <w:tab w:val="left" w:pos="2244"/>
        </w:tabs>
        <w:spacing w:line="620" w:lineRule="exact"/>
        <w:ind w:left="1890" w:leftChars="900"/>
        <w:rPr>
          <w:rFonts w:ascii="仿宋" w:hAnsi="仿宋" w:eastAsia="仿宋"/>
          <w:b/>
          <w:color w:val="FF0000"/>
          <w:sz w:val="32"/>
          <w:szCs w:val="32"/>
        </w:rPr>
      </w:pPr>
    </w:p>
    <w:p>
      <w:pPr>
        <w:pStyle w:val="ce9fe46c"/>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ce9fe46c"/>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ce9fe46c"/>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ce9fe46c"/>
        <w:ind w:left="840" w:firstLine="420"/>
        <w:sectPr>
          <w:type w:val="continuous"/>
          <w:pgSz w:w="11907" w:h="16840"/>
        </w:sectPr>
      </w:pPr>
    </w:p>
    <w:p>
      <w:pPr>
        <w:pageBreakBefore w:val="true"/>
      </w:pPr>
    </w:p>
    <w:p>
      <w:pPr>
        <w:pStyle w:val="b86d0772"/>
        <w:rPr>
          <w:rFonts w:ascii="仿宋" w:hAnsi="仿宋" w:eastAsia="仿宋"/>
          <w:sz w:val="32"/>
          <w:szCs w:val="32"/>
        </w:rPr>
      </w:pPr>
    </w:p>
    <w:p>
      <w:pPr>
        <w:pStyle w:val="b86d0772"/>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bookmarkStart w:id="0" w:name="_GoBack"/>
      <w:r>
        <w:rPr>
          <w:rFonts w:ascii="宋体" w:hAnsi="宋体" w:eastAsia="宋体" w:cs="宋体"/>
          <w:b/>
          <w:sz w:val="44"/>
        </w:rPr>
        <w:t>评</w:t>
      </w:r>
      <w:r>
        <w:rPr>
          <w:rFonts w:hint="eastAsia" w:ascii="宋体" w:hAnsi="宋体" w:cs="宋体"/>
          <w:b/>
          <w:sz w:val="44"/>
          <w:lang w:eastAsia="zh-CN"/>
        </w:rPr>
        <w:t>价</w:t>
      </w:r>
      <w:bookmarkEnd w:id="0"/>
      <w:r>
        <w:rPr>
          <w:rFonts w:ascii="宋体" w:hAnsi="宋体" w:eastAsia="宋体" w:cs="宋体"/>
          <w:b/>
          <w:sz w:val="44"/>
        </w:rPr>
        <w:t>报告</w:t>
      </w:r>
    </w:p>
    <w:p>
      <w:pPr>
        <w:pStyle w:val="b86d0772"/>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泉财农指〔2024〕53号，2024年泉州市级财政现代林业经济专项资金（第一批）：花卉展览展销项目</w:t>
      </w:r>
      <w:r>
        <w:rPr>
          <w:rFonts w:hint="eastAsia" w:ascii="仿宋" w:hAnsi="仿宋" w:eastAsia="仿宋"/>
          <w:sz w:val="32"/>
          <w:szCs w:val="32"/>
        </w:rPr>
        <w:t>）</w:t>
      </w:r>
    </w:p>
    <w:p>
      <w:pPr>
        <w:pStyle w:val="b86d0772"/>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b86d0772"/>
        <w:ind w:firstLine="643" w:firstLineChars="200"/>
        <w:rPr>
          <w:rFonts w:ascii="仿宋" w:hAnsi="仿宋" w:eastAsia="仿宋"/>
          <w:sz w:val="32"/>
          <w:szCs w:val="32"/>
        </w:rPr>
      </w:pPr>
      <w:r>
        <w:rPr>
          <w:rFonts w:hint="eastAsia" w:ascii="仿宋" w:hAnsi="仿宋" w:eastAsia="仿宋"/>
          <w:b/>
          <w:sz w:val="32"/>
          <w:szCs w:val="32"/>
        </w:rPr>
        <w:t>（一）项目概况</w:t>
      </w:r>
    </w:p>
    <w:p>
      <w:pPr>
        <w:pStyle w:val="b86d0772"/>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b86d0772"/>
        <w:ind w:firstLine="643" w:firstLineChars="200"/>
        <w:rPr>
          <w:rFonts w:ascii="仿宋" w:hAnsi="仿宋" w:eastAsia="仿宋"/>
          <w:sz w:val="32"/>
          <w:szCs w:val="32"/>
        </w:rPr>
      </w:pPr>
      <w:r>
        <w:rPr>
          <w:rFonts w:hint="eastAsia" w:ascii="仿宋" w:hAnsi="仿宋" w:eastAsia="仿宋"/>
          <w:b/>
          <w:sz w:val="32"/>
          <w:szCs w:val="32"/>
        </w:rPr>
        <w:t>（二）主要成效</w:t>
      </w:r>
    </w:p>
    <w:p>
      <w:pPr>
        <w:pStyle w:val="b86d0772"/>
        <w:ind w:firstLine="1472" w:firstLineChars="460"/>
        <w:rPr>
          <w:rFonts w:ascii="仿宋" w:hAnsi="仿宋" w:eastAsia="仿宋"/>
          <w:sz w:val="32"/>
          <w:szCs w:val="32"/>
        </w:rPr>
      </w:pPr>
    </w:p>
    <w:p>
      <w:pPr>
        <w:pStyle w:val="b86d0772"/>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b86d0772"/>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sz w:val="32"/>
        </w:rPr>
        <w:t>1)补助标准</w:t>
      </w:r>
      <w:r>
        <w:rPr>
          <w:rFonts w:ascii="仿宋" w:hAnsi="仿宋" w:eastAsia="仿宋" w:cs="仿宋"/>
          <w:sz w:val="32"/>
        </w:rPr>
        <w:t>(万元)，目标值2，完成值0，分值10，得分10</w:t>
      </w:r>
      <w:r>
        <w:rPr>
          <w:rFonts w:hint="eastAsia" w:ascii="仿宋" w:hAnsi="仿宋" w:eastAsia="仿宋"/>
          <w:sz w:val="32"/>
          <w:szCs w:val="32"/>
        </w:rPr>
        <w:t>。</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sz w:val="32"/>
        </w:rPr>
        <w:t>1)项目建设数量</w:t>
      </w:r>
      <w:r>
        <w:rPr>
          <w:rFonts w:ascii="仿宋" w:hAnsi="仿宋" w:eastAsia="仿宋" w:cs="仿宋"/>
          <w:sz w:val="32"/>
        </w:rPr>
        <w:t>(个)，目标值1，完成值1，分值20，得分20</w:t>
      </w:r>
      <w:r>
        <w:rPr>
          <w:rFonts w:hint="eastAsia" w:ascii="仿宋" w:hAnsi="仿宋" w:eastAsia="仿宋"/>
          <w:sz w:val="32"/>
          <w:szCs w:val="32"/>
        </w:rPr>
        <w:t>。</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sz w:val="32"/>
        </w:rPr>
        <w:t>1)提高生产技术知名度（是/否）</w:t>
      </w:r>
      <w:r>
        <w:rPr>
          <w:rFonts w:ascii="仿宋" w:hAnsi="仿宋" w:eastAsia="仿宋" w:cs="仿宋"/>
          <w:sz w:val="32"/>
        </w:rPr>
        <w:t>(无)，目标值是，完成值是，分值10，得分10</w:t>
      </w:r>
      <w:r>
        <w:rPr>
          <w:rFonts w:hint="eastAsia" w:ascii="仿宋" w:hAnsi="仿宋" w:eastAsia="仿宋"/>
          <w:sz w:val="32"/>
          <w:szCs w:val="32"/>
        </w:rPr>
        <w:t>。</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sz w:val="32"/>
        </w:rPr>
        <w:t>1)建设情况</w:t>
      </w:r>
      <w:r>
        <w:rPr>
          <w:rFonts w:ascii="仿宋" w:hAnsi="仿宋" w:eastAsia="仿宋" w:cs="仿宋"/>
          <w:sz w:val="32"/>
        </w:rPr>
        <w:t>(无)，目标值完成，完成值完成，分值10，得分10</w:t>
      </w:r>
      <w:r>
        <w:rPr>
          <w:rFonts w:hint="eastAsia" w:ascii="仿宋" w:hAnsi="仿宋" w:eastAsia="仿宋"/>
          <w:sz w:val="32"/>
          <w:szCs w:val="32"/>
        </w:rPr>
        <w:t>。</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sz w:val="32"/>
        </w:rPr>
        <w:t>1)增加企业收入</w:t>
      </w:r>
      <w:r>
        <w:rPr>
          <w:rFonts w:ascii="仿宋" w:hAnsi="仿宋" w:eastAsia="仿宋" w:cs="仿宋"/>
          <w:sz w:val="32"/>
        </w:rPr>
        <w:t>(无)，目标值逐步增加，完成值逐步增加，分值30，得分30</w:t>
      </w:r>
      <w:r>
        <w:rPr>
          <w:rFonts w:hint="eastAsia" w:ascii="仿宋" w:hAnsi="仿宋" w:eastAsia="仿宋"/>
          <w:sz w:val="32"/>
          <w:szCs w:val="32"/>
        </w:rPr>
        <w:t>。</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b86d0772"/>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w:t>
      </w:r>
      <w:r>
        <w:rPr>
          <w:rFonts w:ascii="仿宋" w:hAnsi="仿宋" w:eastAsia="仿宋" w:cs="仿宋"/>
          <w:sz w:val="32"/>
        </w:rPr>
        <w:t>(%)，目标值90，完成值90，分值10，得分10</w:t>
      </w:r>
      <w:r>
        <w:rPr>
          <w:rFonts w:hint="eastAsia" w:ascii="仿宋" w:hAnsi="仿宋" w:eastAsia="仿宋"/>
          <w:sz w:val="32"/>
          <w:szCs w:val="32"/>
        </w:rPr>
        <w:t>。</w:t>
      </w:r>
    </w:p>
    <w:p>
      <w:pPr>
        <w:pStyle w:val="b86d0772"/>
        <w:tabs>
          <w:tab w:val="left" w:pos="2244"/>
        </w:tabs>
        <w:spacing w:line="620" w:lineRule="exact"/>
        <w:ind w:left="1890" w:leftChars="900"/>
        <w:rPr>
          <w:rFonts w:ascii="仿宋" w:hAnsi="仿宋" w:eastAsia="仿宋"/>
          <w:b/>
          <w:color w:val="FF0000"/>
          <w:sz w:val="32"/>
          <w:szCs w:val="32"/>
        </w:rPr>
      </w:pPr>
    </w:p>
    <w:p>
      <w:pPr>
        <w:pStyle w:val="b86d0772"/>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b86d0772"/>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b86d0772"/>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b86d0772"/>
        <w:ind w:left="840" w:firstLine="420"/>
        <w:sectPr>
          <w:type w:val="continuous"/>
          <w:pgSz w:w="11907" w:h="16840"/>
        </w:sectPr>
      </w:pPr>
    </w:p>
    <w:p>
      <w:pPr>
        <w:pageBreakBefore w:val="true"/>
      </w:pPr>
    </w:p>
    <w:p>
      <w:pPr>
        <w:pStyle w:val="be51a71e"/>
        <w:rPr>
          <w:rFonts w:ascii="仿宋" w:hAnsi="仿宋" w:eastAsia="仿宋"/>
          <w:sz w:val="32"/>
          <w:szCs w:val="32"/>
        </w:rPr>
      </w:pPr>
    </w:p>
    <w:p>
      <w:pPr>
        <w:pStyle w:val="be51a71e"/>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bookmarkStart w:id="0" w:name="_GoBack"/>
      <w:bookmarkEnd w:id="0"/>
      <w:r>
        <w:rPr>
          <w:rFonts w:ascii="宋体" w:hAnsi="宋体" w:eastAsia="宋体" w:cs="宋体"/>
          <w:b/>
          <w:sz w:val="44"/>
        </w:rPr>
        <w:t>报告</w:t>
      </w:r>
    </w:p>
    <w:p>
      <w:pPr>
        <w:pStyle w:val="be51a71e"/>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泉财农指〔2025〕43号，2025年泉州市级财政森林资源培育与管护专项资金（第一批）：乡村绿化提升40万元创建国家森林城市活动（义务植树基地示范点建设3万元古树名木保护管理示范点建设2万元）</w:t>
      </w:r>
      <w:r>
        <w:rPr>
          <w:rFonts w:hint="eastAsia" w:ascii="仿宋" w:hAnsi="仿宋" w:eastAsia="仿宋"/>
          <w:sz w:val="32"/>
          <w:szCs w:val="32"/>
        </w:rPr>
        <w:t>）</w:t>
      </w:r>
    </w:p>
    <w:p>
      <w:pPr>
        <w:pStyle w:val="be51a71e"/>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be51a71e"/>
        <w:ind w:firstLine="643" w:firstLineChars="200"/>
        <w:rPr>
          <w:rFonts w:ascii="仿宋" w:hAnsi="仿宋" w:eastAsia="仿宋"/>
          <w:sz w:val="32"/>
          <w:szCs w:val="32"/>
        </w:rPr>
      </w:pPr>
      <w:r>
        <w:rPr>
          <w:rFonts w:hint="eastAsia" w:ascii="仿宋" w:hAnsi="仿宋" w:eastAsia="仿宋"/>
          <w:b/>
          <w:sz w:val="32"/>
          <w:szCs w:val="32"/>
        </w:rPr>
        <w:t>（一）项目概况</w:t>
      </w:r>
    </w:p>
    <w:p>
      <w:pPr>
        <w:pStyle w:val="be51a71e"/>
        <w:ind w:firstLine="1472" w:firstLineChars="460"/>
        <w:rPr>
          <w:rFonts w:ascii="仿宋" w:hAnsi="仿宋" w:eastAsia="仿宋"/>
          <w:sz w:val="32"/>
          <w:szCs w:val="32"/>
        </w:rPr>
      </w:pPr>
      <w:r>
        <w:rPr>
          <w:rFonts w:hint="eastAsia" w:ascii="仿宋" w:hAnsi="仿宋" w:eastAsia="仿宋"/>
          <w:sz w:val="32"/>
          <w:szCs w:val="32"/>
        </w:rPr>
        <w:t>完成泉州市级乡村绿化提升项目建设8个、义务植树基地示范点项目建设1个、古树名木保护管理示范点项目建设1个。</w:t>
      </w:r>
      <w:r>
        <w:rPr>
          <w:rFonts w:ascii="仿宋" w:hAnsi="仿宋" w:eastAsia="仿宋" w:cs="仿宋"/>
          <w:sz w:val="32"/>
        </w:rPr>
        <w:t xml:space="preserve"> </w:t>
      </w:r>
    </w:p>
    <w:p>
      <w:pPr>
        <w:pStyle w:val="be51a71e"/>
        <w:ind w:firstLine="643" w:firstLineChars="200"/>
        <w:rPr>
          <w:rFonts w:ascii="仿宋" w:hAnsi="仿宋" w:eastAsia="仿宋"/>
          <w:sz w:val="32"/>
          <w:szCs w:val="32"/>
        </w:rPr>
      </w:pPr>
      <w:r>
        <w:rPr>
          <w:rFonts w:hint="eastAsia" w:ascii="仿宋" w:hAnsi="仿宋" w:eastAsia="仿宋"/>
          <w:b/>
          <w:sz w:val="32"/>
          <w:szCs w:val="32"/>
        </w:rPr>
        <w:t>（二）主要成效</w:t>
      </w:r>
    </w:p>
    <w:p>
      <w:pPr>
        <w:pStyle w:val="be51a71e"/>
        <w:ind w:firstLine="1472" w:firstLineChars="460"/>
        <w:rPr>
          <w:rFonts w:ascii="仿宋" w:hAnsi="仿宋" w:eastAsia="仿宋"/>
          <w:sz w:val="32"/>
          <w:szCs w:val="32"/>
        </w:rPr>
      </w:pPr>
    </w:p>
    <w:p>
      <w:pPr>
        <w:pStyle w:val="be51a71e"/>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be51a71e"/>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90分，等级为优，设置绩效目标8个，实际完成8个，具体情况如下：</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sz w:val="32"/>
        </w:rPr>
        <w:t>1)乡村绿化提升补助标准</w:t>
      </w:r>
      <w:r>
        <w:rPr>
          <w:rFonts w:ascii="仿宋" w:hAnsi="仿宋" w:eastAsia="仿宋" w:cs="仿宋"/>
          <w:sz w:val="32"/>
        </w:rPr>
        <w:t>(个)，目标值5，完成值5，分值10，得分10</w:t>
      </w:r>
      <w:r>
        <w:rPr>
          <w:rFonts w:hint="eastAsia" w:ascii="仿宋" w:hAnsi="仿宋" w:eastAsia="仿宋"/>
          <w:sz w:val="32"/>
          <w:szCs w:val="32"/>
        </w:rPr>
        <w:t>。</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sz w:val="32"/>
        </w:rPr>
        <w:t>1)乡村绿化提升项目个数</w:t>
      </w:r>
      <w:r>
        <w:rPr>
          <w:rFonts w:ascii="仿宋" w:hAnsi="仿宋" w:eastAsia="仿宋" w:cs="仿宋"/>
          <w:sz w:val="32"/>
        </w:rPr>
        <w:t>(个)，目标值8，完成值8，分值10，得分10</w:t>
      </w:r>
      <w:r>
        <w:rPr>
          <w:rFonts w:hint="eastAsia" w:ascii="仿宋" w:hAnsi="仿宋" w:eastAsia="仿宋"/>
          <w:sz w:val="32"/>
          <w:szCs w:val="32"/>
        </w:rPr>
        <w:t>。</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sz w:val="32"/>
        </w:rPr>
        <w:t>2)义务植树基地尽责点个数</w:t>
      </w:r>
      <w:r>
        <w:rPr>
          <w:rFonts w:ascii="仿宋" w:hAnsi="仿宋" w:eastAsia="仿宋" w:cs="仿宋"/>
          <w:sz w:val="32"/>
        </w:rPr>
        <w:t>(个)，目标值1，完成值1，分值5，得分5</w:t>
      </w:r>
      <w:r>
        <w:rPr>
          <w:rFonts w:hint="eastAsia" w:ascii="仿宋" w:hAnsi="仿宋" w:eastAsia="仿宋"/>
          <w:sz w:val="32"/>
          <w:szCs w:val="32"/>
        </w:rPr>
        <w:t>。</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sz w:val="32"/>
        </w:rPr>
        <w:t>3)古树名木保护管理示范点个数</w:t>
      </w:r>
      <w:r>
        <w:rPr>
          <w:rFonts w:ascii="仿宋" w:hAnsi="仿宋" w:eastAsia="仿宋" w:cs="仿宋"/>
          <w:sz w:val="32"/>
        </w:rPr>
        <w:t>(个)，目标值1，完成值1，分值5，得分5</w:t>
      </w:r>
      <w:r>
        <w:rPr>
          <w:rFonts w:hint="eastAsia" w:ascii="仿宋" w:hAnsi="仿宋" w:eastAsia="仿宋"/>
          <w:sz w:val="32"/>
          <w:szCs w:val="32"/>
        </w:rPr>
        <w:t>。</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sz w:val="32"/>
        </w:rPr>
        <w:t>1)培育苗木数量</w:t>
      </w:r>
      <w:r>
        <w:rPr>
          <w:rFonts w:ascii="仿宋" w:hAnsi="仿宋" w:eastAsia="仿宋" w:cs="仿宋"/>
          <w:sz w:val="32"/>
        </w:rPr>
        <w:t>(万株)，目标值39，完成值39，分值10，得分10</w:t>
      </w:r>
      <w:r>
        <w:rPr>
          <w:rFonts w:hint="eastAsia" w:ascii="仿宋" w:hAnsi="仿宋" w:eastAsia="仿宋"/>
          <w:sz w:val="32"/>
          <w:szCs w:val="32"/>
        </w:rPr>
        <w:t>。</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sz w:val="32"/>
        </w:rPr>
        <w:t>1)造林完成及时率</w:t>
      </w:r>
      <w:r>
        <w:rPr>
          <w:rFonts w:ascii="仿宋" w:hAnsi="仿宋" w:eastAsia="仿宋" w:cs="仿宋"/>
          <w:sz w:val="32"/>
        </w:rPr>
        <w:t>(%)，目标值100，完成值100，分值10，得分10</w:t>
      </w:r>
      <w:r>
        <w:rPr>
          <w:rFonts w:hint="eastAsia" w:ascii="仿宋" w:hAnsi="仿宋" w:eastAsia="仿宋"/>
          <w:sz w:val="32"/>
          <w:szCs w:val="32"/>
        </w:rPr>
        <w:t>。</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sz w:val="32"/>
        </w:rPr>
        <w:t>1)生态环境可持续发展</w:t>
      </w:r>
      <w:r>
        <w:rPr>
          <w:rFonts w:ascii="仿宋" w:hAnsi="仿宋" w:eastAsia="仿宋" w:cs="仿宋"/>
          <w:sz w:val="32"/>
        </w:rPr>
        <w:t>(无)，目标值明显，完成值明显，分值30，得分30</w:t>
      </w:r>
      <w:r>
        <w:rPr>
          <w:rFonts w:hint="eastAsia" w:ascii="仿宋" w:hAnsi="仿宋" w:eastAsia="仿宋"/>
          <w:sz w:val="32"/>
          <w:szCs w:val="32"/>
        </w:rPr>
        <w:t>。</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be51a71e"/>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w:t>
      </w:r>
      <w:r>
        <w:rPr>
          <w:rFonts w:ascii="仿宋" w:hAnsi="仿宋" w:eastAsia="仿宋" w:cs="仿宋"/>
          <w:sz w:val="32"/>
        </w:rPr>
        <w:t>(%)，目标值80，完成值90，分值10，得分10</w:t>
      </w:r>
      <w:r>
        <w:rPr>
          <w:rFonts w:hint="eastAsia" w:ascii="仿宋" w:hAnsi="仿宋" w:eastAsia="仿宋"/>
          <w:sz w:val="32"/>
          <w:szCs w:val="32"/>
        </w:rPr>
        <w:t>。</w:t>
      </w:r>
    </w:p>
    <w:p>
      <w:pPr>
        <w:pStyle w:val="be51a71e"/>
        <w:tabs>
          <w:tab w:val="left" w:pos="2244"/>
        </w:tabs>
        <w:spacing w:line="620" w:lineRule="exact"/>
        <w:ind w:left="1890" w:leftChars="900"/>
        <w:rPr>
          <w:rFonts w:ascii="仿宋" w:hAnsi="仿宋" w:eastAsia="仿宋"/>
          <w:b/>
          <w:color w:val="FF0000"/>
          <w:sz w:val="32"/>
          <w:szCs w:val="32"/>
        </w:rPr>
      </w:pPr>
    </w:p>
    <w:p>
      <w:pPr>
        <w:pStyle w:val="be51a71e"/>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be51a71e"/>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be51a71e"/>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be51a71e"/>
        <w:ind w:left="840" w:firstLine="420"/>
        <w:sectPr>
          <w:type w:val="continuous"/>
          <w:pgSz w:w="11907" w:h="16840"/>
        </w:sectPr>
      </w:pPr>
    </w:p>
    <w:p>
      <w:pPr>
        <w:pageBreakBefore w:val="true"/>
      </w:pPr>
    </w:p>
    <w:p>
      <w:pPr>
        <w:pStyle w:val="9823bc99"/>
        <w:rPr>
          <w:rFonts w:ascii="仿宋" w:hAnsi="仿宋" w:eastAsia="仿宋"/>
          <w:sz w:val="32"/>
          <w:szCs w:val="32"/>
        </w:rPr>
      </w:pPr>
    </w:p>
    <w:p>
      <w:pPr>
        <w:pStyle w:val="9823bc99"/>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9823bc99"/>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泉财指标〔2023〕1104号，2024年森林综合保险财政保费补贴资金（省级102.63万元）</w:t>
      </w:r>
      <w:r>
        <w:rPr>
          <w:rFonts w:hint="eastAsia" w:ascii="仿宋" w:hAnsi="仿宋" w:eastAsia="仿宋"/>
          <w:sz w:val="32"/>
          <w:szCs w:val="32"/>
        </w:rPr>
        <w:t>）</w:t>
      </w:r>
    </w:p>
    <w:p>
      <w:pPr>
        <w:pStyle w:val="9823bc99"/>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9823bc99"/>
        <w:ind w:firstLine="643" w:firstLineChars="200"/>
        <w:rPr>
          <w:rFonts w:ascii="仿宋" w:hAnsi="仿宋" w:eastAsia="仿宋"/>
          <w:sz w:val="32"/>
          <w:szCs w:val="32"/>
        </w:rPr>
      </w:pPr>
      <w:r>
        <w:rPr>
          <w:rFonts w:hint="eastAsia" w:ascii="仿宋" w:hAnsi="仿宋" w:eastAsia="仿宋"/>
          <w:b/>
          <w:sz w:val="32"/>
          <w:szCs w:val="32"/>
        </w:rPr>
        <w:t>（一）项目概况</w:t>
      </w:r>
    </w:p>
    <w:p>
      <w:pPr>
        <w:pStyle w:val="9823bc99"/>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9823bc99"/>
        <w:ind w:firstLine="643" w:firstLineChars="200"/>
        <w:rPr>
          <w:rFonts w:ascii="仿宋" w:hAnsi="仿宋" w:eastAsia="仿宋"/>
          <w:sz w:val="32"/>
          <w:szCs w:val="32"/>
        </w:rPr>
      </w:pPr>
      <w:r>
        <w:rPr>
          <w:rFonts w:hint="eastAsia" w:ascii="仿宋" w:hAnsi="仿宋" w:eastAsia="仿宋"/>
          <w:b/>
          <w:sz w:val="32"/>
          <w:szCs w:val="32"/>
        </w:rPr>
        <w:t>（二）主要成效</w:t>
      </w:r>
    </w:p>
    <w:p>
      <w:pPr>
        <w:pStyle w:val="9823bc99"/>
        <w:ind w:firstLine="1472" w:firstLineChars="460"/>
        <w:rPr>
          <w:rFonts w:ascii="仿宋" w:hAnsi="仿宋" w:eastAsia="仿宋"/>
          <w:sz w:val="32"/>
          <w:szCs w:val="32"/>
        </w:rPr>
      </w:pPr>
    </w:p>
    <w:p>
      <w:pPr>
        <w:pStyle w:val="9823bc99"/>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9823bc99"/>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sz w:val="32"/>
        </w:rPr>
        <w:t>1)财政投入资金</w:t>
      </w:r>
      <w:r>
        <w:rPr>
          <w:rFonts w:ascii="仿宋" w:hAnsi="仿宋" w:eastAsia="仿宋" w:cs="仿宋"/>
          <w:sz w:val="32"/>
        </w:rPr>
        <w:t>(万元)，目标值102.63，完成值102.63，分值10，得分10</w:t>
      </w:r>
      <w:r>
        <w:rPr>
          <w:rFonts w:hint="eastAsia" w:ascii="仿宋" w:hAnsi="仿宋" w:eastAsia="仿宋"/>
          <w:sz w:val="32"/>
          <w:szCs w:val="32"/>
        </w:rPr>
        <w:t>。</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sz w:val="32"/>
        </w:rPr>
        <w:t>1)省级以上生态公益林面积</w:t>
      </w:r>
      <w:r>
        <w:rPr>
          <w:rFonts w:ascii="仿宋" w:hAnsi="仿宋" w:eastAsia="仿宋" w:cs="仿宋"/>
          <w:sz w:val="32"/>
        </w:rPr>
        <w:t>()，目标值，完成值51.0866，分值10，得分10</w:t>
      </w:r>
      <w:r>
        <w:rPr>
          <w:rFonts w:hint="eastAsia" w:ascii="仿宋" w:hAnsi="仿宋" w:eastAsia="仿宋"/>
          <w:sz w:val="32"/>
          <w:szCs w:val="32"/>
        </w:rPr>
        <w:t>。</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sz w:val="32"/>
        </w:rPr>
        <w:t>1)风险保障水平</w:t>
      </w:r>
      <w:r>
        <w:rPr>
          <w:rFonts w:ascii="仿宋" w:hAnsi="仿宋" w:eastAsia="仿宋" w:cs="仿宋"/>
          <w:sz w:val="32"/>
        </w:rPr>
        <w:t>(无)，目标值高于去年，完成值高于去年，分值10，得分10</w:t>
      </w:r>
      <w:r>
        <w:rPr>
          <w:rFonts w:hint="eastAsia" w:ascii="仿宋" w:hAnsi="仿宋" w:eastAsia="仿宋"/>
          <w:sz w:val="32"/>
          <w:szCs w:val="32"/>
        </w:rPr>
        <w:t>。</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sz w:val="32"/>
        </w:rPr>
        <w:t>1)项目完成时间（年）</w:t>
      </w:r>
      <w:r>
        <w:rPr>
          <w:rFonts w:ascii="仿宋" w:hAnsi="仿宋" w:eastAsia="仿宋" w:cs="仿宋"/>
          <w:sz w:val="32"/>
        </w:rPr>
        <w:t>(年)，目标值1，完成值1，分值20，得分20</w:t>
      </w:r>
      <w:r>
        <w:rPr>
          <w:rFonts w:hint="eastAsia" w:ascii="仿宋" w:hAnsi="仿宋" w:eastAsia="仿宋"/>
          <w:sz w:val="32"/>
          <w:szCs w:val="32"/>
        </w:rPr>
        <w:t>。</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sz w:val="32"/>
        </w:rPr>
        <w:t>1)农业保险综合费用率</w:t>
      </w:r>
      <w:r>
        <w:rPr>
          <w:rFonts w:ascii="仿宋" w:hAnsi="仿宋" w:eastAsia="仿宋" w:cs="仿宋"/>
          <w:sz w:val="32"/>
        </w:rPr>
        <w:t>(%)，目标值20，完成值20，分值30，得分30</w:t>
      </w:r>
      <w:r>
        <w:rPr>
          <w:rFonts w:hint="eastAsia" w:ascii="仿宋" w:hAnsi="仿宋" w:eastAsia="仿宋"/>
          <w:sz w:val="32"/>
          <w:szCs w:val="32"/>
        </w:rPr>
        <w:t>。</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9823bc99"/>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(%)，目标值80，完成值80，分值10，得分10</w:t>
      </w:r>
      <w:r>
        <w:rPr>
          <w:rFonts w:hint="eastAsia" w:ascii="仿宋" w:hAnsi="仿宋" w:eastAsia="仿宋"/>
          <w:sz w:val="32"/>
          <w:szCs w:val="32"/>
        </w:rPr>
        <w:t>。</w:t>
      </w:r>
    </w:p>
    <w:p>
      <w:pPr>
        <w:pStyle w:val="9823bc99"/>
        <w:tabs>
          <w:tab w:val="left" w:pos="2244"/>
        </w:tabs>
        <w:spacing w:line="620" w:lineRule="exact"/>
        <w:ind w:left="1890" w:leftChars="900"/>
        <w:rPr>
          <w:rFonts w:ascii="仿宋" w:hAnsi="仿宋" w:eastAsia="仿宋"/>
          <w:b/>
          <w:color w:val="FF0000"/>
          <w:sz w:val="32"/>
          <w:szCs w:val="32"/>
        </w:rPr>
      </w:pPr>
    </w:p>
    <w:p>
      <w:pPr>
        <w:pStyle w:val="9823bc99"/>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9823bc99"/>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9823bc99"/>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9823bc99"/>
        <w:ind w:left="840" w:firstLine="420"/>
        <w:sectPr>
          <w:type w:val="continuous"/>
          <w:pgSz w:w="11907" w:h="16840"/>
        </w:sectPr>
      </w:pPr>
    </w:p>
    <w:p>
      <w:pPr>
        <w:pageBreakBefore w:val="true"/>
      </w:pPr>
    </w:p>
    <w:p>
      <w:pPr>
        <w:pStyle w:val="9fe0da01"/>
        <w:rPr>
          <w:rFonts w:ascii="仿宋" w:hAnsi="仿宋" w:eastAsia="仿宋"/>
          <w:sz w:val="32"/>
          <w:szCs w:val="32"/>
        </w:rPr>
      </w:pPr>
    </w:p>
    <w:p>
      <w:pPr>
        <w:pStyle w:val="9fe0da01"/>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bookmarkStart w:id="0" w:name="_GoBack"/>
      <w:bookmarkEnd w:id="0"/>
      <w:r>
        <w:rPr>
          <w:rFonts w:ascii="宋体" w:hAnsi="宋体" w:eastAsia="宋体" w:cs="宋体"/>
          <w:b/>
          <w:sz w:val="44"/>
        </w:rPr>
        <w:t>报告</w:t>
      </w:r>
    </w:p>
    <w:p>
      <w:pPr>
        <w:pStyle w:val="9fe0da01"/>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泉财农指〔2025〕43号，2025年泉州市级财政森林资源培育与管护专项资金（第一批）：林业有害生物防治113万元</w:t>
      </w:r>
      <w:r>
        <w:rPr>
          <w:rFonts w:hint="eastAsia" w:ascii="仿宋" w:hAnsi="仿宋" w:eastAsia="仿宋"/>
          <w:sz w:val="32"/>
          <w:szCs w:val="32"/>
        </w:rPr>
        <w:t>）</w:t>
      </w:r>
    </w:p>
    <w:p>
      <w:pPr>
        <w:pStyle w:val="9fe0da01"/>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9fe0da01"/>
        <w:ind w:firstLine="643" w:firstLineChars="200"/>
        <w:rPr>
          <w:rFonts w:ascii="仿宋" w:hAnsi="仿宋" w:eastAsia="仿宋"/>
          <w:sz w:val="32"/>
          <w:szCs w:val="32"/>
        </w:rPr>
      </w:pPr>
      <w:r>
        <w:rPr>
          <w:rFonts w:hint="eastAsia" w:ascii="仿宋" w:hAnsi="仿宋" w:eastAsia="仿宋"/>
          <w:b/>
          <w:sz w:val="32"/>
          <w:szCs w:val="32"/>
        </w:rPr>
        <w:t>（一）项目概况</w:t>
      </w:r>
    </w:p>
    <w:p>
      <w:pPr>
        <w:pStyle w:val="9fe0da01"/>
        <w:ind w:firstLine="1472" w:firstLineChars="460"/>
        <w:rPr>
          <w:rFonts w:ascii="仿宋" w:hAnsi="仿宋" w:eastAsia="仿宋"/>
          <w:sz w:val="32"/>
          <w:szCs w:val="32"/>
        </w:rPr>
      </w:pPr>
      <w:r>
        <w:rPr>
          <w:rFonts w:hint="eastAsia" w:ascii="仿宋" w:hAnsi="仿宋" w:eastAsia="仿宋"/>
          <w:sz w:val="32"/>
          <w:szCs w:val="32"/>
        </w:rPr>
        <w:t>利用上级补助资金，进行以松材线虫病防治为主的林业有害生物防控工作。</w:t>
      </w:r>
      <w:r>
        <w:rPr>
          <w:rFonts w:ascii="仿宋" w:hAnsi="仿宋" w:eastAsia="仿宋" w:cs="仿宋"/>
          <w:sz w:val="32"/>
        </w:rPr>
        <w:t xml:space="preserve"> </w:t>
      </w:r>
    </w:p>
    <w:p>
      <w:pPr>
        <w:pStyle w:val="9fe0da01"/>
        <w:ind w:firstLine="643" w:firstLineChars="200"/>
        <w:rPr>
          <w:rFonts w:ascii="仿宋" w:hAnsi="仿宋" w:eastAsia="仿宋"/>
          <w:sz w:val="32"/>
          <w:szCs w:val="32"/>
        </w:rPr>
      </w:pPr>
      <w:r>
        <w:rPr>
          <w:rFonts w:hint="eastAsia" w:ascii="仿宋" w:hAnsi="仿宋" w:eastAsia="仿宋"/>
          <w:b/>
          <w:sz w:val="32"/>
          <w:szCs w:val="32"/>
        </w:rPr>
        <w:t>（二）主要成效</w:t>
      </w:r>
    </w:p>
    <w:p>
      <w:pPr>
        <w:pStyle w:val="9fe0da01"/>
        <w:ind w:firstLine="1472" w:firstLineChars="460"/>
        <w:rPr>
          <w:rFonts w:ascii="仿宋" w:hAnsi="仿宋" w:eastAsia="仿宋"/>
          <w:sz w:val="32"/>
          <w:szCs w:val="32"/>
        </w:rPr>
      </w:pPr>
    </w:p>
    <w:p>
      <w:pPr>
        <w:pStyle w:val="9fe0da01"/>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9fe0da01"/>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85分，等级为良，设置绩效目标8个，实际完成7个，具体情况如下：</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sz w:val="32"/>
        </w:rPr>
        <w:t>1)补助资金</w:t>
      </w:r>
      <w:r>
        <w:rPr>
          <w:rFonts w:ascii="仿宋" w:hAnsi="仿宋" w:eastAsia="仿宋" w:cs="仿宋"/>
          <w:sz w:val="32"/>
        </w:rPr>
        <w:t>(万元)，目标值113，完成值113，分值5，得分5</w:t>
      </w:r>
      <w:r>
        <w:rPr>
          <w:rFonts w:hint="eastAsia" w:ascii="仿宋" w:hAnsi="仿宋" w:eastAsia="仿宋"/>
          <w:sz w:val="32"/>
          <w:szCs w:val="32"/>
        </w:rPr>
        <w:t>。</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sz w:val="32"/>
        </w:rPr>
        <w:t>1)促进社会经济发展</w:t>
      </w:r>
      <w:r>
        <w:rPr>
          <w:rFonts w:ascii="仿宋" w:hAnsi="仿宋" w:eastAsia="仿宋" w:cs="仿宋"/>
          <w:sz w:val="32"/>
        </w:rPr>
        <w:t>(无)，目标值有效促进，完成值有效促进，分值5，得分5</w:t>
      </w:r>
      <w:r>
        <w:rPr>
          <w:rFonts w:hint="eastAsia" w:ascii="仿宋" w:hAnsi="仿宋" w:eastAsia="仿宋"/>
          <w:sz w:val="32"/>
          <w:szCs w:val="32"/>
        </w:rPr>
        <w:t>。</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sz w:val="32"/>
        </w:rPr>
        <w:t>1)防治面积</w:t>
      </w:r>
      <w:r>
        <w:rPr>
          <w:rFonts w:ascii="仿宋" w:hAnsi="仿宋" w:eastAsia="仿宋" w:cs="仿宋"/>
          <w:sz w:val="32"/>
        </w:rPr>
        <w:t>(亩)，目标值5072，完成值5072，分值20，得分20</w:t>
      </w:r>
      <w:r>
        <w:rPr>
          <w:rFonts w:hint="eastAsia" w:ascii="仿宋" w:hAnsi="仿宋" w:eastAsia="仿宋"/>
          <w:sz w:val="32"/>
          <w:szCs w:val="32"/>
        </w:rPr>
        <w:t>。</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sz w:val="32"/>
        </w:rPr>
        <w:t>1)任务完成情况</w:t>
      </w:r>
      <w:r>
        <w:rPr>
          <w:rFonts w:ascii="仿宋" w:hAnsi="仿宋" w:eastAsia="仿宋" w:cs="仿宋"/>
          <w:sz w:val="32"/>
        </w:rPr>
        <w:t>(无)，目标值全面完成，完成值全面完成，分值15，得分15</w:t>
      </w:r>
      <w:r>
        <w:rPr>
          <w:rFonts w:hint="eastAsia" w:ascii="仿宋" w:hAnsi="仿宋" w:eastAsia="仿宋"/>
          <w:sz w:val="32"/>
          <w:szCs w:val="32"/>
        </w:rPr>
        <w:t>。</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sz w:val="32"/>
        </w:rPr>
        <w:t>1)预算执行进度</w:t>
      </w:r>
      <w:r>
        <w:rPr>
          <w:rFonts w:ascii="仿宋" w:hAnsi="仿宋" w:eastAsia="仿宋" w:cs="仿宋"/>
          <w:sz w:val="32"/>
        </w:rPr>
        <w:t>(%)，目标值100，完成值0，分值5，得分0</w:t>
      </w:r>
      <w:r>
        <w:rPr>
          <w:rFonts w:hint="eastAsia" w:ascii="仿宋" w:hAnsi="仿宋" w:eastAsia="仿宋"/>
          <w:sz w:val="32"/>
          <w:szCs w:val="32"/>
        </w:rPr>
        <w:t>。</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sz w:val="32"/>
        </w:rPr>
        <w:t>1)综合防范能力提升</w:t>
      </w:r>
      <w:r>
        <w:rPr>
          <w:rFonts w:ascii="仿宋" w:hAnsi="仿宋" w:eastAsia="仿宋" w:cs="仿宋"/>
          <w:sz w:val="32"/>
        </w:rPr>
        <w:t>(无)，目标值有效促进，完成值有效促进，分值20，得分20</w:t>
      </w:r>
      <w:r>
        <w:rPr>
          <w:rFonts w:hint="eastAsia" w:ascii="仿宋" w:hAnsi="仿宋" w:eastAsia="仿宋"/>
          <w:sz w:val="32"/>
          <w:szCs w:val="32"/>
        </w:rPr>
        <w:t>。</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sz w:val="32"/>
        </w:rPr>
        <w:t>1)可持续发展</w:t>
      </w:r>
      <w:r>
        <w:rPr>
          <w:rFonts w:ascii="仿宋" w:hAnsi="仿宋" w:eastAsia="仿宋" w:cs="仿宋"/>
          <w:sz w:val="32"/>
        </w:rPr>
        <w:t>(无)，目标值发展良好，完成值发展良好，分值10，得分10</w:t>
      </w:r>
      <w:r>
        <w:rPr>
          <w:rFonts w:hint="eastAsia" w:ascii="仿宋" w:hAnsi="仿宋" w:eastAsia="仿宋"/>
          <w:sz w:val="32"/>
          <w:szCs w:val="32"/>
        </w:rPr>
        <w:t>。</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9fe0da01"/>
        <w:spacing w:line="620" w:lineRule="exact"/>
        <w:ind w:left="420" w:leftChars="200"/>
        <w:rPr>
          <w:rFonts w:ascii="仿宋" w:hAnsi="仿宋" w:eastAsia="仿宋"/>
          <w:sz w:val="32"/>
          <w:szCs w:val="32"/>
        </w:rPr>
      </w:pPr>
      <w:r>
        <w:rPr>
          <w:rFonts w:ascii="仿宋_GB2312" w:hAnsi="仿宋_GB2312" w:eastAsia="仿宋_GB2312" w:cs="仿宋_GB2312"/>
          <w:sz w:val="32"/>
        </w:rPr>
        <w:t>1)社会公众对湿地保护工作满意度</w:t>
      </w:r>
      <w:r>
        <w:rPr>
          <w:rFonts w:ascii="仿宋" w:hAnsi="仿宋" w:eastAsia="仿宋" w:cs="仿宋"/>
          <w:sz w:val="32"/>
        </w:rPr>
        <w:t>(%)，目标值90，完成值90，分值10，得分10</w:t>
      </w:r>
      <w:r>
        <w:rPr>
          <w:rFonts w:hint="eastAsia" w:ascii="仿宋" w:hAnsi="仿宋" w:eastAsia="仿宋"/>
          <w:sz w:val="32"/>
          <w:szCs w:val="32"/>
        </w:rPr>
        <w:t>。</w:t>
      </w:r>
    </w:p>
    <w:p>
      <w:pPr>
        <w:pStyle w:val="9fe0da01"/>
        <w:tabs>
          <w:tab w:val="left" w:pos="2244"/>
        </w:tabs>
        <w:spacing w:line="620" w:lineRule="exact"/>
        <w:ind w:left="1890" w:leftChars="900"/>
        <w:rPr>
          <w:rFonts w:ascii="仿宋" w:hAnsi="仿宋" w:eastAsia="仿宋"/>
          <w:b/>
          <w:color w:val="FF0000"/>
          <w:sz w:val="32"/>
          <w:szCs w:val="32"/>
        </w:rPr>
      </w:pPr>
    </w:p>
    <w:p>
      <w:pPr>
        <w:pStyle w:val="9fe0da01"/>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9fe0da01"/>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9fe0da01"/>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我市林业有害生物防控工作任务重，需投入较多工作经费，目前缺口较大。</w:t>
      </w:r>
    </w:p>
    <w:p>
      <w:pPr>
        <w:pStyle w:val="9fe0da01"/>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9fe0da01"/>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我市林业有害生物防控工作任务重，需投入较多工作经费，目前缺口较大，加大投入力度，建立长效工作机制。</w:t>
      </w:r>
    </w:p>
    <w:p>
      <w:pPr>
        <w:pStyle w:val="9fe0da01"/>
        <w:ind w:left="840" w:firstLine="420"/>
        <w:sectPr>
          <w:type w:val="continuous"/>
          <w:pgSz w:w="11907" w:h="16840"/>
        </w:sectPr>
      </w:pPr>
    </w:p>
    <w:p>
      <w:pPr>
        <w:pageBreakBefore w:val="true"/>
      </w:pPr>
    </w:p>
    <w:p>
      <w:pPr>
        <w:pStyle w:val="458d7fff"/>
        <w:rPr>
          <w:rFonts w:ascii="仿宋" w:hAnsi="仿宋" w:eastAsia="仿宋"/>
          <w:sz w:val="32"/>
          <w:szCs w:val="32"/>
        </w:rPr>
      </w:pPr>
    </w:p>
    <w:p>
      <w:pPr>
        <w:pStyle w:val="458d7fff"/>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458d7fff"/>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泉财农指〔2024〕102号，2024年泉州市级财政森林资源培育与管护专项资金（第二批）：乡村绿化提升10万元</w:t>
      </w:r>
      <w:r>
        <w:rPr>
          <w:rFonts w:hint="eastAsia" w:ascii="仿宋" w:hAnsi="仿宋" w:eastAsia="仿宋"/>
          <w:sz w:val="32"/>
          <w:szCs w:val="32"/>
        </w:rPr>
        <w:t>）</w:t>
      </w:r>
    </w:p>
    <w:p>
      <w:pPr>
        <w:pStyle w:val="458d7fff"/>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458d7fff"/>
        <w:ind w:firstLine="643" w:firstLineChars="200"/>
        <w:rPr>
          <w:rFonts w:ascii="仿宋" w:hAnsi="仿宋" w:eastAsia="仿宋"/>
          <w:sz w:val="32"/>
          <w:szCs w:val="32"/>
        </w:rPr>
      </w:pPr>
      <w:r>
        <w:rPr>
          <w:rFonts w:hint="eastAsia" w:ascii="仿宋" w:hAnsi="仿宋" w:eastAsia="仿宋"/>
          <w:b/>
          <w:sz w:val="32"/>
          <w:szCs w:val="32"/>
        </w:rPr>
        <w:t>（一）项目概况</w:t>
      </w:r>
    </w:p>
    <w:p>
      <w:pPr>
        <w:pStyle w:val="458d7fff"/>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458d7fff"/>
        <w:ind w:firstLine="643" w:firstLineChars="200"/>
        <w:rPr>
          <w:rFonts w:ascii="仿宋" w:hAnsi="仿宋" w:eastAsia="仿宋"/>
          <w:sz w:val="32"/>
          <w:szCs w:val="32"/>
        </w:rPr>
      </w:pPr>
      <w:r>
        <w:rPr>
          <w:rFonts w:hint="eastAsia" w:ascii="仿宋" w:hAnsi="仿宋" w:eastAsia="仿宋"/>
          <w:b/>
          <w:sz w:val="32"/>
          <w:szCs w:val="32"/>
        </w:rPr>
        <w:t>（二）主要成效</w:t>
      </w:r>
    </w:p>
    <w:p>
      <w:pPr>
        <w:pStyle w:val="458d7fff"/>
        <w:ind w:firstLine="1472" w:firstLineChars="460"/>
        <w:rPr>
          <w:rFonts w:ascii="仿宋" w:hAnsi="仿宋" w:eastAsia="仿宋"/>
          <w:sz w:val="32"/>
          <w:szCs w:val="32"/>
        </w:rPr>
      </w:pPr>
    </w:p>
    <w:p>
      <w:pPr>
        <w:pStyle w:val="458d7fff"/>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458d7fff"/>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80分，等级为良，设置绩效目标6个，实际完成5个，具体情况如下：</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sz w:val="32"/>
        </w:rPr>
        <w:t>1)补助标准（万元/个）</w:t>
      </w:r>
      <w:r>
        <w:rPr>
          <w:rFonts w:ascii="仿宋" w:hAnsi="仿宋" w:eastAsia="仿宋" w:cs="仿宋"/>
          <w:sz w:val="32"/>
        </w:rPr>
        <w:t>(万元/个)，目标值5，完成值5，分值10，得分10</w:t>
      </w:r>
      <w:r>
        <w:rPr>
          <w:rFonts w:hint="eastAsia" w:ascii="仿宋" w:hAnsi="仿宋" w:eastAsia="仿宋"/>
          <w:sz w:val="32"/>
          <w:szCs w:val="32"/>
        </w:rPr>
        <w:t>。</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sz w:val="32"/>
        </w:rPr>
        <w:t>1)乡村绿化提升（个）</w:t>
      </w:r>
      <w:r>
        <w:rPr>
          <w:rFonts w:ascii="仿宋" w:hAnsi="仿宋" w:eastAsia="仿宋" w:cs="仿宋"/>
          <w:sz w:val="32"/>
        </w:rPr>
        <w:t>(个)，目标值2，完成值0，分值10，得分0</w:t>
      </w:r>
      <w:r>
        <w:rPr>
          <w:rFonts w:hint="eastAsia" w:ascii="仿宋" w:hAnsi="仿宋" w:eastAsia="仿宋"/>
          <w:sz w:val="32"/>
          <w:szCs w:val="32"/>
        </w:rPr>
        <w:t>。</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sz w:val="32"/>
        </w:rPr>
        <w:t>1)设立建设标准</w:t>
      </w:r>
      <w:r>
        <w:rPr>
          <w:rFonts w:ascii="仿宋" w:hAnsi="仿宋" w:eastAsia="仿宋" w:cs="仿宋"/>
          <w:sz w:val="32"/>
        </w:rPr>
        <w:t>(无)，目标值是，完成值是，分值20，得分20</w:t>
      </w:r>
      <w:r>
        <w:rPr>
          <w:rFonts w:hint="eastAsia" w:ascii="仿宋" w:hAnsi="仿宋" w:eastAsia="仿宋"/>
          <w:sz w:val="32"/>
          <w:szCs w:val="32"/>
        </w:rPr>
        <w:t>。</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sz w:val="32"/>
        </w:rPr>
        <w:t>1)下达任务（是/否）</w:t>
      </w:r>
      <w:r>
        <w:rPr>
          <w:rFonts w:ascii="仿宋" w:hAnsi="仿宋" w:eastAsia="仿宋" w:cs="仿宋"/>
          <w:sz w:val="32"/>
        </w:rPr>
        <w:t>(无)，目标值是，完成值是，分值10，得分10</w:t>
      </w:r>
      <w:r>
        <w:rPr>
          <w:rFonts w:hint="eastAsia" w:ascii="仿宋" w:hAnsi="仿宋" w:eastAsia="仿宋"/>
          <w:sz w:val="32"/>
          <w:szCs w:val="32"/>
        </w:rPr>
        <w:t>。</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sz w:val="32"/>
        </w:rPr>
        <w:t>1)改善社会绿化环境</w:t>
      </w:r>
      <w:r>
        <w:rPr>
          <w:rFonts w:ascii="仿宋" w:hAnsi="仿宋" w:eastAsia="仿宋" w:cs="仿宋"/>
          <w:sz w:val="32"/>
        </w:rPr>
        <w:t>(无)，目标值是，完成值是，分值30，得分30</w:t>
      </w:r>
      <w:r>
        <w:rPr>
          <w:rFonts w:hint="eastAsia" w:ascii="仿宋" w:hAnsi="仿宋" w:eastAsia="仿宋"/>
          <w:sz w:val="32"/>
          <w:szCs w:val="32"/>
        </w:rPr>
        <w:t>。</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458d7fff"/>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w:t>
      </w:r>
      <w:r>
        <w:rPr>
          <w:rFonts w:ascii="仿宋" w:hAnsi="仿宋" w:eastAsia="仿宋" w:cs="仿宋"/>
          <w:sz w:val="32"/>
        </w:rPr>
        <w:t>(%)，目标值90，完成值90，分值10，得分10</w:t>
      </w:r>
      <w:r>
        <w:rPr>
          <w:rFonts w:hint="eastAsia" w:ascii="仿宋" w:hAnsi="仿宋" w:eastAsia="仿宋"/>
          <w:sz w:val="32"/>
          <w:szCs w:val="32"/>
        </w:rPr>
        <w:t>。</w:t>
      </w:r>
    </w:p>
    <w:p>
      <w:pPr>
        <w:pStyle w:val="458d7fff"/>
        <w:tabs>
          <w:tab w:val="left" w:pos="2244"/>
        </w:tabs>
        <w:spacing w:line="620" w:lineRule="exact"/>
        <w:ind w:left="1890" w:leftChars="900"/>
        <w:rPr>
          <w:rFonts w:ascii="仿宋" w:hAnsi="仿宋" w:eastAsia="仿宋"/>
          <w:b/>
          <w:color w:val="FF0000"/>
          <w:sz w:val="32"/>
          <w:szCs w:val="32"/>
        </w:rPr>
      </w:pPr>
    </w:p>
    <w:p>
      <w:pPr>
        <w:pStyle w:val="458d7fff"/>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458d7fff"/>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458d7fff"/>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一是实施单位工作推进缓慢，二是由于资金补助标准较低，致使各单位建设的积极性不足。</w:t>
      </w:r>
    </w:p>
    <w:p>
      <w:pPr>
        <w:pStyle w:val="458d7fff"/>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458d7fff"/>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一是加快督促实施单位工作的推进，二是加强与上级及财政部门的沟通协调工作，提高资金补助标准。</w:t>
      </w:r>
    </w:p>
    <w:p>
      <w:pPr>
        <w:pStyle w:val="458d7fff"/>
        <w:ind w:left="840" w:firstLine="420"/>
        <w:sectPr>
          <w:type w:val="continuous"/>
          <w:pgSz w:w="11907" w:h="16840"/>
        </w:sectPr>
      </w:pPr>
    </w:p>
    <w:p>
      <w:pPr>
        <w:pageBreakBefore w:val="true"/>
      </w:pPr>
    </w:p>
    <w:p>
      <w:pPr>
        <w:pStyle w:val="4bd981d3"/>
        <w:rPr>
          <w:rFonts w:ascii="仿宋" w:hAnsi="仿宋" w:eastAsia="仿宋"/>
          <w:sz w:val="32"/>
          <w:szCs w:val="32"/>
        </w:rPr>
      </w:pPr>
    </w:p>
    <w:p>
      <w:pPr>
        <w:pStyle w:val="4bd981d3"/>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4bd981d3"/>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泉财农指〔2024〕101号，2024年泉州市级财政现代林业经济专项资金（第二批）：林业技术推广4万元</w:t>
      </w:r>
      <w:r>
        <w:rPr>
          <w:rFonts w:hint="eastAsia" w:ascii="仿宋" w:hAnsi="仿宋" w:eastAsia="仿宋"/>
          <w:sz w:val="32"/>
          <w:szCs w:val="32"/>
        </w:rPr>
        <w:t>）</w:t>
      </w:r>
    </w:p>
    <w:p>
      <w:pPr>
        <w:pStyle w:val="4bd981d3"/>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4bd981d3"/>
        <w:ind w:firstLine="643" w:firstLineChars="200"/>
        <w:rPr>
          <w:rFonts w:ascii="仿宋" w:hAnsi="仿宋" w:eastAsia="仿宋"/>
          <w:sz w:val="32"/>
          <w:szCs w:val="32"/>
        </w:rPr>
      </w:pPr>
      <w:r>
        <w:rPr>
          <w:rFonts w:hint="eastAsia" w:ascii="仿宋" w:hAnsi="仿宋" w:eastAsia="仿宋"/>
          <w:b/>
          <w:sz w:val="32"/>
          <w:szCs w:val="32"/>
        </w:rPr>
        <w:t>（一）项目概况</w:t>
      </w:r>
    </w:p>
    <w:p>
      <w:pPr>
        <w:pStyle w:val="4bd981d3"/>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4bd981d3"/>
        <w:ind w:firstLine="643" w:firstLineChars="200"/>
        <w:rPr>
          <w:rFonts w:ascii="仿宋" w:hAnsi="仿宋" w:eastAsia="仿宋"/>
          <w:sz w:val="32"/>
          <w:szCs w:val="32"/>
        </w:rPr>
      </w:pPr>
      <w:r>
        <w:rPr>
          <w:rFonts w:hint="eastAsia" w:ascii="仿宋" w:hAnsi="仿宋" w:eastAsia="仿宋"/>
          <w:b/>
          <w:sz w:val="32"/>
          <w:szCs w:val="32"/>
        </w:rPr>
        <w:t>（二）主要成效</w:t>
      </w:r>
    </w:p>
    <w:p>
      <w:pPr>
        <w:pStyle w:val="4bd981d3"/>
        <w:ind w:firstLine="1472" w:firstLineChars="460"/>
        <w:rPr>
          <w:rFonts w:ascii="仿宋" w:hAnsi="仿宋" w:eastAsia="仿宋"/>
          <w:sz w:val="32"/>
          <w:szCs w:val="32"/>
        </w:rPr>
      </w:pPr>
    </w:p>
    <w:p>
      <w:pPr>
        <w:pStyle w:val="4bd981d3"/>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4bd981d3"/>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80分，等级为良，设置绩效目标6个，实际完成5个，具体情况如下：</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sz w:val="32"/>
        </w:rPr>
        <w:t>1)财政投入资金</w:t>
      </w:r>
      <w:r>
        <w:rPr>
          <w:rFonts w:ascii="仿宋" w:hAnsi="仿宋" w:eastAsia="仿宋" w:cs="仿宋"/>
          <w:sz w:val="32"/>
        </w:rPr>
        <w:t>(万元)，目标值4，完成值0，分值10，得分0</w:t>
      </w:r>
      <w:r>
        <w:rPr>
          <w:rFonts w:hint="eastAsia" w:ascii="仿宋" w:hAnsi="仿宋" w:eastAsia="仿宋"/>
          <w:sz w:val="32"/>
          <w:szCs w:val="32"/>
        </w:rPr>
        <w:t>。</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sz w:val="32"/>
        </w:rPr>
        <w:t>1)科技推广数量（个）</w:t>
      </w:r>
      <w:r>
        <w:rPr>
          <w:rFonts w:ascii="仿宋" w:hAnsi="仿宋" w:eastAsia="仿宋" w:cs="仿宋"/>
          <w:sz w:val="32"/>
        </w:rPr>
        <w:t>(个)，目标值1，完成值1，分值20，得分20</w:t>
      </w:r>
      <w:r>
        <w:rPr>
          <w:rFonts w:hint="eastAsia" w:ascii="仿宋" w:hAnsi="仿宋" w:eastAsia="仿宋"/>
          <w:sz w:val="32"/>
          <w:szCs w:val="32"/>
        </w:rPr>
        <w:t>。</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sz w:val="32"/>
        </w:rPr>
        <w:t>1)增加企业收入</w:t>
      </w:r>
      <w:r>
        <w:rPr>
          <w:rFonts w:ascii="仿宋" w:hAnsi="仿宋" w:eastAsia="仿宋" w:cs="仿宋"/>
          <w:sz w:val="32"/>
        </w:rPr>
        <w:t>(无)，目标值逐步增加，完成值逐步增加，分值10，得分10</w:t>
      </w:r>
      <w:r>
        <w:rPr>
          <w:rFonts w:hint="eastAsia" w:ascii="仿宋" w:hAnsi="仿宋" w:eastAsia="仿宋"/>
          <w:sz w:val="32"/>
          <w:szCs w:val="32"/>
        </w:rPr>
        <w:t>。</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sz w:val="32"/>
        </w:rPr>
        <w:t>1)项目完成情况</w:t>
      </w:r>
      <w:r>
        <w:rPr>
          <w:rFonts w:ascii="仿宋" w:hAnsi="仿宋" w:eastAsia="仿宋" w:cs="仿宋"/>
          <w:sz w:val="32"/>
        </w:rPr>
        <w:t>(无)，目标值完成，完成值完成，分值10，得分10</w:t>
      </w:r>
      <w:r>
        <w:rPr>
          <w:rFonts w:hint="eastAsia" w:ascii="仿宋" w:hAnsi="仿宋" w:eastAsia="仿宋"/>
          <w:sz w:val="32"/>
          <w:szCs w:val="32"/>
        </w:rPr>
        <w:t>。</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sz w:val="32"/>
        </w:rPr>
        <w:t>1)森林环境明显改善（是/否）</w:t>
      </w:r>
      <w:r>
        <w:rPr>
          <w:rFonts w:ascii="仿宋" w:hAnsi="仿宋" w:eastAsia="仿宋" w:cs="仿宋"/>
          <w:sz w:val="32"/>
        </w:rPr>
        <w:t>(无)，目标值是，完成值是，分值30，得分30</w:t>
      </w:r>
      <w:r>
        <w:rPr>
          <w:rFonts w:hint="eastAsia" w:ascii="仿宋" w:hAnsi="仿宋" w:eastAsia="仿宋"/>
          <w:sz w:val="32"/>
          <w:szCs w:val="32"/>
        </w:rPr>
        <w:t>。</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4bd981d3"/>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w:t>
      </w:r>
      <w:r>
        <w:rPr>
          <w:rFonts w:ascii="仿宋" w:hAnsi="仿宋" w:eastAsia="仿宋" w:cs="仿宋"/>
          <w:sz w:val="32"/>
        </w:rPr>
        <w:t>(%)，目标值90，完成值90，分值10，得分10</w:t>
      </w:r>
      <w:r>
        <w:rPr>
          <w:rFonts w:hint="eastAsia" w:ascii="仿宋" w:hAnsi="仿宋" w:eastAsia="仿宋"/>
          <w:sz w:val="32"/>
          <w:szCs w:val="32"/>
        </w:rPr>
        <w:t>。</w:t>
      </w:r>
    </w:p>
    <w:p>
      <w:pPr>
        <w:pStyle w:val="4bd981d3"/>
        <w:tabs>
          <w:tab w:val="left" w:pos="2244"/>
        </w:tabs>
        <w:spacing w:line="620" w:lineRule="exact"/>
        <w:ind w:left="1890" w:leftChars="900"/>
        <w:rPr>
          <w:rFonts w:ascii="仿宋" w:hAnsi="仿宋" w:eastAsia="仿宋"/>
          <w:b/>
          <w:color w:val="FF0000"/>
          <w:sz w:val="32"/>
          <w:szCs w:val="32"/>
        </w:rPr>
      </w:pPr>
    </w:p>
    <w:p>
      <w:pPr>
        <w:pStyle w:val="4bd981d3"/>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4bd981d3"/>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4bd981d3"/>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林业财期长，见效慢，林农更有意于投资周期短、立竿见影的品种，对林业新技术往往持观望态度。</w:t>
      </w:r>
    </w:p>
    <w:p>
      <w:pPr>
        <w:pStyle w:val="4bd981d3"/>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4bd981d3"/>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林业财期长，见效慢，林农更有意于投资周期短、立竿见影的品种，用数据和案例说话，加大宣传力度。</w:t>
      </w:r>
    </w:p>
    <w:p>
      <w:pPr>
        <w:pStyle w:val="4bd981d3"/>
        <w:ind w:left="840" w:firstLine="420"/>
        <w:sectPr>
          <w:type w:val="continuous"/>
          <w:pgSz w:w="11907" w:h="16840"/>
        </w:sectPr>
      </w:pPr>
    </w:p>
    <w:p>
      <w:pPr>
        <w:pageBreakBefore w:val="true"/>
      </w:pPr>
    </w:p>
    <w:p>
      <w:pPr>
        <w:pStyle w:val="96ea06ee"/>
        <w:rPr>
          <w:rFonts w:ascii="仿宋" w:hAnsi="仿宋" w:eastAsia="仿宋"/>
          <w:sz w:val="32"/>
          <w:szCs w:val="32"/>
        </w:rPr>
      </w:pPr>
      <w:bookmarkStart w:id="0" w:name="_GoBack"/>
      <w:bookmarkEnd w:id="0"/>
    </w:p>
    <w:p>
      <w:pPr>
        <w:pStyle w:val="96ea06ee"/>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r>
        <w:rPr>
          <w:rFonts w:ascii="宋体" w:hAnsi="宋体" w:eastAsia="宋体" w:cs="宋体"/>
          <w:b/>
          <w:sz w:val="44"/>
        </w:rPr>
        <w:t>报告</w:t>
      </w:r>
    </w:p>
    <w:p>
      <w:pPr>
        <w:pStyle w:val="96ea06ee"/>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南财指标〔2024〕1154号2024年市直机关“3.12”义务植树基地建设经费</w:t>
      </w:r>
      <w:r>
        <w:rPr>
          <w:rFonts w:hint="eastAsia" w:ascii="仿宋" w:hAnsi="仿宋" w:eastAsia="仿宋"/>
          <w:sz w:val="32"/>
          <w:szCs w:val="32"/>
        </w:rPr>
        <w:t>）</w:t>
      </w:r>
    </w:p>
    <w:p>
      <w:pPr>
        <w:pStyle w:val="96ea06ee"/>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96ea06ee"/>
        <w:ind w:firstLine="643" w:firstLineChars="200"/>
        <w:rPr>
          <w:rFonts w:ascii="仿宋" w:hAnsi="仿宋" w:eastAsia="仿宋"/>
          <w:sz w:val="32"/>
          <w:szCs w:val="32"/>
        </w:rPr>
      </w:pPr>
      <w:r>
        <w:rPr>
          <w:rFonts w:hint="eastAsia" w:ascii="仿宋" w:hAnsi="仿宋" w:eastAsia="仿宋"/>
          <w:b/>
          <w:sz w:val="32"/>
          <w:szCs w:val="32"/>
        </w:rPr>
        <w:t>（一）项目概况</w:t>
      </w:r>
    </w:p>
    <w:p>
      <w:pPr>
        <w:pStyle w:val="96ea06ee"/>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96ea06ee"/>
        <w:ind w:firstLine="643" w:firstLineChars="200"/>
        <w:rPr>
          <w:rFonts w:ascii="仿宋" w:hAnsi="仿宋" w:eastAsia="仿宋"/>
          <w:sz w:val="32"/>
          <w:szCs w:val="32"/>
        </w:rPr>
      </w:pPr>
      <w:r>
        <w:rPr>
          <w:rFonts w:hint="eastAsia" w:ascii="仿宋" w:hAnsi="仿宋" w:eastAsia="仿宋"/>
          <w:b/>
          <w:sz w:val="32"/>
          <w:szCs w:val="32"/>
        </w:rPr>
        <w:t>（二）主要成效</w:t>
      </w:r>
    </w:p>
    <w:p>
      <w:pPr>
        <w:pStyle w:val="96ea06ee"/>
        <w:ind w:firstLine="1472" w:firstLineChars="460"/>
        <w:rPr>
          <w:rFonts w:ascii="仿宋" w:hAnsi="仿宋" w:eastAsia="仿宋"/>
          <w:sz w:val="32"/>
          <w:szCs w:val="32"/>
        </w:rPr>
      </w:pPr>
    </w:p>
    <w:p>
      <w:pPr>
        <w:pStyle w:val="96ea06ee"/>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96ea06ee"/>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sz w:val="32"/>
        </w:rPr>
        <w:t>1)预算金额</w:t>
      </w:r>
      <w:r>
        <w:rPr>
          <w:rFonts w:ascii="仿宋" w:hAnsi="仿宋" w:eastAsia="仿宋" w:cs="仿宋"/>
          <w:sz w:val="32"/>
        </w:rPr>
        <w:t>(万元)，目标值19.327，完成值19.327，分值10，得分10</w:t>
      </w:r>
      <w:r>
        <w:rPr>
          <w:rFonts w:hint="eastAsia" w:ascii="仿宋" w:hAnsi="仿宋" w:eastAsia="仿宋"/>
          <w:sz w:val="32"/>
          <w:szCs w:val="32"/>
        </w:rPr>
        <w:t>。</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sz w:val="32"/>
        </w:rPr>
        <w:t>1)植苗面积</w:t>
      </w:r>
      <w:r>
        <w:rPr>
          <w:rFonts w:ascii="仿宋" w:hAnsi="仿宋" w:eastAsia="仿宋" w:cs="仿宋"/>
          <w:sz w:val="32"/>
        </w:rPr>
        <w:t>(亩)，目标值43，完成值43，分值20，得分20</w:t>
      </w:r>
      <w:r>
        <w:rPr>
          <w:rFonts w:hint="eastAsia" w:ascii="仿宋" w:hAnsi="仿宋" w:eastAsia="仿宋"/>
          <w:sz w:val="32"/>
          <w:szCs w:val="32"/>
        </w:rPr>
        <w:t>。</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sz w:val="32"/>
        </w:rPr>
        <w:t>1)苗木成活率</w:t>
      </w:r>
      <w:r>
        <w:rPr>
          <w:rFonts w:ascii="仿宋" w:hAnsi="仿宋" w:eastAsia="仿宋" w:cs="仿宋"/>
          <w:sz w:val="32"/>
        </w:rPr>
        <w:t>(%)，目标值85，完成值85，分值10，得分10</w:t>
      </w:r>
      <w:r>
        <w:rPr>
          <w:rFonts w:hint="eastAsia" w:ascii="仿宋" w:hAnsi="仿宋" w:eastAsia="仿宋"/>
          <w:sz w:val="32"/>
          <w:szCs w:val="32"/>
        </w:rPr>
        <w:t>。</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sz w:val="32"/>
        </w:rPr>
        <w:t>1)修复矿山图斑</w:t>
      </w:r>
      <w:r>
        <w:rPr>
          <w:rFonts w:ascii="仿宋" w:hAnsi="仿宋" w:eastAsia="仿宋" w:cs="仿宋"/>
          <w:sz w:val="32"/>
        </w:rPr>
        <w:t>(个)，目标值1，完成值1，分值10，得分10</w:t>
      </w:r>
      <w:r>
        <w:rPr>
          <w:rFonts w:hint="eastAsia" w:ascii="仿宋" w:hAnsi="仿宋" w:eastAsia="仿宋"/>
          <w:sz w:val="32"/>
          <w:szCs w:val="32"/>
        </w:rPr>
        <w:t>。</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sz w:val="32"/>
        </w:rPr>
        <w:t>1)义务植树基地建设</w:t>
      </w:r>
      <w:r>
        <w:rPr>
          <w:rFonts w:ascii="仿宋" w:hAnsi="仿宋" w:eastAsia="仿宋" w:cs="仿宋"/>
          <w:sz w:val="32"/>
        </w:rPr>
        <w:t>(无)，目标值完成，完成值完成，分值30，得分30</w:t>
      </w:r>
      <w:r>
        <w:rPr>
          <w:rFonts w:hint="eastAsia" w:ascii="仿宋" w:hAnsi="仿宋" w:eastAsia="仿宋"/>
          <w:sz w:val="32"/>
          <w:szCs w:val="32"/>
        </w:rPr>
        <w:t>。</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96ea06ee"/>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w:t>
      </w:r>
      <w:r>
        <w:rPr>
          <w:rFonts w:ascii="仿宋" w:hAnsi="仿宋" w:eastAsia="仿宋" w:cs="仿宋"/>
          <w:sz w:val="32"/>
        </w:rPr>
        <w:t>(%)，目标值80，完成值80，分值10，得分10</w:t>
      </w:r>
      <w:r>
        <w:rPr>
          <w:rFonts w:hint="eastAsia" w:ascii="仿宋" w:hAnsi="仿宋" w:eastAsia="仿宋"/>
          <w:sz w:val="32"/>
          <w:szCs w:val="32"/>
        </w:rPr>
        <w:t>。</w:t>
      </w:r>
    </w:p>
    <w:p>
      <w:pPr>
        <w:pStyle w:val="96ea06ee"/>
        <w:tabs>
          <w:tab w:val="left" w:pos="2244"/>
        </w:tabs>
        <w:spacing w:line="620" w:lineRule="exact"/>
        <w:ind w:left="1890" w:leftChars="900"/>
        <w:rPr>
          <w:rFonts w:ascii="仿宋" w:hAnsi="仿宋" w:eastAsia="仿宋"/>
          <w:b/>
          <w:color w:val="FF0000"/>
          <w:sz w:val="32"/>
          <w:szCs w:val="32"/>
        </w:rPr>
      </w:pPr>
    </w:p>
    <w:p>
      <w:pPr>
        <w:pStyle w:val="96ea06ee"/>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96ea06ee"/>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96ea06ee"/>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96ea06ee"/>
        <w:ind w:left="840" w:firstLine="420"/>
        <w:sectPr>
          <w:type w:val="continuous"/>
          <w:pgSz w:w="11907" w:h="16840"/>
        </w:sectPr>
      </w:pPr>
    </w:p>
    <w:p>
      <w:pPr>
        <w:pageBreakBefore w:val="true"/>
      </w:pPr>
    </w:p>
    <w:p>
      <w:pPr>
        <w:pStyle w:val="93236c27"/>
        <w:rPr>
          <w:rFonts w:ascii="仿宋" w:hAnsi="仿宋" w:eastAsia="仿宋"/>
          <w:sz w:val="32"/>
          <w:szCs w:val="32"/>
        </w:rPr>
      </w:pPr>
      <w:bookmarkStart w:id="0" w:name="_GoBack"/>
      <w:bookmarkEnd w:id="0"/>
    </w:p>
    <w:p>
      <w:pPr>
        <w:pStyle w:val="93236c27"/>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r>
        <w:rPr>
          <w:rFonts w:ascii="宋体" w:hAnsi="宋体" w:eastAsia="宋体" w:cs="宋体"/>
          <w:b/>
          <w:sz w:val="44"/>
        </w:rPr>
        <w:t>报告</w:t>
      </w:r>
    </w:p>
    <w:p>
      <w:pPr>
        <w:pStyle w:val="93236c27"/>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泉财农指〔2025〕41号，2025年泉州市级财政现代林业经济专项资金（第一批）林下经济45万元</w:t>
      </w:r>
      <w:r>
        <w:rPr>
          <w:rFonts w:hint="eastAsia" w:ascii="仿宋" w:hAnsi="仿宋" w:eastAsia="仿宋"/>
          <w:sz w:val="32"/>
          <w:szCs w:val="32"/>
        </w:rPr>
        <w:t>）</w:t>
      </w:r>
    </w:p>
    <w:p>
      <w:pPr>
        <w:pStyle w:val="93236c27"/>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93236c27"/>
        <w:ind w:firstLine="643" w:firstLineChars="200"/>
        <w:rPr>
          <w:rFonts w:ascii="仿宋" w:hAnsi="仿宋" w:eastAsia="仿宋"/>
          <w:sz w:val="32"/>
          <w:szCs w:val="32"/>
        </w:rPr>
      </w:pPr>
      <w:r>
        <w:rPr>
          <w:rFonts w:hint="eastAsia" w:ascii="仿宋" w:hAnsi="仿宋" w:eastAsia="仿宋"/>
          <w:b/>
          <w:sz w:val="32"/>
          <w:szCs w:val="32"/>
        </w:rPr>
        <w:t>（一）项目概况</w:t>
      </w:r>
    </w:p>
    <w:p>
      <w:pPr>
        <w:pStyle w:val="93236c27"/>
        <w:ind w:firstLine="1472" w:firstLineChars="460"/>
        <w:rPr>
          <w:rFonts w:ascii="仿宋" w:hAnsi="仿宋" w:eastAsia="仿宋"/>
          <w:sz w:val="32"/>
          <w:szCs w:val="32"/>
        </w:rPr>
      </w:pPr>
      <w:r>
        <w:rPr>
          <w:rFonts w:hint="eastAsia" w:ascii="仿宋" w:hAnsi="仿宋" w:eastAsia="仿宋"/>
          <w:sz w:val="32"/>
          <w:szCs w:val="32"/>
        </w:rPr>
        <w:t>完成9个泉州市级林下经济基地建设。</w:t>
      </w:r>
      <w:r>
        <w:rPr>
          <w:rFonts w:ascii="仿宋" w:hAnsi="仿宋" w:eastAsia="仿宋" w:cs="仿宋"/>
          <w:sz w:val="32"/>
        </w:rPr>
        <w:t xml:space="preserve"> </w:t>
      </w:r>
    </w:p>
    <w:p>
      <w:pPr>
        <w:pStyle w:val="93236c27"/>
        <w:ind w:firstLine="643" w:firstLineChars="200"/>
        <w:rPr>
          <w:rFonts w:ascii="仿宋" w:hAnsi="仿宋" w:eastAsia="仿宋"/>
          <w:sz w:val="32"/>
          <w:szCs w:val="32"/>
        </w:rPr>
      </w:pPr>
      <w:r>
        <w:rPr>
          <w:rFonts w:hint="eastAsia" w:ascii="仿宋" w:hAnsi="仿宋" w:eastAsia="仿宋"/>
          <w:b/>
          <w:sz w:val="32"/>
          <w:szCs w:val="32"/>
        </w:rPr>
        <w:t>（二）主要成效</w:t>
      </w:r>
    </w:p>
    <w:p>
      <w:pPr>
        <w:pStyle w:val="93236c27"/>
        <w:ind w:firstLine="1472" w:firstLineChars="460"/>
        <w:rPr>
          <w:rFonts w:ascii="仿宋" w:hAnsi="仿宋" w:eastAsia="仿宋"/>
          <w:sz w:val="32"/>
          <w:szCs w:val="32"/>
        </w:rPr>
      </w:pPr>
    </w:p>
    <w:p>
      <w:pPr>
        <w:pStyle w:val="93236c27"/>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93236c27"/>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sz w:val="32"/>
        </w:rPr>
        <w:t>1)林下经济扶持项目补助（元/个）</w:t>
      </w:r>
      <w:r>
        <w:rPr>
          <w:rFonts w:ascii="仿宋" w:hAnsi="仿宋" w:eastAsia="仿宋" w:cs="仿宋"/>
          <w:sz w:val="32"/>
        </w:rPr>
        <w:t>(元/个)，目标值50000，完成值50000，分值10，得分10</w:t>
      </w:r>
      <w:r>
        <w:rPr>
          <w:rFonts w:hint="eastAsia" w:ascii="仿宋" w:hAnsi="仿宋" w:eastAsia="仿宋"/>
          <w:sz w:val="32"/>
          <w:szCs w:val="32"/>
        </w:rPr>
        <w:t>。</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sz w:val="32"/>
        </w:rPr>
        <w:t>1)新增林下经济项目个数</w:t>
      </w:r>
      <w:r>
        <w:rPr>
          <w:rFonts w:ascii="仿宋" w:hAnsi="仿宋" w:eastAsia="仿宋" w:cs="仿宋"/>
          <w:sz w:val="32"/>
        </w:rPr>
        <w:t>(个)，目标值9，完成值9，分值20，得分20</w:t>
      </w:r>
      <w:r>
        <w:rPr>
          <w:rFonts w:hint="eastAsia" w:ascii="仿宋" w:hAnsi="仿宋" w:eastAsia="仿宋"/>
          <w:sz w:val="32"/>
          <w:szCs w:val="32"/>
        </w:rPr>
        <w:t>。</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sz w:val="32"/>
        </w:rPr>
        <w:t>1)项目建设合格率（%）</w:t>
      </w:r>
      <w:r>
        <w:rPr>
          <w:rFonts w:ascii="仿宋" w:hAnsi="仿宋" w:eastAsia="仿宋" w:cs="仿宋"/>
          <w:sz w:val="32"/>
        </w:rPr>
        <w:t>(%)，目标值90，完成值90，分值10，得分10</w:t>
      </w:r>
      <w:r>
        <w:rPr>
          <w:rFonts w:hint="eastAsia" w:ascii="仿宋" w:hAnsi="仿宋" w:eastAsia="仿宋"/>
          <w:sz w:val="32"/>
          <w:szCs w:val="32"/>
        </w:rPr>
        <w:t>。</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sz w:val="32"/>
        </w:rPr>
        <w:t>1)项目建设任务完成率（%）</w:t>
      </w:r>
      <w:r>
        <w:rPr>
          <w:rFonts w:ascii="仿宋" w:hAnsi="仿宋" w:eastAsia="仿宋" w:cs="仿宋"/>
          <w:sz w:val="32"/>
        </w:rPr>
        <w:t>(%)，目标值100，完成值100，分值10，得分10</w:t>
      </w:r>
      <w:r>
        <w:rPr>
          <w:rFonts w:hint="eastAsia" w:ascii="仿宋" w:hAnsi="仿宋" w:eastAsia="仿宋"/>
          <w:sz w:val="32"/>
          <w:szCs w:val="32"/>
        </w:rPr>
        <w:t>。</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sz w:val="32"/>
        </w:rPr>
        <w:t>1)增加企业收入%</w:t>
      </w:r>
      <w:r>
        <w:rPr>
          <w:rFonts w:ascii="仿宋" w:hAnsi="仿宋" w:eastAsia="仿宋" w:cs="仿宋"/>
          <w:sz w:val="32"/>
        </w:rPr>
        <w:t>(%)，目标值10，完成值10，分值30，得分30</w:t>
      </w:r>
      <w:r>
        <w:rPr>
          <w:rFonts w:hint="eastAsia" w:ascii="仿宋" w:hAnsi="仿宋" w:eastAsia="仿宋"/>
          <w:sz w:val="32"/>
          <w:szCs w:val="32"/>
        </w:rPr>
        <w:t>。</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93236c27"/>
        <w:spacing w:line="620" w:lineRule="exact"/>
        <w:ind w:left="420" w:leftChars="200"/>
        <w:rPr>
          <w:rFonts w:ascii="仿宋" w:hAnsi="仿宋" w:eastAsia="仿宋"/>
          <w:sz w:val="32"/>
          <w:szCs w:val="32"/>
        </w:rPr>
      </w:pPr>
      <w:r>
        <w:rPr>
          <w:rFonts w:ascii="仿宋_GB2312" w:hAnsi="仿宋_GB2312" w:eastAsia="仿宋_GB2312" w:cs="仿宋_GB2312"/>
          <w:sz w:val="32"/>
        </w:rPr>
        <w:t>1)反映经营主体满意度%</w:t>
      </w:r>
      <w:r>
        <w:rPr>
          <w:rFonts w:ascii="仿宋" w:hAnsi="仿宋" w:eastAsia="仿宋" w:cs="仿宋"/>
          <w:sz w:val="32"/>
        </w:rPr>
        <w:t>(%)，目标值90，完成值90，分值10，得分10</w:t>
      </w:r>
      <w:r>
        <w:rPr>
          <w:rFonts w:hint="eastAsia" w:ascii="仿宋" w:hAnsi="仿宋" w:eastAsia="仿宋"/>
          <w:sz w:val="32"/>
          <w:szCs w:val="32"/>
        </w:rPr>
        <w:t>。</w:t>
      </w:r>
    </w:p>
    <w:p>
      <w:pPr>
        <w:pStyle w:val="93236c27"/>
        <w:tabs>
          <w:tab w:val="left" w:pos="2244"/>
        </w:tabs>
        <w:spacing w:line="620" w:lineRule="exact"/>
        <w:ind w:left="1890" w:leftChars="900"/>
        <w:rPr>
          <w:rFonts w:ascii="仿宋" w:hAnsi="仿宋" w:eastAsia="仿宋"/>
          <w:b/>
          <w:color w:val="FF0000"/>
          <w:sz w:val="32"/>
          <w:szCs w:val="32"/>
        </w:rPr>
      </w:pPr>
    </w:p>
    <w:p>
      <w:pPr>
        <w:pStyle w:val="93236c27"/>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93236c27"/>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93236c27"/>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93236c27"/>
        <w:ind w:left="840" w:firstLine="420"/>
        <w:sectPr>
          <w:type w:val="continuous"/>
          <w:pgSz w:w="11907" w:h="16840"/>
        </w:sectPr>
      </w:pPr>
    </w:p>
    <w:p>
      <w:pPr>
        <w:pageBreakBefore w:val="true"/>
      </w:pPr>
    </w:p>
    <w:p>
      <w:pPr>
        <w:pStyle w:val="7192c9f7"/>
        <w:rPr>
          <w:rFonts w:ascii="仿宋" w:hAnsi="仿宋" w:eastAsia="仿宋"/>
          <w:sz w:val="32"/>
          <w:szCs w:val="32"/>
        </w:rPr>
      </w:pPr>
    </w:p>
    <w:p>
      <w:pPr>
        <w:pStyle w:val="7192c9f7"/>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7192c9f7"/>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泉财农指〔2024〕101号，2024年泉州市级财政现代林业经济专项资金（第二批）：新型林业经营主体40万元</w:t>
      </w:r>
      <w:r>
        <w:rPr>
          <w:rFonts w:hint="eastAsia" w:ascii="仿宋" w:hAnsi="仿宋" w:eastAsia="仿宋"/>
          <w:sz w:val="32"/>
          <w:szCs w:val="32"/>
        </w:rPr>
        <w:t>）</w:t>
      </w:r>
    </w:p>
    <w:p>
      <w:pPr>
        <w:pStyle w:val="7192c9f7"/>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7192c9f7"/>
        <w:ind w:firstLine="643" w:firstLineChars="200"/>
        <w:rPr>
          <w:rFonts w:ascii="仿宋" w:hAnsi="仿宋" w:eastAsia="仿宋"/>
          <w:sz w:val="32"/>
          <w:szCs w:val="32"/>
        </w:rPr>
      </w:pPr>
      <w:r>
        <w:rPr>
          <w:rFonts w:hint="eastAsia" w:ascii="仿宋" w:hAnsi="仿宋" w:eastAsia="仿宋"/>
          <w:b/>
          <w:sz w:val="32"/>
          <w:szCs w:val="32"/>
        </w:rPr>
        <w:t>（一）项目概况</w:t>
      </w:r>
    </w:p>
    <w:p>
      <w:pPr>
        <w:pStyle w:val="7192c9f7"/>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7192c9f7"/>
        <w:ind w:firstLine="643" w:firstLineChars="200"/>
        <w:rPr>
          <w:rFonts w:ascii="仿宋" w:hAnsi="仿宋" w:eastAsia="仿宋"/>
          <w:sz w:val="32"/>
          <w:szCs w:val="32"/>
        </w:rPr>
      </w:pPr>
      <w:r>
        <w:rPr>
          <w:rFonts w:hint="eastAsia" w:ascii="仿宋" w:hAnsi="仿宋" w:eastAsia="仿宋"/>
          <w:b/>
          <w:sz w:val="32"/>
          <w:szCs w:val="32"/>
        </w:rPr>
        <w:t>（二）主要成效</w:t>
      </w:r>
    </w:p>
    <w:p>
      <w:pPr>
        <w:pStyle w:val="7192c9f7"/>
        <w:ind w:firstLine="1472" w:firstLineChars="460"/>
        <w:rPr>
          <w:rFonts w:ascii="仿宋" w:hAnsi="仿宋" w:eastAsia="仿宋"/>
          <w:sz w:val="32"/>
          <w:szCs w:val="32"/>
        </w:rPr>
      </w:pPr>
    </w:p>
    <w:p>
      <w:pPr>
        <w:pStyle w:val="7192c9f7"/>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7192c9f7"/>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80分，等级为良，设置绩效目标6个，实际完成5个，具体情况如下：</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sz w:val="32"/>
        </w:rPr>
        <w:t>1)财政投入资金</w:t>
      </w:r>
      <w:r>
        <w:rPr>
          <w:rFonts w:ascii="仿宋" w:hAnsi="仿宋" w:eastAsia="仿宋" w:cs="仿宋"/>
          <w:sz w:val="32"/>
        </w:rPr>
        <w:t>(万元)，目标值40，完成值0，分值10，得分0</w:t>
      </w:r>
      <w:r>
        <w:rPr>
          <w:rFonts w:hint="eastAsia" w:ascii="仿宋" w:hAnsi="仿宋" w:eastAsia="仿宋"/>
          <w:sz w:val="32"/>
          <w:szCs w:val="32"/>
        </w:rPr>
        <w:t>。</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sz w:val="32"/>
        </w:rPr>
        <w:t>1)新型林业经营主体（家）</w:t>
      </w:r>
      <w:r>
        <w:rPr>
          <w:rFonts w:ascii="仿宋" w:hAnsi="仿宋" w:eastAsia="仿宋" w:cs="仿宋"/>
          <w:sz w:val="32"/>
        </w:rPr>
        <w:t>(家)，目标值8，完成值8，分值10，得分10</w:t>
      </w:r>
      <w:r>
        <w:rPr>
          <w:rFonts w:hint="eastAsia" w:ascii="仿宋" w:hAnsi="仿宋" w:eastAsia="仿宋"/>
          <w:sz w:val="32"/>
          <w:szCs w:val="32"/>
        </w:rPr>
        <w:t>。</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sz w:val="32"/>
        </w:rPr>
        <w:t>1)建设情况（是/否）</w:t>
      </w:r>
      <w:r>
        <w:rPr>
          <w:rFonts w:ascii="仿宋" w:hAnsi="仿宋" w:eastAsia="仿宋" w:cs="仿宋"/>
          <w:sz w:val="32"/>
        </w:rPr>
        <w:t>(无)，目标值是，完成值是，分值10，得分10</w:t>
      </w:r>
      <w:r>
        <w:rPr>
          <w:rFonts w:hint="eastAsia" w:ascii="仿宋" w:hAnsi="仿宋" w:eastAsia="仿宋"/>
          <w:sz w:val="32"/>
          <w:szCs w:val="32"/>
        </w:rPr>
        <w:t>。</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sz w:val="32"/>
        </w:rPr>
        <w:t>1)时间节点</w:t>
      </w:r>
      <w:r>
        <w:rPr>
          <w:rFonts w:ascii="仿宋" w:hAnsi="仿宋" w:eastAsia="仿宋" w:cs="仿宋"/>
          <w:sz w:val="32"/>
        </w:rPr>
        <w:t>(无)，目标值按上级要求，完成值完成，分值20，得分20</w:t>
      </w:r>
      <w:r>
        <w:rPr>
          <w:rFonts w:hint="eastAsia" w:ascii="仿宋" w:hAnsi="仿宋" w:eastAsia="仿宋"/>
          <w:sz w:val="32"/>
          <w:szCs w:val="32"/>
        </w:rPr>
        <w:t>。</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sz w:val="32"/>
        </w:rPr>
        <w:t>1)带动企业增收</w:t>
      </w:r>
      <w:r>
        <w:rPr>
          <w:rFonts w:ascii="仿宋" w:hAnsi="仿宋" w:eastAsia="仿宋" w:cs="仿宋"/>
          <w:sz w:val="32"/>
        </w:rPr>
        <w:t>(万元)，目标值50，完成值50，分值30，得分30</w:t>
      </w:r>
      <w:r>
        <w:rPr>
          <w:rFonts w:hint="eastAsia" w:ascii="仿宋" w:hAnsi="仿宋" w:eastAsia="仿宋"/>
          <w:sz w:val="32"/>
          <w:szCs w:val="32"/>
        </w:rPr>
        <w:t>。</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7192c9f7"/>
        <w:spacing w:line="620" w:lineRule="exact"/>
        <w:ind w:left="420" w:leftChars="200"/>
        <w:rPr>
          <w:rFonts w:ascii="仿宋" w:hAnsi="仿宋" w:eastAsia="仿宋"/>
          <w:sz w:val="32"/>
          <w:szCs w:val="32"/>
        </w:rPr>
      </w:pPr>
      <w:r>
        <w:rPr>
          <w:rFonts w:ascii="仿宋_GB2312" w:hAnsi="仿宋_GB2312" w:eastAsia="仿宋_GB2312" w:cs="仿宋_GB2312"/>
          <w:sz w:val="32"/>
        </w:rPr>
        <w:t>1)</w:t>
      </w:r>
      <w:r>
        <w:rPr>
          <w:rFonts w:ascii="仿宋_GB2312" w:hAnsi="仿宋_GB2312" w:eastAsia="仿宋_GB2312" w:cs="仿宋_GB2312"/>
          <w:sz w:val="32"/>
        </w:rPr>
        <w:tab/>
      </w:r>
      <w:r>
        <w:rPr>
          <w:rFonts w:ascii="仿宋_GB2312" w:hAnsi="仿宋_GB2312" w:eastAsia="仿宋_GB2312" w:cs="仿宋_GB2312"/>
          <w:sz w:val="32"/>
        </w:rPr>
        <w:cr/>
      </w:r>
      <w:r>
        <w:rPr>
          <w:rFonts w:ascii="仿宋_GB2312" w:hAnsi="仿宋_GB2312" w:eastAsia="仿宋_GB2312" w:cs="仿宋_GB2312"/>
          <w:sz w:val="32"/>
        </w:rPr>
        <w:t>服务对象满意度</w:t>
      </w:r>
      <w:r>
        <w:rPr>
          <w:rFonts w:ascii="仿宋" w:hAnsi="仿宋" w:eastAsia="仿宋" w:cs="仿宋"/>
          <w:sz w:val="32"/>
        </w:rPr>
        <w:t>(%)，目标值90，完成值90，分值10，得分10</w:t>
      </w:r>
      <w:r>
        <w:rPr>
          <w:rFonts w:hint="eastAsia" w:ascii="仿宋" w:hAnsi="仿宋" w:eastAsia="仿宋"/>
          <w:sz w:val="32"/>
          <w:szCs w:val="32"/>
        </w:rPr>
        <w:t>。</w:t>
      </w:r>
    </w:p>
    <w:p>
      <w:pPr>
        <w:pStyle w:val="7192c9f7"/>
        <w:tabs>
          <w:tab w:val="left" w:pos="2244"/>
        </w:tabs>
        <w:spacing w:line="620" w:lineRule="exact"/>
        <w:ind w:left="1890" w:leftChars="900"/>
        <w:rPr>
          <w:rFonts w:ascii="仿宋" w:hAnsi="仿宋" w:eastAsia="仿宋"/>
          <w:b/>
          <w:color w:val="FF0000"/>
          <w:sz w:val="32"/>
          <w:szCs w:val="32"/>
        </w:rPr>
      </w:pPr>
    </w:p>
    <w:p>
      <w:pPr>
        <w:pStyle w:val="7192c9f7"/>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7192c9f7"/>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7192c9f7"/>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新型林业业经营主体普遍存在规模小、组织化程度低、经营管理粗放等问题。</w:t>
      </w:r>
    </w:p>
    <w:p>
      <w:pPr>
        <w:pStyle w:val="7192c9f7"/>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7192c9f7"/>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加强龙头企业辐射带动作用，进一步规范合作社、家庭林场，努力实现集约化、标准化生产。</w:t>
      </w:r>
    </w:p>
    <w:p>
      <w:pPr>
        <w:pStyle w:val="7192c9f7"/>
        <w:ind w:left="840" w:firstLine="420"/>
        <w:sectPr>
          <w:type w:val="continuous"/>
          <w:pgSz w:w="11907" w:h="16840"/>
        </w:sectPr>
      </w:pPr>
    </w:p>
    <w:p>
      <w:pPr>
        <w:pageBreakBefore w:val="true"/>
      </w:pPr>
    </w:p>
    <w:p>
      <w:pPr>
        <w:pStyle w:val="d9ece9ee"/>
        <w:rPr>
          <w:rFonts w:ascii="仿宋" w:hAnsi="仿宋" w:eastAsia="仿宋"/>
          <w:sz w:val="32"/>
          <w:szCs w:val="32"/>
        </w:rPr>
      </w:pPr>
    </w:p>
    <w:p>
      <w:pPr>
        <w:pStyle w:val="d9ece9ee"/>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d9ece9ee"/>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泉财农指〔2024〕102号，2024年泉州市级财政森林资源培育与管护专项资金（第二批）：邻里绿美家园30万元</w:t>
      </w:r>
      <w:r>
        <w:rPr>
          <w:rFonts w:hint="eastAsia" w:ascii="仿宋" w:hAnsi="仿宋" w:eastAsia="仿宋"/>
          <w:sz w:val="32"/>
          <w:szCs w:val="32"/>
        </w:rPr>
        <w:t>）</w:t>
      </w:r>
    </w:p>
    <w:p>
      <w:pPr>
        <w:pStyle w:val="d9ece9ee"/>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d9ece9ee"/>
        <w:ind w:firstLine="643" w:firstLineChars="200"/>
        <w:rPr>
          <w:rFonts w:ascii="仿宋" w:hAnsi="仿宋" w:eastAsia="仿宋"/>
          <w:sz w:val="32"/>
          <w:szCs w:val="32"/>
        </w:rPr>
      </w:pPr>
      <w:r>
        <w:rPr>
          <w:rFonts w:hint="eastAsia" w:ascii="仿宋" w:hAnsi="仿宋" w:eastAsia="仿宋"/>
          <w:b/>
          <w:sz w:val="32"/>
          <w:szCs w:val="32"/>
        </w:rPr>
        <w:t>（一）项目概况</w:t>
      </w:r>
    </w:p>
    <w:p>
      <w:pPr>
        <w:pStyle w:val="d9ece9ee"/>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d9ece9ee"/>
        <w:ind w:firstLine="643" w:firstLineChars="200"/>
        <w:rPr>
          <w:rFonts w:ascii="仿宋" w:hAnsi="仿宋" w:eastAsia="仿宋"/>
          <w:sz w:val="32"/>
          <w:szCs w:val="32"/>
        </w:rPr>
      </w:pPr>
      <w:r>
        <w:rPr>
          <w:rFonts w:hint="eastAsia" w:ascii="仿宋" w:hAnsi="仿宋" w:eastAsia="仿宋"/>
          <w:b/>
          <w:sz w:val="32"/>
          <w:szCs w:val="32"/>
        </w:rPr>
        <w:t>（二）主要成效</w:t>
      </w:r>
    </w:p>
    <w:p>
      <w:pPr>
        <w:pStyle w:val="d9ece9ee"/>
        <w:ind w:firstLine="1472" w:firstLineChars="460"/>
        <w:rPr>
          <w:rFonts w:ascii="仿宋" w:hAnsi="仿宋" w:eastAsia="仿宋"/>
          <w:sz w:val="32"/>
          <w:szCs w:val="32"/>
        </w:rPr>
      </w:pPr>
    </w:p>
    <w:p>
      <w:pPr>
        <w:pStyle w:val="d9ece9ee"/>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d9ece9ee"/>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sz w:val="32"/>
        </w:rPr>
        <w:t>1)邻里绿美家园建设补助标准（万元）</w:t>
      </w:r>
      <w:r>
        <w:rPr>
          <w:rFonts w:ascii="仿宋" w:hAnsi="仿宋" w:eastAsia="仿宋" w:cs="仿宋"/>
          <w:sz w:val="32"/>
        </w:rPr>
        <w:t>(万元)，目标值15，完成值15，分值10，得分10</w:t>
      </w:r>
      <w:r>
        <w:rPr>
          <w:rFonts w:hint="eastAsia" w:ascii="仿宋" w:hAnsi="仿宋" w:eastAsia="仿宋"/>
          <w:sz w:val="32"/>
          <w:szCs w:val="32"/>
        </w:rPr>
        <w:t>。</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sz w:val="32"/>
        </w:rPr>
        <w:t>1)森林提质增效</w:t>
      </w:r>
      <w:r>
        <w:rPr>
          <w:rFonts w:ascii="仿宋" w:hAnsi="仿宋" w:eastAsia="仿宋" w:cs="仿宋"/>
          <w:sz w:val="32"/>
        </w:rPr>
        <w:t>(亩)，目标值120，完成值120，分值20，得分20</w:t>
      </w:r>
      <w:r>
        <w:rPr>
          <w:rFonts w:hint="eastAsia" w:ascii="仿宋" w:hAnsi="仿宋" w:eastAsia="仿宋"/>
          <w:sz w:val="32"/>
          <w:szCs w:val="32"/>
        </w:rPr>
        <w:t>。</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sz w:val="32"/>
        </w:rPr>
        <w:t>1)建设合格率</w:t>
      </w:r>
      <w:r>
        <w:rPr>
          <w:rFonts w:ascii="仿宋" w:hAnsi="仿宋" w:eastAsia="仿宋" w:cs="仿宋"/>
          <w:sz w:val="32"/>
        </w:rPr>
        <w:t>(%)，目标值100，完成值100，分值10，得分10</w:t>
      </w:r>
      <w:r>
        <w:rPr>
          <w:rFonts w:hint="eastAsia" w:ascii="仿宋" w:hAnsi="仿宋" w:eastAsia="仿宋"/>
          <w:sz w:val="32"/>
          <w:szCs w:val="32"/>
        </w:rPr>
        <w:t>。</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sz w:val="32"/>
        </w:rPr>
        <w:t>1)项目情况</w:t>
      </w:r>
      <w:r>
        <w:rPr>
          <w:rFonts w:ascii="仿宋" w:hAnsi="仿宋" w:eastAsia="仿宋" w:cs="仿宋"/>
          <w:sz w:val="32"/>
        </w:rPr>
        <w:t>(个)，目标值2，完成值2，分值10，得分10</w:t>
      </w:r>
      <w:r>
        <w:rPr>
          <w:rFonts w:hint="eastAsia" w:ascii="仿宋" w:hAnsi="仿宋" w:eastAsia="仿宋"/>
          <w:sz w:val="32"/>
          <w:szCs w:val="32"/>
        </w:rPr>
        <w:t>。</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sz w:val="32"/>
        </w:rPr>
        <w:t>1)可持续发展</w:t>
      </w:r>
      <w:r>
        <w:rPr>
          <w:rFonts w:ascii="仿宋" w:hAnsi="仿宋" w:eastAsia="仿宋" w:cs="仿宋"/>
          <w:sz w:val="32"/>
        </w:rPr>
        <w:t>(无)，目标值可持续，完成值可持续，分值30，得分30</w:t>
      </w:r>
      <w:r>
        <w:rPr>
          <w:rFonts w:hint="eastAsia" w:ascii="仿宋" w:hAnsi="仿宋" w:eastAsia="仿宋"/>
          <w:sz w:val="32"/>
          <w:szCs w:val="32"/>
        </w:rPr>
        <w:t>。</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d9ece9ee"/>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(%)，目标值90，完成值90，分值10，得分10</w:t>
      </w:r>
      <w:r>
        <w:rPr>
          <w:rFonts w:hint="eastAsia" w:ascii="仿宋" w:hAnsi="仿宋" w:eastAsia="仿宋"/>
          <w:sz w:val="32"/>
          <w:szCs w:val="32"/>
        </w:rPr>
        <w:t>。</w:t>
      </w:r>
    </w:p>
    <w:p>
      <w:pPr>
        <w:pStyle w:val="d9ece9ee"/>
        <w:tabs>
          <w:tab w:val="left" w:pos="2244"/>
        </w:tabs>
        <w:spacing w:line="620" w:lineRule="exact"/>
        <w:ind w:left="1890" w:leftChars="900"/>
        <w:rPr>
          <w:rFonts w:ascii="仿宋" w:hAnsi="仿宋" w:eastAsia="仿宋"/>
          <w:b/>
          <w:color w:val="FF0000"/>
          <w:sz w:val="32"/>
          <w:szCs w:val="32"/>
        </w:rPr>
      </w:pPr>
    </w:p>
    <w:p>
      <w:pPr>
        <w:pStyle w:val="d9ece9ee"/>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d9ece9ee"/>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d9ece9ee"/>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d9ece9ee"/>
        <w:ind w:left="840" w:firstLine="420"/>
        <w:sectPr>
          <w:type w:val="continuous"/>
          <w:pgSz w:w="11907" w:h="16840"/>
        </w:sectPr>
      </w:pPr>
    </w:p>
    <w:p>
      <w:pPr>
        <w:pageBreakBefore w:val="true"/>
      </w:pPr>
    </w:p>
    <w:p>
      <w:pPr>
        <w:pStyle w:val="bbaeac8a"/>
        <w:rPr>
          <w:rFonts w:ascii="仿宋" w:hAnsi="仿宋" w:eastAsia="仿宋"/>
          <w:sz w:val="32"/>
          <w:szCs w:val="32"/>
        </w:rPr>
      </w:pPr>
      <w:bookmarkStart w:id="0" w:name="_GoBack"/>
      <w:bookmarkEnd w:id="0"/>
    </w:p>
    <w:p>
      <w:pPr>
        <w:pStyle w:val="bbaeac8a"/>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r>
        <w:rPr>
          <w:rFonts w:ascii="宋体" w:hAnsi="宋体" w:eastAsia="宋体" w:cs="宋体"/>
          <w:b/>
          <w:sz w:val="44"/>
        </w:rPr>
        <w:t>报告</w:t>
      </w:r>
    </w:p>
    <w:p>
      <w:pPr>
        <w:pStyle w:val="bbaeac8a"/>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南安市产业生态走廊（茂盛路）裸露山体整治工程 南财指标〔2023〕365号</w:t>
      </w:r>
      <w:r>
        <w:rPr>
          <w:rFonts w:hint="eastAsia" w:ascii="仿宋" w:hAnsi="仿宋" w:eastAsia="仿宋"/>
          <w:sz w:val="32"/>
          <w:szCs w:val="32"/>
        </w:rPr>
        <w:t>）</w:t>
      </w:r>
    </w:p>
    <w:p>
      <w:pPr>
        <w:pStyle w:val="bbaeac8a"/>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bbaeac8a"/>
        <w:ind w:firstLine="643" w:firstLineChars="200"/>
        <w:rPr>
          <w:rFonts w:ascii="仿宋" w:hAnsi="仿宋" w:eastAsia="仿宋"/>
          <w:sz w:val="32"/>
          <w:szCs w:val="32"/>
        </w:rPr>
      </w:pPr>
      <w:r>
        <w:rPr>
          <w:rFonts w:hint="eastAsia" w:ascii="仿宋" w:hAnsi="仿宋" w:eastAsia="仿宋"/>
          <w:b/>
          <w:sz w:val="32"/>
          <w:szCs w:val="32"/>
        </w:rPr>
        <w:t>（一）项目概况</w:t>
      </w:r>
    </w:p>
    <w:p>
      <w:pPr>
        <w:pStyle w:val="bbaeac8a"/>
        <w:ind w:firstLine="1472" w:firstLineChars="460"/>
        <w:rPr>
          <w:rFonts w:ascii="仿宋" w:hAnsi="仿宋" w:eastAsia="仿宋"/>
          <w:sz w:val="32"/>
          <w:szCs w:val="32"/>
        </w:rPr>
      </w:pPr>
      <w:r>
        <w:rPr>
          <w:rFonts w:hint="eastAsia" w:ascii="仿宋" w:hAnsi="仿宋" w:eastAsia="仿宋"/>
          <w:sz w:val="32"/>
          <w:szCs w:val="32"/>
        </w:rPr>
        <w:t>开展茂盛路裸露山体整治</w:t>
      </w:r>
      <w:r>
        <w:rPr>
          <w:rFonts w:ascii="仿宋" w:hAnsi="仿宋" w:eastAsia="仿宋" w:cs="仿宋"/>
          <w:sz w:val="32"/>
        </w:rPr>
        <w:t xml:space="preserve"> </w:t>
      </w:r>
    </w:p>
    <w:p>
      <w:pPr>
        <w:pStyle w:val="bbaeac8a"/>
        <w:ind w:firstLine="643" w:firstLineChars="200"/>
        <w:rPr>
          <w:rFonts w:ascii="仿宋" w:hAnsi="仿宋" w:eastAsia="仿宋"/>
          <w:sz w:val="32"/>
          <w:szCs w:val="32"/>
        </w:rPr>
      </w:pPr>
      <w:r>
        <w:rPr>
          <w:rFonts w:hint="eastAsia" w:ascii="仿宋" w:hAnsi="仿宋" w:eastAsia="仿宋"/>
          <w:b/>
          <w:sz w:val="32"/>
          <w:szCs w:val="32"/>
        </w:rPr>
        <w:t>（二）主要成效</w:t>
      </w:r>
    </w:p>
    <w:p>
      <w:pPr>
        <w:pStyle w:val="bbaeac8a"/>
        <w:ind w:firstLine="1472" w:firstLineChars="460"/>
        <w:rPr>
          <w:rFonts w:ascii="仿宋" w:hAnsi="仿宋" w:eastAsia="仿宋"/>
          <w:sz w:val="32"/>
          <w:szCs w:val="32"/>
        </w:rPr>
      </w:pPr>
    </w:p>
    <w:p>
      <w:pPr>
        <w:pStyle w:val="bbaeac8a"/>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bbaeac8a"/>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90分，等级为优，设置绩效目标8个，实际完成8个，具体情况如下：</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sz w:val="32"/>
        </w:rPr>
        <w:t>1)项目成本控制</w:t>
      </w:r>
      <w:r>
        <w:rPr>
          <w:rFonts w:ascii="仿宋" w:hAnsi="仿宋" w:eastAsia="仿宋" w:cs="仿宋"/>
          <w:sz w:val="32"/>
        </w:rPr>
        <w:t>(万)，目标值358，完成值358，分值5，得分5</w:t>
      </w:r>
      <w:r>
        <w:rPr>
          <w:rFonts w:hint="eastAsia" w:ascii="仿宋" w:hAnsi="仿宋" w:eastAsia="仿宋"/>
          <w:sz w:val="32"/>
          <w:szCs w:val="32"/>
        </w:rPr>
        <w:t>。</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sz w:val="32"/>
        </w:rPr>
        <w:t>1)边坡整治情况</w:t>
      </w:r>
      <w:r>
        <w:rPr>
          <w:rFonts w:ascii="仿宋" w:hAnsi="仿宋" w:eastAsia="仿宋" w:cs="仿宋"/>
          <w:sz w:val="32"/>
        </w:rPr>
        <w:t>(无)，目标值明显，完成值明显，分值5，得分5</w:t>
      </w:r>
      <w:r>
        <w:rPr>
          <w:rFonts w:hint="eastAsia" w:ascii="仿宋" w:hAnsi="仿宋" w:eastAsia="仿宋"/>
          <w:sz w:val="32"/>
          <w:szCs w:val="32"/>
        </w:rPr>
        <w:t>。</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sz w:val="32"/>
        </w:rPr>
        <w:t>1)完成边坡整治数</w:t>
      </w:r>
      <w:r>
        <w:rPr>
          <w:rFonts w:ascii="仿宋" w:hAnsi="仿宋" w:eastAsia="仿宋" w:cs="仿宋"/>
          <w:sz w:val="32"/>
        </w:rPr>
        <w:t>(个)，目标值5，完成值5，分值20，得分20</w:t>
      </w:r>
      <w:r>
        <w:rPr>
          <w:rFonts w:hint="eastAsia" w:ascii="仿宋" w:hAnsi="仿宋" w:eastAsia="仿宋"/>
          <w:sz w:val="32"/>
          <w:szCs w:val="32"/>
        </w:rPr>
        <w:t>。</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sz w:val="32"/>
        </w:rPr>
        <w:t>1)项目验收合格情况</w:t>
      </w:r>
      <w:r>
        <w:rPr>
          <w:rFonts w:ascii="仿宋" w:hAnsi="仿宋" w:eastAsia="仿宋" w:cs="仿宋"/>
          <w:sz w:val="32"/>
        </w:rPr>
        <w:t>(无)，目标值合格，完成值合格，分值10，得分10</w:t>
      </w:r>
      <w:r>
        <w:rPr>
          <w:rFonts w:hint="eastAsia" w:ascii="仿宋" w:hAnsi="仿宋" w:eastAsia="仿宋"/>
          <w:sz w:val="32"/>
          <w:szCs w:val="32"/>
        </w:rPr>
        <w:t>。</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sz w:val="32"/>
        </w:rPr>
        <w:t>1)整治完成时效</w:t>
      </w:r>
      <w:r>
        <w:rPr>
          <w:rFonts w:ascii="仿宋" w:hAnsi="仿宋" w:eastAsia="仿宋" w:cs="仿宋"/>
          <w:sz w:val="32"/>
        </w:rPr>
        <w:t>(个月)，目标值8，完成值8，分值10，得分10</w:t>
      </w:r>
      <w:r>
        <w:rPr>
          <w:rFonts w:hint="eastAsia" w:ascii="仿宋" w:hAnsi="仿宋" w:eastAsia="仿宋"/>
          <w:sz w:val="32"/>
          <w:szCs w:val="32"/>
        </w:rPr>
        <w:t>。</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sz w:val="32"/>
        </w:rPr>
        <w:t>1)受益乡镇个数</w:t>
      </w:r>
      <w:r>
        <w:rPr>
          <w:rFonts w:ascii="仿宋" w:hAnsi="仿宋" w:eastAsia="仿宋" w:cs="仿宋"/>
          <w:sz w:val="32"/>
        </w:rPr>
        <w:t>(个)，目标值1，完成值1，分值20，得分20</w:t>
      </w:r>
      <w:r>
        <w:rPr>
          <w:rFonts w:hint="eastAsia" w:ascii="仿宋" w:hAnsi="仿宋" w:eastAsia="仿宋"/>
          <w:sz w:val="32"/>
          <w:szCs w:val="32"/>
        </w:rPr>
        <w:t>。</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sz w:val="32"/>
        </w:rPr>
        <w:t>1)"生态环境可持续发展</w:t>
      </w:r>
      <w:r>
        <w:rPr>
          <w:rFonts w:ascii="仿宋_GB2312" w:hAnsi="仿宋_GB2312" w:eastAsia="仿宋_GB2312" w:cs="仿宋_GB2312"/>
          <w:sz w:val="32"/>
        </w:rPr>
        <w:cr/>
      </w:r>
      <w:r>
        <w:rPr>
          <w:rFonts w:ascii="仿宋_GB2312" w:hAnsi="仿宋_GB2312" w:eastAsia="仿宋_GB2312" w:cs="仿宋_GB2312"/>
          <w:sz w:val="32"/>
        </w:rPr>
        <w:t>"</w:t>
      </w:r>
      <w:r>
        <w:rPr>
          <w:rFonts w:ascii="仿宋_GB2312" w:hAnsi="仿宋_GB2312" w:eastAsia="仿宋_GB2312" w:cs="仿宋_GB2312"/>
          <w:sz w:val="32"/>
        </w:rPr>
        <w:cr/>
      </w:r>
      <w:r>
        <w:rPr>
          <w:rFonts w:ascii="仿宋" w:hAnsi="仿宋" w:eastAsia="仿宋" w:cs="仿宋"/>
          <w:sz w:val="32"/>
        </w:rPr>
        <w:t>(无)，目标值明显，完成值明显，分值10，得分10</w:t>
      </w:r>
      <w:r>
        <w:rPr>
          <w:rFonts w:hint="eastAsia" w:ascii="仿宋" w:hAnsi="仿宋" w:eastAsia="仿宋"/>
          <w:sz w:val="32"/>
          <w:szCs w:val="32"/>
        </w:rPr>
        <w:t>。</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bbaeac8a"/>
        <w:spacing w:line="620" w:lineRule="exact"/>
        <w:ind w:left="420" w:leftChars="200"/>
        <w:rPr>
          <w:rFonts w:ascii="仿宋" w:hAnsi="仿宋" w:eastAsia="仿宋"/>
          <w:sz w:val="32"/>
          <w:szCs w:val="32"/>
        </w:rPr>
      </w:pPr>
      <w:r>
        <w:rPr>
          <w:rFonts w:ascii="仿宋_GB2312" w:hAnsi="仿宋_GB2312" w:eastAsia="仿宋_GB2312" w:cs="仿宋_GB2312"/>
          <w:sz w:val="32"/>
        </w:rPr>
        <w:t>1)社会群众对造林绿化满意度</w:t>
      </w:r>
      <w:r>
        <w:rPr>
          <w:rFonts w:ascii="仿宋_GB2312" w:hAnsi="仿宋_GB2312" w:eastAsia="仿宋_GB2312" w:cs="仿宋_GB2312"/>
          <w:sz w:val="32"/>
        </w:rPr>
        <w:cr/>
      </w:r>
      <w:r>
        <w:rPr>
          <w:rFonts w:ascii="仿宋" w:hAnsi="仿宋" w:eastAsia="仿宋" w:cs="仿宋"/>
          <w:sz w:val="32"/>
        </w:rPr>
        <w:t>(%)，目标值90，完成值90，分值10，得分10</w:t>
      </w:r>
      <w:r>
        <w:rPr>
          <w:rFonts w:hint="eastAsia" w:ascii="仿宋" w:hAnsi="仿宋" w:eastAsia="仿宋"/>
          <w:sz w:val="32"/>
          <w:szCs w:val="32"/>
        </w:rPr>
        <w:t>。</w:t>
      </w:r>
    </w:p>
    <w:p>
      <w:pPr>
        <w:pStyle w:val="bbaeac8a"/>
        <w:tabs>
          <w:tab w:val="left" w:pos="2244"/>
        </w:tabs>
        <w:spacing w:line="620" w:lineRule="exact"/>
        <w:ind w:left="1890" w:leftChars="900"/>
        <w:rPr>
          <w:rFonts w:ascii="仿宋" w:hAnsi="仿宋" w:eastAsia="仿宋"/>
          <w:b/>
          <w:color w:val="FF0000"/>
          <w:sz w:val="32"/>
          <w:szCs w:val="32"/>
        </w:rPr>
      </w:pPr>
    </w:p>
    <w:p>
      <w:pPr>
        <w:pStyle w:val="bbaeac8a"/>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bbaeac8a"/>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bbaeac8a"/>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bbaeac8a"/>
        <w:ind w:left="840" w:firstLine="420"/>
        <w:sectPr>
          <w:type w:val="continuous"/>
          <w:pgSz w:w="11907" w:h="16840"/>
        </w:sectPr>
      </w:pPr>
    </w:p>
    <w:p>
      <w:pPr>
        <w:pageBreakBefore w:val="true"/>
      </w:pPr>
    </w:p>
    <w:p>
      <w:pPr>
        <w:pStyle w:val="22a2632b"/>
        <w:rPr>
          <w:rFonts w:ascii="仿宋" w:hAnsi="仿宋" w:eastAsia="仿宋"/>
          <w:sz w:val="32"/>
          <w:szCs w:val="32"/>
        </w:rPr>
      </w:pPr>
    </w:p>
    <w:p>
      <w:pPr>
        <w:pStyle w:val="22a2632b"/>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bookmarkStart w:id="0" w:name="_GoBack"/>
      <w:r>
        <w:rPr>
          <w:rFonts w:hint="eastAsia" w:ascii="宋体" w:hAnsi="宋体" w:cs="宋体"/>
          <w:b/>
          <w:sz w:val="44"/>
          <w:lang w:eastAsia="zh-CN"/>
        </w:rPr>
        <w:t>评价</w:t>
      </w:r>
      <w:bookmarkEnd w:id="0"/>
      <w:r>
        <w:rPr>
          <w:rFonts w:ascii="宋体" w:hAnsi="宋体" w:eastAsia="宋体" w:cs="宋体"/>
          <w:b/>
          <w:sz w:val="44"/>
        </w:rPr>
        <w:t>报告</w:t>
      </w:r>
    </w:p>
    <w:p>
      <w:pPr>
        <w:pStyle w:val="22a2632b"/>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泉财农指〔2025〕56号，2025年中央财政林业草原专项资金（市县部分第二批）：林业草原支撑保障体系支出（林业有害生物防治补助25.89万元）</w:t>
      </w:r>
      <w:r>
        <w:rPr>
          <w:rFonts w:hint="eastAsia" w:ascii="仿宋" w:hAnsi="仿宋" w:eastAsia="仿宋"/>
          <w:sz w:val="32"/>
          <w:szCs w:val="32"/>
        </w:rPr>
        <w:t>）</w:t>
      </w:r>
    </w:p>
    <w:p>
      <w:pPr>
        <w:pStyle w:val="22a2632b"/>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22a2632b"/>
        <w:ind w:firstLine="643" w:firstLineChars="200"/>
        <w:rPr>
          <w:rFonts w:ascii="仿宋" w:hAnsi="仿宋" w:eastAsia="仿宋"/>
          <w:sz w:val="32"/>
          <w:szCs w:val="32"/>
        </w:rPr>
      </w:pPr>
      <w:r>
        <w:rPr>
          <w:rFonts w:hint="eastAsia" w:ascii="仿宋" w:hAnsi="仿宋" w:eastAsia="仿宋"/>
          <w:b/>
          <w:sz w:val="32"/>
          <w:szCs w:val="32"/>
        </w:rPr>
        <w:t>（一）项目概况</w:t>
      </w:r>
    </w:p>
    <w:p>
      <w:pPr>
        <w:pStyle w:val="22a2632b"/>
        <w:ind w:firstLine="1472" w:firstLineChars="460"/>
        <w:rPr>
          <w:rFonts w:ascii="仿宋" w:hAnsi="仿宋" w:eastAsia="仿宋"/>
          <w:sz w:val="32"/>
          <w:szCs w:val="32"/>
        </w:rPr>
      </w:pPr>
      <w:r>
        <w:rPr>
          <w:rFonts w:hint="eastAsia" w:ascii="仿宋" w:hAnsi="仿宋" w:eastAsia="仿宋"/>
          <w:sz w:val="32"/>
          <w:szCs w:val="32"/>
        </w:rPr>
        <w:t>利用上级补助资金，开展以松材线虫病防治为主的林业有害生物防控工作</w:t>
      </w:r>
      <w:r>
        <w:rPr>
          <w:rFonts w:ascii="仿宋" w:hAnsi="仿宋" w:eastAsia="仿宋" w:cs="仿宋"/>
          <w:sz w:val="32"/>
        </w:rPr>
        <w:t xml:space="preserve"> </w:t>
      </w:r>
    </w:p>
    <w:p>
      <w:pPr>
        <w:pStyle w:val="22a2632b"/>
        <w:ind w:firstLine="643" w:firstLineChars="200"/>
        <w:rPr>
          <w:rFonts w:ascii="仿宋" w:hAnsi="仿宋" w:eastAsia="仿宋"/>
          <w:sz w:val="32"/>
          <w:szCs w:val="32"/>
        </w:rPr>
      </w:pPr>
      <w:r>
        <w:rPr>
          <w:rFonts w:hint="eastAsia" w:ascii="仿宋" w:hAnsi="仿宋" w:eastAsia="仿宋"/>
          <w:b/>
          <w:sz w:val="32"/>
          <w:szCs w:val="32"/>
        </w:rPr>
        <w:t>（二）主要成效</w:t>
      </w:r>
    </w:p>
    <w:p>
      <w:pPr>
        <w:pStyle w:val="22a2632b"/>
        <w:ind w:firstLine="1472" w:firstLineChars="460"/>
        <w:rPr>
          <w:rFonts w:ascii="仿宋" w:hAnsi="仿宋" w:eastAsia="仿宋"/>
          <w:sz w:val="32"/>
          <w:szCs w:val="32"/>
        </w:rPr>
      </w:pPr>
    </w:p>
    <w:p>
      <w:pPr>
        <w:pStyle w:val="22a2632b"/>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22a2632b"/>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80分，等级为良，设置绩效目标8个，实际完成7个，具体情况如下：</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sz w:val="32"/>
        </w:rPr>
        <w:t>1)补助资金</w:t>
      </w:r>
      <w:r>
        <w:rPr>
          <w:rFonts w:ascii="仿宋" w:hAnsi="仿宋" w:eastAsia="仿宋" w:cs="仿宋"/>
          <w:sz w:val="32"/>
        </w:rPr>
        <w:t>(万元)，目标值25.89，完成值25.89，分值5，得分5</w:t>
      </w:r>
      <w:r>
        <w:rPr>
          <w:rFonts w:hint="eastAsia" w:ascii="仿宋" w:hAnsi="仿宋" w:eastAsia="仿宋"/>
          <w:sz w:val="32"/>
          <w:szCs w:val="32"/>
        </w:rPr>
        <w:t>。</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sz w:val="32"/>
        </w:rPr>
        <w:t>1)促进社会经济发展</w:t>
      </w:r>
      <w:r>
        <w:rPr>
          <w:rFonts w:ascii="仿宋" w:hAnsi="仿宋" w:eastAsia="仿宋" w:cs="仿宋"/>
          <w:sz w:val="32"/>
        </w:rPr>
        <w:t>(无)，目标值有效促进，完成值有效促进，分值5，得分5</w:t>
      </w:r>
      <w:r>
        <w:rPr>
          <w:rFonts w:hint="eastAsia" w:ascii="仿宋" w:hAnsi="仿宋" w:eastAsia="仿宋"/>
          <w:sz w:val="32"/>
          <w:szCs w:val="32"/>
        </w:rPr>
        <w:t>。</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sz w:val="32"/>
        </w:rPr>
        <w:t>1)防治面积</w:t>
      </w:r>
      <w:r>
        <w:rPr>
          <w:rFonts w:ascii="仿宋" w:hAnsi="仿宋" w:eastAsia="仿宋" w:cs="仿宋"/>
          <w:sz w:val="32"/>
        </w:rPr>
        <w:t>(亩)，目标值5072，完成值5072，分值20，得分20</w:t>
      </w:r>
      <w:r>
        <w:rPr>
          <w:rFonts w:hint="eastAsia" w:ascii="仿宋" w:hAnsi="仿宋" w:eastAsia="仿宋"/>
          <w:sz w:val="32"/>
          <w:szCs w:val="32"/>
        </w:rPr>
        <w:t>。</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sz w:val="32"/>
        </w:rPr>
        <w:t>1)任务完成情况</w:t>
      </w:r>
      <w:r>
        <w:rPr>
          <w:rFonts w:ascii="仿宋" w:hAnsi="仿宋" w:eastAsia="仿宋" w:cs="仿宋"/>
          <w:sz w:val="32"/>
        </w:rPr>
        <w:t>(无)，目标值全面完成，完成值全面完成，分值10，得分10</w:t>
      </w:r>
      <w:r>
        <w:rPr>
          <w:rFonts w:hint="eastAsia" w:ascii="仿宋" w:hAnsi="仿宋" w:eastAsia="仿宋"/>
          <w:sz w:val="32"/>
          <w:szCs w:val="32"/>
        </w:rPr>
        <w:t>。</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sz w:val="32"/>
        </w:rPr>
        <w:t>1)预算执行进度</w:t>
      </w:r>
      <w:r>
        <w:rPr>
          <w:rFonts w:ascii="仿宋" w:hAnsi="仿宋" w:eastAsia="仿宋" w:cs="仿宋"/>
          <w:sz w:val="32"/>
        </w:rPr>
        <w:t>(%)，目标值100，完成值0，分值10，得分0</w:t>
      </w:r>
      <w:r>
        <w:rPr>
          <w:rFonts w:hint="eastAsia" w:ascii="仿宋" w:hAnsi="仿宋" w:eastAsia="仿宋"/>
          <w:sz w:val="32"/>
          <w:szCs w:val="32"/>
        </w:rPr>
        <w:t>。</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sz w:val="32"/>
        </w:rPr>
        <w:t>1)综合防范能力提升</w:t>
      </w:r>
      <w:r>
        <w:rPr>
          <w:rFonts w:ascii="仿宋" w:hAnsi="仿宋" w:eastAsia="仿宋" w:cs="仿宋"/>
          <w:sz w:val="32"/>
        </w:rPr>
        <w:t>(无)，目标值有效促进，完成值有效促进，分值20，得分20</w:t>
      </w:r>
      <w:r>
        <w:rPr>
          <w:rFonts w:hint="eastAsia" w:ascii="仿宋" w:hAnsi="仿宋" w:eastAsia="仿宋"/>
          <w:sz w:val="32"/>
          <w:szCs w:val="32"/>
        </w:rPr>
        <w:t>。</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sz w:val="32"/>
        </w:rPr>
        <w:t>1)可持续发展</w:t>
      </w:r>
      <w:r>
        <w:rPr>
          <w:rFonts w:ascii="仿宋" w:hAnsi="仿宋" w:eastAsia="仿宋" w:cs="仿宋"/>
          <w:sz w:val="32"/>
        </w:rPr>
        <w:t>(无)，目标值发展良好，完成值发展良好，分值10，得分10</w:t>
      </w:r>
      <w:r>
        <w:rPr>
          <w:rFonts w:hint="eastAsia" w:ascii="仿宋" w:hAnsi="仿宋" w:eastAsia="仿宋"/>
          <w:sz w:val="32"/>
          <w:szCs w:val="32"/>
        </w:rPr>
        <w:t>。</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22a2632b"/>
        <w:spacing w:line="620" w:lineRule="exact"/>
        <w:ind w:left="420" w:leftChars="200"/>
        <w:rPr>
          <w:rFonts w:ascii="仿宋" w:hAnsi="仿宋" w:eastAsia="仿宋"/>
          <w:sz w:val="32"/>
          <w:szCs w:val="32"/>
        </w:rPr>
      </w:pPr>
      <w:r>
        <w:rPr>
          <w:rFonts w:ascii="仿宋_GB2312" w:hAnsi="仿宋_GB2312" w:eastAsia="仿宋_GB2312" w:cs="仿宋_GB2312"/>
          <w:sz w:val="32"/>
        </w:rPr>
        <w:t>1)社会公众对湿地保护工作满意度</w:t>
      </w:r>
      <w:r>
        <w:rPr>
          <w:rFonts w:ascii="仿宋" w:hAnsi="仿宋" w:eastAsia="仿宋" w:cs="仿宋"/>
          <w:sz w:val="32"/>
        </w:rPr>
        <w:t>(%)，目标值90，完成值90，分值10，得分10</w:t>
      </w:r>
      <w:r>
        <w:rPr>
          <w:rFonts w:hint="eastAsia" w:ascii="仿宋" w:hAnsi="仿宋" w:eastAsia="仿宋"/>
          <w:sz w:val="32"/>
          <w:szCs w:val="32"/>
        </w:rPr>
        <w:t>。</w:t>
      </w:r>
    </w:p>
    <w:p>
      <w:pPr>
        <w:pStyle w:val="22a2632b"/>
        <w:tabs>
          <w:tab w:val="left" w:pos="2244"/>
        </w:tabs>
        <w:spacing w:line="620" w:lineRule="exact"/>
        <w:ind w:left="1890" w:leftChars="900"/>
        <w:rPr>
          <w:rFonts w:ascii="仿宋" w:hAnsi="仿宋" w:eastAsia="仿宋"/>
          <w:b/>
          <w:color w:val="FF0000"/>
          <w:sz w:val="32"/>
          <w:szCs w:val="32"/>
        </w:rPr>
      </w:pPr>
    </w:p>
    <w:p>
      <w:pPr>
        <w:pStyle w:val="22a2632b"/>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22a2632b"/>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22a2632b"/>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我市林业有害生物防控工作任务重，需要投入的资金较多，目前缺口较大，各级政府配套仍显不足。</w:t>
      </w:r>
    </w:p>
    <w:p>
      <w:pPr>
        <w:pStyle w:val="22a2632b"/>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22a2632b"/>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我市林业有害生物防控工作任务重，需要投入的资金较多，目前缺口较大，各级政府配套仍显不足，要进一步细化长效管理机制。</w:t>
      </w:r>
    </w:p>
    <w:p>
      <w:pPr>
        <w:pStyle w:val="22a2632b"/>
        <w:ind w:left="840" w:firstLine="420"/>
        <w:sectPr>
          <w:type w:val="continuous"/>
          <w:pgSz w:w="11907" w:h="16840"/>
        </w:sectPr>
      </w:pPr>
    </w:p>
    <w:p>
      <w:pPr>
        <w:pageBreakBefore w:val="true"/>
      </w:pPr>
    </w:p>
    <w:p>
      <w:pPr>
        <w:pStyle w:val="3417e2b1"/>
        <w:rPr>
          <w:rFonts w:ascii="仿宋" w:hAnsi="仿宋" w:eastAsia="仿宋"/>
          <w:sz w:val="32"/>
          <w:szCs w:val="32"/>
        </w:rPr>
      </w:pPr>
    </w:p>
    <w:p>
      <w:pPr>
        <w:pStyle w:val="3417e2b1"/>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3417e2b1"/>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泉财农指〔2024〕102号，2024年泉州市级财政森林资源培育与管护专项资金（第二批）：造林绿化——森林提质增效示范工程6万元</w:t>
      </w:r>
      <w:r>
        <w:rPr>
          <w:rFonts w:hint="eastAsia" w:ascii="仿宋" w:hAnsi="仿宋" w:eastAsia="仿宋"/>
          <w:sz w:val="32"/>
          <w:szCs w:val="32"/>
        </w:rPr>
        <w:t>）</w:t>
      </w:r>
    </w:p>
    <w:p>
      <w:pPr>
        <w:pStyle w:val="3417e2b1"/>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3417e2b1"/>
        <w:ind w:firstLine="643" w:firstLineChars="200"/>
        <w:rPr>
          <w:rFonts w:ascii="仿宋" w:hAnsi="仿宋" w:eastAsia="仿宋"/>
          <w:sz w:val="32"/>
          <w:szCs w:val="32"/>
        </w:rPr>
      </w:pPr>
      <w:r>
        <w:rPr>
          <w:rFonts w:hint="eastAsia" w:ascii="仿宋" w:hAnsi="仿宋" w:eastAsia="仿宋"/>
          <w:b/>
          <w:sz w:val="32"/>
          <w:szCs w:val="32"/>
        </w:rPr>
        <w:t>（一）项目概况</w:t>
      </w:r>
    </w:p>
    <w:p>
      <w:pPr>
        <w:pStyle w:val="3417e2b1"/>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3417e2b1"/>
        <w:ind w:firstLine="643" w:firstLineChars="200"/>
        <w:rPr>
          <w:rFonts w:ascii="仿宋" w:hAnsi="仿宋" w:eastAsia="仿宋"/>
          <w:sz w:val="32"/>
          <w:szCs w:val="32"/>
        </w:rPr>
      </w:pPr>
      <w:r>
        <w:rPr>
          <w:rFonts w:hint="eastAsia" w:ascii="仿宋" w:hAnsi="仿宋" w:eastAsia="仿宋"/>
          <w:b/>
          <w:sz w:val="32"/>
          <w:szCs w:val="32"/>
        </w:rPr>
        <w:t>（二）主要成效</w:t>
      </w:r>
    </w:p>
    <w:p>
      <w:pPr>
        <w:pStyle w:val="3417e2b1"/>
        <w:ind w:firstLine="1472" w:firstLineChars="460"/>
        <w:rPr>
          <w:rFonts w:ascii="仿宋" w:hAnsi="仿宋" w:eastAsia="仿宋"/>
          <w:sz w:val="32"/>
          <w:szCs w:val="32"/>
        </w:rPr>
      </w:pPr>
    </w:p>
    <w:p>
      <w:pPr>
        <w:pStyle w:val="3417e2b1"/>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3417e2b1"/>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sz w:val="32"/>
        </w:rPr>
        <w:t>1)补助标准</w:t>
      </w:r>
      <w:r>
        <w:rPr>
          <w:rFonts w:ascii="仿宋" w:hAnsi="仿宋" w:eastAsia="仿宋" w:cs="仿宋"/>
          <w:sz w:val="32"/>
        </w:rPr>
        <w:t>(元/亩)，目标值500，完成值500，分值10，得分10</w:t>
      </w:r>
      <w:r>
        <w:rPr>
          <w:rFonts w:hint="eastAsia" w:ascii="仿宋" w:hAnsi="仿宋" w:eastAsia="仿宋"/>
          <w:sz w:val="32"/>
          <w:szCs w:val="32"/>
        </w:rPr>
        <w:t>。</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sz w:val="32"/>
        </w:rPr>
        <w:t>1)森林提质增效示范工程（亩）</w:t>
      </w:r>
      <w:r>
        <w:rPr>
          <w:rFonts w:ascii="仿宋" w:hAnsi="仿宋" w:eastAsia="仿宋" w:cs="仿宋"/>
          <w:sz w:val="32"/>
        </w:rPr>
        <w:t>(亩)，目标值120，完成值120，分值20，得分20</w:t>
      </w:r>
      <w:r>
        <w:rPr>
          <w:rFonts w:hint="eastAsia" w:ascii="仿宋" w:hAnsi="仿宋" w:eastAsia="仿宋"/>
          <w:sz w:val="32"/>
          <w:szCs w:val="32"/>
        </w:rPr>
        <w:t>。</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sz w:val="32"/>
        </w:rPr>
        <w:t>1)验收合格情况</w:t>
      </w:r>
      <w:r>
        <w:rPr>
          <w:rFonts w:ascii="仿宋" w:hAnsi="仿宋" w:eastAsia="仿宋" w:cs="仿宋"/>
          <w:sz w:val="32"/>
        </w:rPr>
        <w:t>(无)，目标值合格，完成值合格，分值10，得分10</w:t>
      </w:r>
      <w:r>
        <w:rPr>
          <w:rFonts w:hint="eastAsia" w:ascii="仿宋" w:hAnsi="仿宋" w:eastAsia="仿宋"/>
          <w:sz w:val="32"/>
          <w:szCs w:val="32"/>
        </w:rPr>
        <w:t>。</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sz w:val="32"/>
        </w:rPr>
        <w:t>1)任务分解率</w:t>
      </w:r>
      <w:r>
        <w:rPr>
          <w:rFonts w:ascii="仿宋" w:hAnsi="仿宋" w:eastAsia="仿宋" w:cs="仿宋"/>
          <w:sz w:val="32"/>
        </w:rPr>
        <w:t>(无)，目标值完成，完成值完成，分值10，得分10</w:t>
      </w:r>
      <w:r>
        <w:rPr>
          <w:rFonts w:hint="eastAsia" w:ascii="仿宋" w:hAnsi="仿宋" w:eastAsia="仿宋"/>
          <w:sz w:val="32"/>
          <w:szCs w:val="32"/>
        </w:rPr>
        <w:t>。</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sz w:val="32"/>
        </w:rPr>
        <w:t>1)森林提质增效</w:t>
      </w:r>
      <w:r>
        <w:rPr>
          <w:rFonts w:ascii="仿宋" w:hAnsi="仿宋" w:eastAsia="仿宋" w:cs="仿宋"/>
          <w:sz w:val="32"/>
        </w:rPr>
        <w:t>(无)，目标值有效提升，完成值有效提升，分值30，得分30</w:t>
      </w:r>
      <w:r>
        <w:rPr>
          <w:rFonts w:hint="eastAsia" w:ascii="仿宋" w:hAnsi="仿宋" w:eastAsia="仿宋"/>
          <w:sz w:val="32"/>
          <w:szCs w:val="32"/>
        </w:rPr>
        <w:t>。</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3417e2b1"/>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w:t>
      </w:r>
      <w:r>
        <w:rPr>
          <w:rFonts w:ascii="仿宋" w:hAnsi="仿宋" w:eastAsia="仿宋" w:cs="仿宋"/>
          <w:sz w:val="32"/>
        </w:rPr>
        <w:t>(%)，目标值90，完成值90，分值10，得分10</w:t>
      </w:r>
      <w:r>
        <w:rPr>
          <w:rFonts w:hint="eastAsia" w:ascii="仿宋" w:hAnsi="仿宋" w:eastAsia="仿宋"/>
          <w:sz w:val="32"/>
          <w:szCs w:val="32"/>
        </w:rPr>
        <w:t>。</w:t>
      </w:r>
    </w:p>
    <w:p>
      <w:pPr>
        <w:pStyle w:val="3417e2b1"/>
        <w:tabs>
          <w:tab w:val="left" w:pos="2244"/>
        </w:tabs>
        <w:spacing w:line="620" w:lineRule="exact"/>
        <w:ind w:left="1890" w:leftChars="900"/>
        <w:rPr>
          <w:rFonts w:ascii="仿宋" w:hAnsi="仿宋" w:eastAsia="仿宋"/>
          <w:b/>
          <w:color w:val="FF0000"/>
          <w:sz w:val="32"/>
          <w:szCs w:val="32"/>
        </w:rPr>
      </w:pPr>
    </w:p>
    <w:p>
      <w:pPr>
        <w:pStyle w:val="3417e2b1"/>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3417e2b1"/>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3417e2b1"/>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3417e2b1"/>
        <w:ind w:left="840" w:firstLine="420"/>
        <w:sectPr>
          <w:type w:val="continuous"/>
          <w:pgSz w:w="11907" w:h="16840"/>
        </w:sectPr>
      </w:pPr>
    </w:p>
    <w:p>
      <w:pPr>
        <w:pageBreakBefore w:val="true"/>
      </w:pPr>
    </w:p>
    <w:p>
      <w:pPr>
        <w:pStyle w:val="e76f23c4"/>
        <w:rPr>
          <w:rFonts w:ascii="仿宋" w:hAnsi="仿宋" w:eastAsia="仿宋"/>
          <w:sz w:val="32"/>
          <w:szCs w:val="32"/>
        </w:rPr>
      </w:pPr>
    </w:p>
    <w:p>
      <w:pPr>
        <w:pStyle w:val="e76f23c4"/>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bookmarkStart w:id="0" w:name="_GoBack"/>
      <w:bookmarkEnd w:id="0"/>
      <w:r>
        <w:rPr>
          <w:rFonts w:ascii="宋体" w:hAnsi="宋体" w:eastAsia="宋体" w:cs="宋体"/>
          <w:b/>
          <w:sz w:val="44"/>
        </w:rPr>
        <w:t>报告</w:t>
      </w:r>
    </w:p>
    <w:p>
      <w:pPr>
        <w:pStyle w:val="e76f23c4"/>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南财指标〔2024〕961号森林草原湿地荒漠化普查工作经费</w:t>
      </w:r>
      <w:r>
        <w:rPr>
          <w:rFonts w:hint="eastAsia" w:ascii="仿宋" w:hAnsi="仿宋" w:eastAsia="仿宋"/>
          <w:sz w:val="32"/>
          <w:szCs w:val="32"/>
        </w:rPr>
        <w:t>）</w:t>
      </w:r>
    </w:p>
    <w:p>
      <w:pPr>
        <w:pStyle w:val="e76f23c4"/>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e76f23c4"/>
        <w:ind w:firstLine="643" w:firstLineChars="200"/>
        <w:rPr>
          <w:rFonts w:ascii="仿宋" w:hAnsi="仿宋" w:eastAsia="仿宋"/>
          <w:sz w:val="32"/>
          <w:szCs w:val="32"/>
        </w:rPr>
      </w:pPr>
      <w:r>
        <w:rPr>
          <w:rFonts w:hint="eastAsia" w:ascii="仿宋" w:hAnsi="仿宋" w:eastAsia="仿宋"/>
          <w:b/>
          <w:sz w:val="32"/>
          <w:szCs w:val="32"/>
        </w:rPr>
        <w:t>（一）项目概况</w:t>
      </w:r>
    </w:p>
    <w:p>
      <w:pPr>
        <w:pStyle w:val="e76f23c4"/>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e76f23c4"/>
        <w:ind w:firstLine="643" w:firstLineChars="200"/>
        <w:rPr>
          <w:rFonts w:ascii="仿宋" w:hAnsi="仿宋" w:eastAsia="仿宋"/>
          <w:sz w:val="32"/>
          <w:szCs w:val="32"/>
        </w:rPr>
      </w:pPr>
      <w:r>
        <w:rPr>
          <w:rFonts w:hint="eastAsia" w:ascii="仿宋" w:hAnsi="仿宋" w:eastAsia="仿宋"/>
          <w:b/>
          <w:sz w:val="32"/>
          <w:szCs w:val="32"/>
        </w:rPr>
        <w:t>（二）主要成效</w:t>
      </w:r>
    </w:p>
    <w:p>
      <w:pPr>
        <w:pStyle w:val="e76f23c4"/>
        <w:ind w:firstLine="1472" w:firstLineChars="460"/>
        <w:rPr>
          <w:rFonts w:ascii="仿宋" w:hAnsi="仿宋" w:eastAsia="仿宋"/>
          <w:sz w:val="32"/>
          <w:szCs w:val="32"/>
        </w:rPr>
      </w:pPr>
    </w:p>
    <w:p>
      <w:pPr>
        <w:pStyle w:val="e76f23c4"/>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e76f23c4"/>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sz w:val="32"/>
        </w:rPr>
        <w:t>1)财政投入资金</w:t>
      </w:r>
      <w:r>
        <w:rPr>
          <w:rFonts w:ascii="仿宋" w:hAnsi="仿宋" w:eastAsia="仿宋" w:cs="仿宋"/>
          <w:sz w:val="32"/>
        </w:rPr>
        <w:t>(万元)，目标值188，完成值45.68，分值10，得分10</w:t>
      </w:r>
      <w:r>
        <w:rPr>
          <w:rFonts w:hint="eastAsia" w:ascii="仿宋" w:hAnsi="仿宋" w:eastAsia="仿宋"/>
          <w:sz w:val="32"/>
          <w:szCs w:val="32"/>
        </w:rPr>
        <w:t>。</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sz w:val="32"/>
        </w:rPr>
        <w:t>1)图斑调查面积</w:t>
      </w:r>
      <w:r>
        <w:rPr>
          <w:rFonts w:ascii="仿宋" w:hAnsi="仿宋" w:eastAsia="仿宋" w:cs="仿宋"/>
          <w:sz w:val="32"/>
        </w:rPr>
        <w:t>(万亩)，目标值159.87，完成值159.87，分值10，得分10</w:t>
      </w:r>
      <w:r>
        <w:rPr>
          <w:rFonts w:hint="eastAsia" w:ascii="仿宋" w:hAnsi="仿宋" w:eastAsia="仿宋"/>
          <w:sz w:val="32"/>
          <w:szCs w:val="32"/>
        </w:rPr>
        <w:t>。</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sz w:val="32"/>
        </w:rPr>
        <w:t>1)地类对接不一致图斑数量（个）</w:t>
      </w:r>
      <w:r>
        <w:rPr>
          <w:rFonts w:ascii="仿宋" w:hAnsi="仿宋" w:eastAsia="仿宋" w:cs="仿宋"/>
          <w:sz w:val="32"/>
        </w:rPr>
        <w:t>(个)，目标值93346，完成值93346，分值20，得分20</w:t>
      </w:r>
      <w:r>
        <w:rPr>
          <w:rFonts w:hint="eastAsia" w:ascii="仿宋" w:hAnsi="仿宋" w:eastAsia="仿宋"/>
          <w:sz w:val="32"/>
          <w:szCs w:val="32"/>
        </w:rPr>
        <w:t>。</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sz w:val="32"/>
        </w:rPr>
        <w:t>1)监测工作完成情况</w:t>
      </w:r>
      <w:r>
        <w:rPr>
          <w:rFonts w:ascii="仿宋" w:hAnsi="仿宋" w:eastAsia="仿宋" w:cs="仿宋"/>
          <w:sz w:val="32"/>
        </w:rPr>
        <w:t>(无)，目标值完成，完成值完成，分值10，得分10</w:t>
      </w:r>
      <w:r>
        <w:rPr>
          <w:rFonts w:hint="eastAsia" w:ascii="仿宋" w:hAnsi="仿宋" w:eastAsia="仿宋"/>
          <w:sz w:val="32"/>
          <w:szCs w:val="32"/>
        </w:rPr>
        <w:t>。</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sz w:val="32"/>
        </w:rPr>
        <w:t>1)森林生态效益发挥可持续</w:t>
      </w:r>
      <w:r>
        <w:rPr>
          <w:rFonts w:ascii="仿宋" w:hAnsi="仿宋" w:eastAsia="仿宋" w:cs="仿宋"/>
          <w:sz w:val="32"/>
        </w:rPr>
        <w:t>(无)，目标值明显，完成值明显，分值30，得分30</w:t>
      </w:r>
      <w:r>
        <w:rPr>
          <w:rFonts w:hint="eastAsia" w:ascii="仿宋" w:hAnsi="仿宋" w:eastAsia="仿宋"/>
          <w:sz w:val="32"/>
          <w:szCs w:val="32"/>
        </w:rPr>
        <w:t>。</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e76f23c4"/>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(%)，目标值90，完成值90，分值10，得分10</w:t>
      </w:r>
      <w:r>
        <w:rPr>
          <w:rFonts w:hint="eastAsia" w:ascii="仿宋" w:hAnsi="仿宋" w:eastAsia="仿宋"/>
          <w:sz w:val="32"/>
          <w:szCs w:val="32"/>
        </w:rPr>
        <w:t>。</w:t>
      </w:r>
    </w:p>
    <w:p>
      <w:pPr>
        <w:pStyle w:val="e76f23c4"/>
        <w:tabs>
          <w:tab w:val="left" w:pos="2244"/>
        </w:tabs>
        <w:spacing w:line="620" w:lineRule="exact"/>
        <w:ind w:left="1890" w:leftChars="900"/>
        <w:rPr>
          <w:rFonts w:ascii="仿宋" w:hAnsi="仿宋" w:eastAsia="仿宋"/>
          <w:b/>
          <w:color w:val="FF0000"/>
          <w:sz w:val="32"/>
          <w:szCs w:val="32"/>
        </w:rPr>
      </w:pPr>
    </w:p>
    <w:p>
      <w:pPr>
        <w:pStyle w:val="e76f23c4"/>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e76f23c4"/>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e76f23c4"/>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e76f23c4"/>
        <w:ind w:left="840" w:firstLine="420"/>
        <w:sectPr>
          <w:type w:val="continuous"/>
          <w:pgSz w:w="11907" w:h="16840"/>
        </w:sectPr>
      </w:pPr>
    </w:p>
    <w:p>
      <w:pPr>
        <w:pageBreakBefore w:val="true"/>
      </w:pPr>
    </w:p>
    <w:p>
      <w:pPr>
        <w:pStyle w:val="525b6aae"/>
        <w:rPr>
          <w:rFonts w:ascii="仿宋" w:hAnsi="仿宋" w:eastAsia="仿宋"/>
          <w:sz w:val="32"/>
          <w:szCs w:val="32"/>
        </w:rPr>
      </w:pPr>
      <w:bookmarkStart w:id="0" w:name="_GoBack"/>
      <w:bookmarkEnd w:id="0"/>
    </w:p>
    <w:p>
      <w:pPr>
        <w:pStyle w:val="525b6aae"/>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r>
        <w:rPr>
          <w:rFonts w:ascii="宋体" w:hAnsi="宋体" w:eastAsia="宋体" w:cs="宋体"/>
          <w:b/>
          <w:sz w:val="44"/>
        </w:rPr>
        <w:t>报告</w:t>
      </w:r>
    </w:p>
    <w:p>
      <w:pPr>
        <w:pStyle w:val="525b6aae"/>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南财指标〔2024〕801号2023年乡村绿化美化宜居项目</w:t>
      </w:r>
      <w:r>
        <w:rPr>
          <w:rFonts w:hint="eastAsia" w:ascii="仿宋" w:hAnsi="仿宋" w:eastAsia="仿宋"/>
          <w:sz w:val="32"/>
          <w:szCs w:val="32"/>
        </w:rPr>
        <w:t>）</w:t>
      </w:r>
    </w:p>
    <w:p>
      <w:pPr>
        <w:pStyle w:val="525b6aae"/>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525b6aae"/>
        <w:ind w:firstLine="643" w:firstLineChars="200"/>
        <w:rPr>
          <w:rFonts w:ascii="仿宋" w:hAnsi="仿宋" w:eastAsia="仿宋"/>
          <w:sz w:val="32"/>
          <w:szCs w:val="32"/>
        </w:rPr>
      </w:pPr>
      <w:r>
        <w:rPr>
          <w:rFonts w:hint="eastAsia" w:ascii="仿宋" w:hAnsi="仿宋" w:eastAsia="仿宋"/>
          <w:b/>
          <w:sz w:val="32"/>
          <w:szCs w:val="32"/>
        </w:rPr>
        <w:t>（一）项目概况</w:t>
      </w:r>
    </w:p>
    <w:p>
      <w:pPr>
        <w:pStyle w:val="525b6aae"/>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525b6aae"/>
        <w:ind w:firstLine="643" w:firstLineChars="200"/>
        <w:rPr>
          <w:rFonts w:ascii="仿宋" w:hAnsi="仿宋" w:eastAsia="仿宋"/>
          <w:sz w:val="32"/>
          <w:szCs w:val="32"/>
        </w:rPr>
      </w:pPr>
      <w:r>
        <w:rPr>
          <w:rFonts w:hint="eastAsia" w:ascii="仿宋" w:hAnsi="仿宋" w:eastAsia="仿宋"/>
          <w:b/>
          <w:sz w:val="32"/>
          <w:szCs w:val="32"/>
        </w:rPr>
        <w:t>（二）主要成效</w:t>
      </w:r>
    </w:p>
    <w:p>
      <w:pPr>
        <w:pStyle w:val="525b6aae"/>
        <w:ind w:firstLine="1472" w:firstLineChars="460"/>
        <w:rPr>
          <w:rFonts w:ascii="仿宋" w:hAnsi="仿宋" w:eastAsia="仿宋"/>
          <w:sz w:val="32"/>
          <w:szCs w:val="32"/>
        </w:rPr>
      </w:pPr>
    </w:p>
    <w:p>
      <w:pPr>
        <w:pStyle w:val="525b6aae"/>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525b6aae"/>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sz w:val="32"/>
        </w:rPr>
        <w:t>1)补助标准</w:t>
      </w:r>
      <w:r>
        <w:rPr>
          <w:rFonts w:ascii="仿宋" w:hAnsi="仿宋" w:eastAsia="仿宋" w:cs="仿宋"/>
          <w:sz w:val="32"/>
        </w:rPr>
        <w:t>(万元)，目标值3，完成值3，分值10，得分10</w:t>
      </w:r>
      <w:r>
        <w:rPr>
          <w:rFonts w:hint="eastAsia" w:ascii="仿宋" w:hAnsi="仿宋" w:eastAsia="仿宋"/>
          <w:sz w:val="32"/>
          <w:szCs w:val="32"/>
        </w:rPr>
        <w:t>。</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sz w:val="32"/>
        </w:rPr>
        <w:t>1)完成数量</w:t>
      </w:r>
      <w:r>
        <w:rPr>
          <w:rFonts w:ascii="仿宋" w:hAnsi="仿宋" w:eastAsia="仿宋" w:cs="仿宋"/>
          <w:sz w:val="32"/>
        </w:rPr>
        <w:t>(个)，目标值31，完成值31，分值20，得分20</w:t>
      </w:r>
      <w:r>
        <w:rPr>
          <w:rFonts w:hint="eastAsia" w:ascii="仿宋" w:hAnsi="仿宋" w:eastAsia="仿宋"/>
          <w:sz w:val="32"/>
          <w:szCs w:val="32"/>
        </w:rPr>
        <w:t>。</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sz w:val="32"/>
        </w:rPr>
        <w:t>1)达到验收标准（是/否）</w:t>
      </w:r>
      <w:r>
        <w:rPr>
          <w:rFonts w:ascii="仿宋" w:hAnsi="仿宋" w:eastAsia="仿宋" w:cs="仿宋"/>
          <w:sz w:val="32"/>
        </w:rPr>
        <w:t>(无)，目标值是，完成值达到，分值10，得分10</w:t>
      </w:r>
      <w:r>
        <w:rPr>
          <w:rFonts w:hint="eastAsia" w:ascii="仿宋" w:hAnsi="仿宋" w:eastAsia="仿宋"/>
          <w:sz w:val="32"/>
          <w:szCs w:val="32"/>
        </w:rPr>
        <w:t>。</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sz w:val="32"/>
        </w:rPr>
        <w:t>1)验收及时率</w:t>
      </w:r>
      <w:r>
        <w:rPr>
          <w:rFonts w:ascii="仿宋" w:hAnsi="仿宋" w:eastAsia="仿宋" w:cs="仿宋"/>
          <w:sz w:val="32"/>
        </w:rPr>
        <w:t>(无)，目标值完成，完成值完成，分值10，得分10</w:t>
      </w:r>
      <w:r>
        <w:rPr>
          <w:rFonts w:hint="eastAsia" w:ascii="仿宋" w:hAnsi="仿宋" w:eastAsia="仿宋"/>
          <w:sz w:val="32"/>
          <w:szCs w:val="32"/>
        </w:rPr>
        <w:t>。</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sz w:val="32"/>
        </w:rPr>
        <w:t>1)森林效益发挥</w:t>
      </w:r>
      <w:r>
        <w:rPr>
          <w:rFonts w:ascii="仿宋" w:hAnsi="仿宋" w:eastAsia="仿宋" w:cs="仿宋"/>
          <w:sz w:val="32"/>
        </w:rPr>
        <w:t>(无)，目标值持续发挥，完成值持续发挥，分值30，得分30</w:t>
      </w:r>
      <w:r>
        <w:rPr>
          <w:rFonts w:hint="eastAsia" w:ascii="仿宋" w:hAnsi="仿宋" w:eastAsia="仿宋"/>
          <w:sz w:val="32"/>
          <w:szCs w:val="32"/>
        </w:rPr>
        <w:t>。</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525b6aae"/>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1)服务对象满意率</w:t>
      </w:r>
      <w:r>
        <w:rPr>
          <w:rFonts w:ascii="仿宋" w:hAnsi="仿宋" w:eastAsia="仿宋" w:cs="仿宋"/>
          <w:sz w:val="32"/>
        </w:rPr>
        <w:t>(%)，目标值90，完成值90，分值10，得分10</w:t>
      </w:r>
      <w:r>
        <w:rPr>
          <w:rFonts w:hint="eastAsia" w:ascii="仿宋" w:hAnsi="仿宋" w:eastAsia="仿宋"/>
          <w:sz w:val="32"/>
          <w:szCs w:val="32"/>
        </w:rPr>
        <w:t>。</w:t>
      </w:r>
    </w:p>
    <w:p>
      <w:pPr>
        <w:pStyle w:val="525b6aae"/>
        <w:tabs>
          <w:tab w:val="left" w:pos="2244"/>
        </w:tabs>
        <w:spacing w:line="620" w:lineRule="exact"/>
        <w:ind w:left="1890" w:leftChars="900"/>
        <w:rPr>
          <w:rFonts w:ascii="仿宋" w:hAnsi="仿宋" w:eastAsia="仿宋"/>
          <w:b/>
          <w:color w:val="FF0000"/>
          <w:sz w:val="32"/>
          <w:szCs w:val="32"/>
        </w:rPr>
      </w:pPr>
    </w:p>
    <w:p>
      <w:pPr>
        <w:pStyle w:val="525b6aae"/>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525b6aae"/>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525b6aae"/>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525b6aae"/>
        <w:ind w:left="840" w:firstLine="420"/>
        <w:sectPr>
          <w:type w:val="continuous"/>
          <w:pgSz w:w="11907" w:h="16840"/>
        </w:sectPr>
      </w:pPr>
    </w:p>
    <w:p>
      <w:pPr>
        <w:pageBreakBefore w:val="true"/>
      </w:pPr>
    </w:p>
    <w:p>
      <w:pPr>
        <w:pStyle w:val="c489a8b7"/>
        <w:rPr>
          <w:rFonts w:ascii="仿宋" w:hAnsi="仿宋" w:eastAsia="仿宋"/>
          <w:sz w:val="32"/>
          <w:szCs w:val="32"/>
        </w:rPr>
      </w:pPr>
      <w:bookmarkStart w:id="0" w:name="_GoBack"/>
      <w:bookmarkEnd w:id="0"/>
    </w:p>
    <w:p>
      <w:pPr>
        <w:pStyle w:val="c489a8b7"/>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r>
        <w:rPr>
          <w:rFonts w:ascii="宋体" w:hAnsi="宋体" w:eastAsia="宋体" w:cs="宋体"/>
          <w:b/>
          <w:sz w:val="44"/>
        </w:rPr>
        <w:t>报告</w:t>
      </w:r>
    </w:p>
    <w:p>
      <w:pPr>
        <w:pStyle w:val="c489a8b7"/>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闽财资环指〔2024〕42号，2025年省级财政林业专项资金（林业经济发展—竹产业发展61万元）</w:t>
      </w:r>
      <w:r>
        <w:rPr>
          <w:rFonts w:hint="eastAsia" w:ascii="仿宋" w:hAnsi="仿宋" w:eastAsia="仿宋"/>
          <w:sz w:val="32"/>
          <w:szCs w:val="32"/>
        </w:rPr>
        <w:t>）</w:t>
      </w:r>
    </w:p>
    <w:p>
      <w:pPr>
        <w:pStyle w:val="c489a8b7"/>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c489a8b7"/>
        <w:ind w:firstLine="643" w:firstLineChars="200"/>
        <w:rPr>
          <w:rFonts w:ascii="仿宋" w:hAnsi="仿宋" w:eastAsia="仿宋"/>
          <w:sz w:val="32"/>
          <w:szCs w:val="32"/>
        </w:rPr>
      </w:pPr>
      <w:r>
        <w:rPr>
          <w:rFonts w:hint="eastAsia" w:ascii="仿宋" w:hAnsi="仿宋" w:eastAsia="仿宋"/>
          <w:b/>
          <w:sz w:val="32"/>
          <w:szCs w:val="32"/>
        </w:rPr>
        <w:t>（一）项目概况</w:t>
      </w:r>
    </w:p>
    <w:p>
      <w:pPr>
        <w:pStyle w:val="c489a8b7"/>
        <w:ind w:firstLine="1472" w:firstLineChars="460"/>
        <w:rPr>
          <w:rFonts w:ascii="仿宋" w:hAnsi="仿宋" w:eastAsia="仿宋"/>
          <w:sz w:val="32"/>
          <w:szCs w:val="32"/>
        </w:rPr>
      </w:pPr>
      <w:r>
        <w:rPr>
          <w:rFonts w:hint="eastAsia" w:ascii="仿宋" w:hAnsi="仿宋" w:eastAsia="仿宋"/>
          <w:sz w:val="32"/>
          <w:szCs w:val="32"/>
        </w:rPr>
        <w:t>省级下达林下经济专项资金61万元</w:t>
      </w:r>
      <w:r>
        <w:rPr>
          <w:rFonts w:ascii="仿宋" w:hAnsi="仿宋" w:eastAsia="仿宋" w:cs="仿宋"/>
          <w:sz w:val="32"/>
        </w:rPr>
        <w:t xml:space="preserve"> </w:t>
      </w:r>
    </w:p>
    <w:p>
      <w:pPr>
        <w:pStyle w:val="c489a8b7"/>
        <w:ind w:firstLine="643" w:firstLineChars="200"/>
        <w:rPr>
          <w:rFonts w:ascii="仿宋" w:hAnsi="仿宋" w:eastAsia="仿宋"/>
          <w:sz w:val="32"/>
          <w:szCs w:val="32"/>
        </w:rPr>
      </w:pPr>
      <w:r>
        <w:rPr>
          <w:rFonts w:hint="eastAsia" w:ascii="仿宋" w:hAnsi="仿宋" w:eastAsia="仿宋"/>
          <w:b/>
          <w:sz w:val="32"/>
          <w:szCs w:val="32"/>
        </w:rPr>
        <w:t>（二）主要成效</w:t>
      </w:r>
    </w:p>
    <w:p>
      <w:pPr>
        <w:pStyle w:val="c489a8b7"/>
        <w:ind w:firstLine="1472" w:firstLineChars="460"/>
        <w:rPr>
          <w:rFonts w:ascii="仿宋" w:hAnsi="仿宋" w:eastAsia="仿宋"/>
          <w:sz w:val="32"/>
          <w:szCs w:val="32"/>
        </w:rPr>
      </w:pPr>
    </w:p>
    <w:p>
      <w:pPr>
        <w:pStyle w:val="c489a8b7"/>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c489a8b7"/>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85分，等级为良，设置绩效目标8个，实际完成7个，具体情况如下：</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sz w:val="32"/>
        </w:rPr>
        <w:t>1)新增林下经济利用面积</w:t>
      </w:r>
      <w:r>
        <w:rPr>
          <w:rFonts w:ascii="仿宋" w:hAnsi="仿宋" w:eastAsia="仿宋" w:cs="仿宋"/>
          <w:sz w:val="32"/>
        </w:rPr>
        <w:t>(亩)，目标值1500，完成值1500，分值10，得分10</w:t>
      </w:r>
      <w:r>
        <w:rPr>
          <w:rFonts w:hint="eastAsia" w:ascii="仿宋" w:hAnsi="仿宋" w:eastAsia="仿宋"/>
          <w:sz w:val="32"/>
          <w:szCs w:val="32"/>
        </w:rPr>
        <w:t>。</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sz w:val="32"/>
        </w:rPr>
        <w:t>1)参与林下经济就业人数</w:t>
      </w:r>
      <w:r>
        <w:rPr>
          <w:rFonts w:ascii="仿宋" w:hAnsi="仿宋" w:eastAsia="仿宋" w:cs="仿宋"/>
          <w:sz w:val="32"/>
        </w:rPr>
        <w:t>(人)，目标值300，完成值300，分值10，得分10</w:t>
      </w:r>
      <w:r>
        <w:rPr>
          <w:rFonts w:hint="eastAsia" w:ascii="仿宋" w:hAnsi="仿宋" w:eastAsia="仿宋"/>
          <w:sz w:val="32"/>
          <w:szCs w:val="32"/>
        </w:rPr>
        <w:t>。</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sz w:val="32"/>
        </w:rPr>
        <w:t>1)林下经济项目验收合格率</w:t>
      </w:r>
      <w:r>
        <w:rPr>
          <w:rFonts w:ascii="仿宋" w:hAnsi="仿宋" w:eastAsia="仿宋" w:cs="仿宋"/>
          <w:sz w:val="32"/>
        </w:rPr>
        <w:t>(%)，目标值95，完成值95，分值15，得分15</w:t>
      </w:r>
      <w:r>
        <w:rPr>
          <w:rFonts w:hint="eastAsia" w:ascii="仿宋" w:hAnsi="仿宋" w:eastAsia="仿宋"/>
          <w:sz w:val="32"/>
          <w:szCs w:val="32"/>
        </w:rPr>
        <w:t>。</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sz w:val="32"/>
        </w:rPr>
        <w:t>2)项目申报及时率</w:t>
      </w:r>
      <w:r>
        <w:rPr>
          <w:rFonts w:ascii="仿宋" w:hAnsi="仿宋" w:eastAsia="仿宋" w:cs="仿宋"/>
          <w:sz w:val="32"/>
        </w:rPr>
        <w:t>(%)，目标值92，完成值92，分值10，得分10</w:t>
      </w:r>
      <w:r>
        <w:rPr>
          <w:rFonts w:hint="eastAsia" w:ascii="仿宋" w:hAnsi="仿宋" w:eastAsia="仿宋"/>
          <w:sz w:val="32"/>
          <w:szCs w:val="32"/>
        </w:rPr>
        <w:t>。</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sz w:val="32"/>
        </w:rPr>
        <w:t>1)预算执行进度</w:t>
      </w:r>
      <w:r>
        <w:rPr>
          <w:rFonts w:ascii="仿宋" w:hAnsi="仿宋" w:eastAsia="仿宋" w:cs="仿宋"/>
          <w:sz w:val="32"/>
        </w:rPr>
        <w:t>(%)，目标值100，完成值0，分值5，得分0</w:t>
      </w:r>
      <w:r>
        <w:rPr>
          <w:rFonts w:hint="eastAsia" w:ascii="仿宋" w:hAnsi="仿宋" w:eastAsia="仿宋"/>
          <w:sz w:val="32"/>
          <w:szCs w:val="32"/>
        </w:rPr>
        <w:t>。</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sz w:val="32"/>
        </w:rPr>
        <w:t>1)参与林下经济林农增加的收入</w:t>
      </w:r>
      <w:r>
        <w:rPr>
          <w:rFonts w:ascii="仿宋" w:hAnsi="仿宋" w:eastAsia="仿宋" w:cs="仿宋"/>
          <w:sz w:val="32"/>
        </w:rPr>
        <w:t>(元)，目标值5500，完成值5500，分值10，得分10</w:t>
      </w:r>
      <w:r>
        <w:rPr>
          <w:rFonts w:hint="eastAsia" w:ascii="仿宋" w:hAnsi="仿宋" w:eastAsia="仿宋"/>
          <w:sz w:val="32"/>
          <w:szCs w:val="32"/>
        </w:rPr>
        <w:t>。</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sz w:val="32"/>
        </w:rPr>
        <w:t>1)带动周边农民形成区域产业带</w:t>
      </w:r>
      <w:r>
        <w:rPr>
          <w:rFonts w:ascii="仿宋" w:hAnsi="仿宋" w:eastAsia="仿宋" w:cs="仿宋"/>
          <w:sz w:val="32"/>
        </w:rPr>
        <w:t>(无)，目标值效果显著，完成值效果显著，分值20，得分20</w:t>
      </w:r>
      <w:r>
        <w:rPr>
          <w:rFonts w:hint="eastAsia" w:ascii="仿宋" w:hAnsi="仿宋" w:eastAsia="仿宋"/>
          <w:sz w:val="32"/>
          <w:szCs w:val="32"/>
        </w:rPr>
        <w:t>。</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c489a8b7"/>
        <w:spacing w:line="620" w:lineRule="exact"/>
        <w:ind w:left="420" w:leftChars="200"/>
        <w:rPr>
          <w:rFonts w:ascii="仿宋" w:hAnsi="仿宋" w:eastAsia="仿宋"/>
          <w:sz w:val="32"/>
          <w:szCs w:val="32"/>
        </w:rPr>
      </w:pPr>
      <w:r>
        <w:rPr>
          <w:rFonts w:ascii="仿宋_GB2312" w:hAnsi="仿宋_GB2312" w:eastAsia="仿宋_GB2312" w:cs="仿宋_GB2312"/>
          <w:sz w:val="32"/>
        </w:rPr>
        <w:t>1)林下经济项目参与农户满意度</w:t>
      </w:r>
      <w:r>
        <w:rPr>
          <w:rFonts w:ascii="仿宋" w:hAnsi="仿宋" w:eastAsia="仿宋" w:cs="仿宋"/>
          <w:sz w:val="32"/>
        </w:rPr>
        <w:t>(%)，目标值91，完成值91，分值10，得分10</w:t>
      </w:r>
      <w:r>
        <w:rPr>
          <w:rFonts w:hint="eastAsia" w:ascii="仿宋" w:hAnsi="仿宋" w:eastAsia="仿宋"/>
          <w:sz w:val="32"/>
          <w:szCs w:val="32"/>
        </w:rPr>
        <w:t>。</w:t>
      </w:r>
    </w:p>
    <w:p>
      <w:pPr>
        <w:pStyle w:val="c489a8b7"/>
        <w:tabs>
          <w:tab w:val="left" w:pos="2244"/>
        </w:tabs>
        <w:spacing w:line="620" w:lineRule="exact"/>
        <w:ind w:left="1890" w:leftChars="900"/>
        <w:rPr>
          <w:rFonts w:ascii="仿宋" w:hAnsi="仿宋" w:eastAsia="仿宋"/>
          <w:b/>
          <w:color w:val="FF0000"/>
          <w:sz w:val="32"/>
          <w:szCs w:val="32"/>
        </w:rPr>
      </w:pPr>
    </w:p>
    <w:p>
      <w:pPr>
        <w:pStyle w:val="c489a8b7"/>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c489a8b7"/>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c489a8b7"/>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林下经济产业同质化现象较为突出，特色优势品种培育力度不足；产品多以初级原料为主，精深加工环节短板明显，附加值偏低；市场销售渠道仍以传统模式为主，稳定性不足。</w:t>
      </w:r>
    </w:p>
    <w:p>
      <w:pPr>
        <w:pStyle w:val="c489a8b7"/>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c489a8b7"/>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优化产业结构，精深加工环节，培育特色优势品种，加强产业整体抵御市场风险的能力。</w:t>
      </w:r>
    </w:p>
    <w:p>
      <w:pPr>
        <w:pStyle w:val="c489a8b7"/>
        <w:ind w:left="840" w:firstLine="420"/>
        <w:sectPr>
          <w:type w:val="continuous"/>
          <w:pgSz w:w="11907" w:h="16840"/>
        </w:sectPr>
      </w:pPr>
    </w:p>
    <w:p>
      <w:pPr>
        <w:pageBreakBefore w:val="true"/>
      </w:pPr>
    </w:p>
    <w:p>
      <w:pPr>
        <w:pStyle w:val="a6c0a32c"/>
        <w:rPr>
          <w:rFonts w:ascii="仿宋" w:hAnsi="仿宋" w:eastAsia="仿宋"/>
          <w:sz w:val="32"/>
          <w:szCs w:val="32"/>
        </w:rPr>
      </w:pPr>
    </w:p>
    <w:p>
      <w:pPr>
        <w:pStyle w:val="a6c0a32c"/>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a6c0a32c"/>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泉财农指〔2024〕56号，2024年泉州市级财政森林资源培育与管护专项资金（第一批）：森林资源管护及其他支出——林长制“一公园一标准一品牌”项目建设</w:t>
      </w:r>
      <w:r>
        <w:rPr>
          <w:rFonts w:hint="eastAsia" w:ascii="仿宋" w:hAnsi="仿宋" w:eastAsia="仿宋"/>
          <w:sz w:val="32"/>
          <w:szCs w:val="32"/>
        </w:rPr>
        <w:t>）</w:t>
      </w:r>
    </w:p>
    <w:p>
      <w:pPr>
        <w:pStyle w:val="a6c0a32c"/>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a6c0a32c"/>
        <w:ind w:firstLine="643" w:firstLineChars="200"/>
        <w:rPr>
          <w:rFonts w:ascii="仿宋" w:hAnsi="仿宋" w:eastAsia="仿宋"/>
          <w:sz w:val="32"/>
          <w:szCs w:val="32"/>
        </w:rPr>
      </w:pPr>
      <w:r>
        <w:rPr>
          <w:rFonts w:hint="eastAsia" w:ascii="仿宋" w:hAnsi="仿宋" w:eastAsia="仿宋"/>
          <w:b/>
          <w:sz w:val="32"/>
          <w:szCs w:val="32"/>
        </w:rPr>
        <w:t>（一）项目概况</w:t>
      </w:r>
    </w:p>
    <w:p>
      <w:pPr>
        <w:pStyle w:val="a6c0a32c"/>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a6c0a32c"/>
        <w:ind w:firstLine="643" w:firstLineChars="200"/>
        <w:rPr>
          <w:rFonts w:ascii="仿宋" w:hAnsi="仿宋" w:eastAsia="仿宋"/>
          <w:sz w:val="32"/>
          <w:szCs w:val="32"/>
        </w:rPr>
      </w:pPr>
      <w:r>
        <w:rPr>
          <w:rFonts w:hint="eastAsia" w:ascii="仿宋" w:hAnsi="仿宋" w:eastAsia="仿宋"/>
          <w:b/>
          <w:sz w:val="32"/>
          <w:szCs w:val="32"/>
        </w:rPr>
        <w:t>（二）主要成效</w:t>
      </w:r>
    </w:p>
    <w:p>
      <w:pPr>
        <w:pStyle w:val="a6c0a32c"/>
        <w:ind w:firstLine="1472" w:firstLineChars="460"/>
        <w:rPr>
          <w:rFonts w:ascii="仿宋" w:hAnsi="仿宋" w:eastAsia="仿宋"/>
          <w:sz w:val="32"/>
          <w:szCs w:val="32"/>
        </w:rPr>
      </w:pPr>
    </w:p>
    <w:p>
      <w:pPr>
        <w:pStyle w:val="a6c0a32c"/>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a6c0a32c"/>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sz w:val="32"/>
        </w:rPr>
        <w:t>1)财政投入资金</w:t>
      </w:r>
      <w:r>
        <w:rPr>
          <w:rFonts w:ascii="仿宋" w:hAnsi="仿宋" w:eastAsia="仿宋" w:cs="仿宋"/>
          <w:sz w:val="32"/>
        </w:rPr>
        <w:t>(万元)，目标值20，完成值20，分值10，得分10</w:t>
      </w:r>
      <w:r>
        <w:rPr>
          <w:rFonts w:hint="eastAsia" w:ascii="仿宋" w:hAnsi="仿宋" w:eastAsia="仿宋"/>
          <w:sz w:val="32"/>
          <w:szCs w:val="32"/>
        </w:rPr>
        <w:t>。</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sz w:val="32"/>
        </w:rPr>
        <w:t>1)建设林长制示范乡镇</w:t>
      </w:r>
      <w:r>
        <w:rPr>
          <w:rFonts w:ascii="仿宋" w:hAnsi="仿宋" w:eastAsia="仿宋" w:cs="仿宋"/>
          <w:sz w:val="32"/>
        </w:rPr>
        <w:t>(个)，目标值2，完成值2，分值20，得分20</w:t>
      </w:r>
      <w:r>
        <w:rPr>
          <w:rFonts w:hint="eastAsia" w:ascii="仿宋" w:hAnsi="仿宋" w:eastAsia="仿宋"/>
          <w:sz w:val="32"/>
          <w:szCs w:val="32"/>
        </w:rPr>
        <w:t>。</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sz w:val="32"/>
        </w:rPr>
        <w:t>1)网格管理标准化</w:t>
      </w:r>
      <w:r>
        <w:rPr>
          <w:rFonts w:ascii="仿宋" w:hAnsi="仿宋" w:eastAsia="仿宋" w:cs="仿宋"/>
          <w:sz w:val="32"/>
        </w:rPr>
        <w:t>(无)，目标值完成，完成值完成，分值10，得分10</w:t>
      </w:r>
      <w:r>
        <w:rPr>
          <w:rFonts w:hint="eastAsia" w:ascii="仿宋" w:hAnsi="仿宋" w:eastAsia="仿宋"/>
          <w:sz w:val="32"/>
          <w:szCs w:val="32"/>
        </w:rPr>
        <w:t>。</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sz w:val="32"/>
        </w:rPr>
        <w:t>1)项目完成率</w:t>
      </w:r>
      <w:r>
        <w:rPr>
          <w:rFonts w:ascii="仿宋" w:hAnsi="仿宋" w:eastAsia="仿宋" w:cs="仿宋"/>
          <w:sz w:val="32"/>
        </w:rPr>
        <w:t>(%)，目标值100，完成值100，分值10，得分10</w:t>
      </w:r>
      <w:r>
        <w:rPr>
          <w:rFonts w:hint="eastAsia" w:ascii="仿宋" w:hAnsi="仿宋" w:eastAsia="仿宋"/>
          <w:sz w:val="32"/>
          <w:szCs w:val="32"/>
        </w:rPr>
        <w:t>。</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sz w:val="32"/>
        </w:rPr>
        <w:t>1)林业政策普及效果</w:t>
      </w:r>
      <w:r>
        <w:rPr>
          <w:rFonts w:ascii="仿宋" w:hAnsi="仿宋" w:eastAsia="仿宋" w:cs="仿宋"/>
          <w:sz w:val="32"/>
        </w:rPr>
        <w:t>(无)，目标值明显，完成值明显，分值30，得分30</w:t>
      </w:r>
      <w:r>
        <w:rPr>
          <w:rFonts w:hint="eastAsia" w:ascii="仿宋" w:hAnsi="仿宋" w:eastAsia="仿宋"/>
          <w:sz w:val="32"/>
          <w:szCs w:val="32"/>
        </w:rPr>
        <w:t>。</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a6c0a32c"/>
        <w:spacing w:line="620" w:lineRule="exact"/>
        <w:ind w:left="420" w:leftChars="200"/>
        <w:rPr>
          <w:rFonts w:ascii="仿宋" w:hAnsi="仿宋" w:eastAsia="仿宋"/>
          <w:sz w:val="32"/>
          <w:szCs w:val="32"/>
        </w:rPr>
      </w:pPr>
      <w:r>
        <w:rPr>
          <w:rFonts w:ascii="仿宋_GB2312" w:hAnsi="仿宋_GB2312" w:eastAsia="仿宋_GB2312" w:cs="仿宋_GB2312"/>
          <w:sz w:val="32"/>
        </w:rPr>
        <w:t>1)</w:t>
      </w:r>
      <w:r>
        <w:rPr>
          <w:rFonts w:ascii="仿宋_GB2312" w:hAnsi="仿宋_GB2312" w:eastAsia="仿宋_GB2312" w:cs="仿宋_GB2312"/>
          <w:sz w:val="32"/>
        </w:rPr>
        <w:tab/>
      </w:r>
      <w:r>
        <w:rPr>
          <w:rFonts w:ascii="仿宋_GB2312" w:hAnsi="仿宋_GB2312" w:eastAsia="仿宋_GB2312" w:cs="仿宋_GB2312"/>
          <w:sz w:val="32"/>
        </w:rPr>
        <w:cr/>
      </w:r>
      <w:r>
        <w:rPr>
          <w:rFonts w:ascii="仿宋_GB2312" w:hAnsi="仿宋_GB2312" w:eastAsia="仿宋_GB2312" w:cs="仿宋_GB2312"/>
          <w:sz w:val="32"/>
        </w:rPr>
        <w:t>服务对象满意度</w:t>
      </w:r>
      <w:r>
        <w:rPr>
          <w:rFonts w:ascii="仿宋" w:hAnsi="仿宋" w:eastAsia="仿宋" w:cs="仿宋"/>
          <w:sz w:val="32"/>
        </w:rPr>
        <w:t>(%)，目标值80，完成值80，分值10，得分10</w:t>
      </w:r>
      <w:r>
        <w:rPr>
          <w:rFonts w:hint="eastAsia" w:ascii="仿宋" w:hAnsi="仿宋" w:eastAsia="仿宋"/>
          <w:sz w:val="32"/>
          <w:szCs w:val="32"/>
        </w:rPr>
        <w:t>。</w:t>
      </w:r>
    </w:p>
    <w:p>
      <w:pPr>
        <w:pStyle w:val="a6c0a32c"/>
        <w:tabs>
          <w:tab w:val="left" w:pos="2244"/>
        </w:tabs>
        <w:spacing w:line="620" w:lineRule="exact"/>
        <w:ind w:left="1890" w:leftChars="900"/>
        <w:rPr>
          <w:rFonts w:ascii="仿宋" w:hAnsi="仿宋" w:eastAsia="仿宋"/>
          <w:b/>
          <w:color w:val="FF0000"/>
          <w:sz w:val="32"/>
          <w:szCs w:val="32"/>
        </w:rPr>
      </w:pPr>
    </w:p>
    <w:p>
      <w:pPr>
        <w:pStyle w:val="a6c0a32c"/>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a6c0a32c"/>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a6c0a32c"/>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a6c0a32c"/>
        <w:ind w:left="840" w:firstLine="420"/>
        <w:sectPr>
          <w:type w:val="continuous"/>
          <w:pgSz w:w="11907" w:h="16840"/>
        </w:sectPr>
      </w:pPr>
    </w:p>
    <w:p>
      <w:pPr>
        <w:pageBreakBefore w:val="true"/>
      </w:pPr>
    </w:p>
    <w:p>
      <w:pPr>
        <w:pStyle w:val="1a9298b3"/>
        <w:rPr>
          <w:rFonts w:ascii="仿宋" w:hAnsi="仿宋" w:eastAsia="仿宋"/>
          <w:sz w:val="32"/>
          <w:szCs w:val="32"/>
        </w:rPr>
      </w:pPr>
    </w:p>
    <w:p>
      <w:pPr>
        <w:pStyle w:val="1a9298b3"/>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1a9298b3"/>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泉财农指〔2024〕101号，2024年泉州市级财政现代林业经济专项资金（第二批）：一品一码4万元</w:t>
      </w:r>
      <w:r>
        <w:rPr>
          <w:rFonts w:hint="eastAsia" w:ascii="仿宋" w:hAnsi="仿宋" w:eastAsia="仿宋"/>
          <w:sz w:val="32"/>
          <w:szCs w:val="32"/>
        </w:rPr>
        <w:t>）</w:t>
      </w:r>
    </w:p>
    <w:p>
      <w:pPr>
        <w:pStyle w:val="1a9298b3"/>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1a9298b3"/>
        <w:ind w:firstLine="643" w:firstLineChars="200"/>
        <w:rPr>
          <w:rFonts w:ascii="仿宋" w:hAnsi="仿宋" w:eastAsia="仿宋"/>
          <w:sz w:val="32"/>
          <w:szCs w:val="32"/>
        </w:rPr>
      </w:pPr>
      <w:r>
        <w:rPr>
          <w:rFonts w:hint="eastAsia" w:ascii="仿宋" w:hAnsi="仿宋" w:eastAsia="仿宋"/>
          <w:b/>
          <w:sz w:val="32"/>
          <w:szCs w:val="32"/>
        </w:rPr>
        <w:t>（一）项目概况</w:t>
      </w:r>
    </w:p>
    <w:p>
      <w:pPr>
        <w:pStyle w:val="1a9298b3"/>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1a9298b3"/>
        <w:ind w:firstLine="643" w:firstLineChars="200"/>
        <w:rPr>
          <w:rFonts w:ascii="仿宋" w:hAnsi="仿宋" w:eastAsia="仿宋"/>
          <w:sz w:val="32"/>
          <w:szCs w:val="32"/>
        </w:rPr>
      </w:pPr>
      <w:r>
        <w:rPr>
          <w:rFonts w:hint="eastAsia" w:ascii="仿宋" w:hAnsi="仿宋" w:eastAsia="仿宋"/>
          <w:b/>
          <w:sz w:val="32"/>
          <w:szCs w:val="32"/>
        </w:rPr>
        <w:t>（二）主要成效</w:t>
      </w:r>
    </w:p>
    <w:p>
      <w:pPr>
        <w:pStyle w:val="1a9298b3"/>
        <w:ind w:firstLine="1472" w:firstLineChars="460"/>
        <w:rPr>
          <w:rFonts w:ascii="仿宋" w:hAnsi="仿宋" w:eastAsia="仿宋"/>
          <w:sz w:val="32"/>
          <w:szCs w:val="32"/>
        </w:rPr>
      </w:pPr>
    </w:p>
    <w:p>
      <w:pPr>
        <w:pStyle w:val="1a9298b3"/>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1a9298b3"/>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sz w:val="32"/>
        </w:rPr>
        <w:t>1)科技推广项目补助标准（万元/个）</w:t>
      </w:r>
      <w:r>
        <w:rPr>
          <w:rFonts w:ascii="仿宋" w:hAnsi="仿宋" w:eastAsia="仿宋" w:cs="仿宋"/>
          <w:sz w:val="32"/>
        </w:rPr>
        <w:t>(万元/个)，目标值4，完成值4，分值10，得分10</w:t>
      </w:r>
      <w:r>
        <w:rPr>
          <w:rFonts w:hint="eastAsia" w:ascii="仿宋" w:hAnsi="仿宋" w:eastAsia="仿宋"/>
          <w:sz w:val="32"/>
          <w:szCs w:val="32"/>
        </w:rPr>
        <w:t>。</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sz w:val="32"/>
        </w:rPr>
        <w:t>1)科技推广项目（个）</w:t>
      </w:r>
      <w:r>
        <w:rPr>
          <w:rFonts w:ascii="仿宋" w:hAnsi="仿宋" w:eastAsia="仿宋" w:cs="仿宋"/>
          <w:sz w:val="32"/>
        </w:rPr>
        <w:t>(个)，目标值1，完成值1，分值20，得分20</w:t>
      </w:r>
      <w:r>
        <w:rPr>
          <w:rFonts w:hint="eastAsia" w:ascii="仿宋" w:hAnsi="仿宋" w:eastAsia="仿宋"/>
          <w:sz w:val="32"/>
          <w:szCs w:val="32"/>
        </w:rPr>
        <w:t>。</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sz w:val="32"/>
        </w:rPr>
        <w:t>1)林业技术水平提升（是/否）</w:t>
      </w:r>
      <w:r>
        <w:rPr>
          <w:rFonts w:ascii="仿宋" w:hAnsi="仿宋" w:eastAsia="仿宋" w:cs="仿宋"/>
          <w:sz w:val="32"/>
        </w:rPr>
        <w:t>(无)，目标值是，完成值是，分值10，得分10</w:t>
      </w:r>
      <w:r>
        <w:rPr>
          <w:rFonts w:hint="eastAsia" w:ascii="仿宋" w:hAnsi="仿宋" w:eastAsia="仿宋"/>
          <w:sz w:val="32"/>
          <w:szCs w:val="32"/>
        </w:rPr>
        <w:t>。</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sz w:val="32"/>
        </w:rPr>
        <w:t>1)完成情况</w:t>
      </w:r>
      <w:r>
        <w:rPr>
          <w:rFonts w:ascii="仿宋" w:hAnsi="仿宋" w:eastAsia="仿宋" w:cs="仿宋"/>
          <w:sz w:val="32"/>
        </w:rPr>
        <w:t>(无)，目标值完成，完成值完成，分值10，得分10</w:t>
      </w:r>
      <w:r>
        <w:rPr>
          <w:rFonts w:hint="eastAsia" w:ascii="仿宋" w:hAnsi="仿宋" w:eastAsia="仿宋"/>
          <w:sz w:val="32"/>
          <w:szCs w:val="32"/>
        </w:rPr>
        <w:t>。</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sz w:val="32"/>
        </w:rPr>
        <w:t>1)生态环境明显改善（是/否）</w:t>
      </w:r>
      <w:r>
        <w:rPr>
          <w:rFonts w:ascii="仿宋" w:hAnsi="仿宋" w:eastAsia="仿宋" w:cs="仿宋"/>
          <w:sz w:val="32"/>
        </w:rPr>
        <w:t>(无)，目标值是，完成值明显，分值30，得分30</w:t>
      </w:r>
      <w:r>
        <w:rPr>
          <w:rFonts w:hint="eastAsia" w:ascii="仿宋" w:hAnsi="仿宋" w:eastAsia="仿宋"/>
          <w:sz w:val="32"/>
          <w:szCs w:val="32"/>
        </w:rPr>
        <w:t>。</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1a9298b3"/>
        <w:spacing w:line="620" w:lineRule="exact"/>
        <w:ind w:left="420" w:leftChars="200"/>
        <w:rPr>
          <w:rFonts w:ascii="仿宋" w:hAnsi="仿宋" w:eastAsia="仿宋"/>
          <w:sz w:val="32"/>
          <w:szCs w:val="32"/>
        </w:rPr>
      </w:pPr>
      <w:r>
        <w:rPr>
          <w:rFonts w:ascii="仿宋_GB2312" w:hAnsi="仿宋_GB2312" w:eastAsia="仿宋_GB2312" w:cs="仿宋_GB2312"/>
          <w:sz w:val="32"/>
        </w:rPr>
        <w:t>1)</w:t>
      </w:r>
      <w:r>
        <w:rPr>
          <w:rFonts w:ascii="仿宋_GB2312" w:hAnsi="仿宋_GB2312" w:eastAsia="仿宋_GB2312" w:cs="仿宋_GB2312"/>
          <w:sz w:val="32"/>
        </w:rPr>
        <w:tab/>
      </w:r>
      <w:r>
        <w:rPr>
          <w:rFonts w:ascii="仿宋_GB2312" w:hAnsi="仿宋_GB2312" w:eastAsia="仿宋_GB2312" w:cs="仿宋_GB2312"/>
          <w:sz w:val="32"/>
        </w:rPr>
        <w:cr/>
      </w:r>
      <w:r>
        <w:rPr>
          <w:rFonts w:ascii="仿宋_GB2312" w:hAnsi="仿宋_GB2312" w:eastAsia="仿宋_GB2312" w:cs="仿宋_GB2312"/>
          <w:sz w:val="32"/>
        </w:rPr>
        <w:t>服务对象满意度</w:t>
      </w:r>
      <w:r>
        <w:rPr>
          <w:rFonts w:ascii="仿宋" w:hAnsi="仿宋" w:eastAsia="仿宋" w:cs="仿宋"/>
          <w:sz w:val="32"/>
        </w:rPr>
        <w:t>(%)，目标值90，完成值90，分值10，得分10</w:t>
      </w:r>
      <w:r>
        <w:rPr>
          <w:rFonts w:hint="eastAsia" w:ascii="仿宋" w:hAnsi="仿宋" w:eastAsia="仿宋"/>
          <w:sz w:val="32"/>
          <w:szCs w:val="32"/>
        </w:rPr>
        <w:t>。</w:t>
      </w:r>
    </w:p>
    <w:p>
      <w:pPr>
        <w:pStyle w:val="1a9298b3"/>
        <w:tabs>
          <w:tab w:val="left" w:pos="2244"/>
        </w:tabs>
        <w:spacing w:line="620" w:lineRule="exact"/>
        <w:ind w:left="1890" w:leftChars="900"/>
        <w:rPr>
          <w:rFonts w:ascii="仿宋" w:hAnsi="仿宋" w:eastAsia="仿宋"/>
          <w:b/>
          <w:color w:val="FF0000"/>
          <w:sz w:val="32"/>
          <w:szCs w:val="32"/>
        </w:rPr>
      </w:pPr>
    </w:p>
    <w:p>
      <w:pPr>
        <w:pStyle w:val="1a9298b3"/>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1a9298b3"/>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1a9298b3"/>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1a9298b3"/>
        <w:ind w:left="840" w:firstLine="420"/>
        <w:sectPr>
          <w:type w:val="continuous"/>
          <w:pgSz w:w="11907" w:h="16840"/>
        </w:sectPr>
      </w:pPr>
    </w:p>
    <w:p>
      <w:pPr>
        <w:pageBreakBefore w:val="true"/>
      </w:pPr>
    </w:p>
    <w:p>
      <w:pPr>
        <w:pStyle w:val="914ef9b0"/>
        <w:rPr>
          <w:rFonts w:ascii="仿宋" w:hAnsi="仿宋" w:eastAsia="仿宋"/>
          <w:sz w:val="32"/>
          <w:szCs w:val="32"/>
        </w:rPr>
      </w:pPr>
    </w:p>
    <w:p>
      <w:pPr>
        <w:pStyle w:val="914ef9b0"/>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914ef9b0"/>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泉财农指〔2024〕53号，2024年泉州市级财政现代林业经济专项资金（第一批）：品牌创建</w:t>
      </w:r>
      <w:r>
        <w:rPr>
          <w:rFonts w:hint="eastAsia" w:ascii="仿宋" w:hAnsi="仿宋" w:eastAsia="仿宋"/>
          <w:sz w:val="32"/>
          <w:szCs w:val="32"/>
        </w:rPr>
        <w:t>）</w:t>
      </w:r>
    </w:p>
    <w:p>
      <w:pPr>
        <w:pStyle w:val="914ef9b0"/>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914ef9b0"/>
        <w:ind w:firstLine="643" w:firstLineChars="200"/>
        <w:rPr>
          <w:rFonts w:ascii="仿宋" w:hAnsi="仿宋" w:eastAsia="仿宋"/>
          <w:sz w:val="32"/>
          <w:szCs w:val="32"/>
        </w:rPr>
      </w:pPr>
      <w:r>
        <w:rPr>
          <w:rFonts w:hint="eastAsia" w:ascii="仿宋" w:hAnsi="仿宋" w:eastAsia="仿宋"/>
          <w:b/>
          <w:sz w:val="32"/>
          <w:szCs w:val="32"/>
        </w:rPr>
        <w:t>（一）项目概况</w:t>
      </w:r>
    </w:p>
    <w:p>
      <w:pPr>
        <w:pStyle w:val="914ef9b0"/>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914ef9b0"/>
        <w:ind w:firstLine="643" w:firstLineChars="200"/>
        <w:rPr>
          <w:rFonts w:ascii="仿宋" w:hAnsi="仿宋" w:eastAsia="仿宋"/>
          <w:sz w:val="32"/>
          <w:szCs w:val="32"/>
        </w:rPr>
      </w:pPr>
      <w:r>
        <w:rPr>
          <w:rFonts w:hint="eastAsia" w:ascii="仿宋" w:hAnsi="仿宋" w:eastAsia="仿宋"/>
          <w:b/>
          <w:sz w:val="32"/>
          <w:szCs w:val="32"/>
        </w:rPr>
        <w:t>（二）主要成效</w:t>
      </w:r>
    </w:p>
    <w:p>
      <w:pPr>
        <w:pStyle w:val="914ef9b0"/>
        <w:ind w:firstLine="1472" w:firstLineChars="460"/>
        <w:rPr>
          <w:rFonts w:ascii="仿宋" w:hAnsi="仿宋" w:eastAsia="仿宋"/>
          <w:sz w:val="32"/>
          <w:szCs w:val="32"/>
        </w:rPr>
      </w:pPr>
    </w:p>
    <w:p>
      <w:pPr>
        <w:pStyle w:val="914ef9b0"/>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914ef9b0"/>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sz w:val="32"/>
        </w:rPr>
        <w:t>1)财政投入资金</w:t>
      </w:r>
      <w:r>
        <w:rPr>
          <w:rFonts w:ascii="仿宋" w:hAnsi="仿宋" w:eastAsia="仿宋" w:cs="仿宋"/>
          <w:sz w:val="32"/>
        </w:rPr>
        <w:t>(万元)，目标值4，完成值4，分值10，得分10</w:t>
      </w:r>
      <w:r>
        <w:rPr>
          <w:rFonts w:hint="eastAsia" w:ascii="仿宋" w:hAnsi="仿宋" w:eastAsia="仿宋"/>
          <w:sz w:val="32"/>
          <w:szCs w:val="32"/>
        </w:rPr>
        <w:t>。</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sz w:val="32"/>
        </w:rPr>
        <w:t>1)新增品牌数量个数</w:t>
      </w:r>
      <w:r>
        <w:rPr>
          <w:rFonts w:ascii="仿宋" w:hAnsi="仿宋" w:eastAsia="仿宋" w:cs="仿宋"/>
          <w:sz w:val="32"/>
        </w:rPr>
        <w:t>(个)，目标值2，完成值2，分值20，得分20</w:t>
      </w:r>
      <w:r>
        <w:rPr>
          <w:rFonts w:hint="eastAsia" w:ascii="仿宋" w:hAnsi="仿宋" w:eastAsia="仿宋"/>
          <w:sz w:val="32"/>
          <w:szCs w:val="32"/>
        </w:rPr>
        <w:t>。</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sz w:val="32"/>
        </w:rPr>
        <w:t>1)产业规模提升</w:t>
      </w:r>
      <w:r>
        <w:rPr>
          <w:rFonts w:ascii="仿宋" w:hAnsi="仿宋" w:eastAsia="仿宋" w:cs="仿宋"/>
          <w:sz w:val="32"/>
        </w:rPr>
        <w:t>(无)，目标值有效提升，完成值有效提升，分值10，得分10</w:t>
      </w:r>
      <w:r>
        <w:rPr>
          <w:rFonts w:hint="eastAsia" w:ascii="仿宋" w:hAnsi="仿宋" w:eastAsia="仿宋"/>
          <w:sz w:val="32"/>
          <w:szCs w:val="32"/>
        </w:rPr>
        <w:t>。</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sz w:val="32"/>
        </w:rPr>
        <w:t>1)上级下达任务完成率</w:t>
      </w:r>
      <w:r>
        <w:rPr>
          <w:rFonts w:ascii="仿宋" w:hAnsi="仿宋" w:eastAsia="仿宋" w:cs="仿宋"/>
          <w:sz w:val="32"/>
        </w:rPr>
        <w:t>(无)，目标值完成，完成值完成，分值10，得分10</w:t>
      </w:r>
      <w:r>
        <w:rPr>
          <w:rFonts w:hint="eastAsia" w:ascii="仿宋" w:hAnsi="仿宋" w:eastAsia="仿宋"/>
          <w:sz w:val="32"/>
          <w:szCs w:val="32"/>
        </w:rPr>
        <w:t>。</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sz w:val="32"/>
        </w:rPr>
        <w:t>1)提高生产技术水平（是/否）</w:t>
      </w:r>
      <w:r>
        <w:rPr>
          <w:rFonts w:ascii="仿宋" w:hAnsi="仿宋" w:eastAsia="仿宋" w:cs="仿宋"/>
          <w:sz w:val="32"/>
        </w:rPr>
        <w:t>(无)，目标值是，完成值是，分值30，得分30</w:t>
      </w:r>
      <w:r>
        <w:rPr>
          <w:rFonts w:hint="eastAsia" w:ascii="仿宋" w:hAnsi="仿宋" w:eastAsia="仿宋"/>
          <w:sz w:val="32"/>
          <w:szCs w:val="32"/>
        </w:rPr>
        <w:t>。</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914ef9b0"/>
        <w:spacing w:line="620" w:lineRule="exact"/>
        <w:ind w:left="420" w:leftChars="200"/>
        <w:rPr>
          <w:rFonts w:ascii="仿宋" w:hAnsi="仿宋" w:eastAsia="仿宋"/>
          <w:sz w:val="32"/>
          <w:szCs w:val="32"/>
        </w:rPr>
      </w:pPr>
      <w:r>
        <w:rPr>
          <w:rFonts w:ascii="仿宋_GB2312" w:hAnsi="仿宋_GB2312" w:eastAsia="仿宋_GB2312" w:cs="仿宋_GB2312"/>
          <w:sz w:val="32"/>
        </w:rPr>
        <w:t>1)</w:t>
      </w:r>
      <w:r>
        <w:rPr>
          <w:rFonts w:ascii="仿宋_GB2312" w:hAnsi="仿宋_GB2312" w:eastAsia="仿宋_GB2312" w:cs="仿宋_GB2312"/>
          <w:sz w:val="32"/>
        </w:rPr>
        <w:tab/>
      </w:r>
      <w:r>
        <w:rPr>
          <w:rFonts w:ascii="仿宋_GB2312" w:hAnsi="仿宋_GB2312" w:eastAsia="仿宋_GB2312" w:cs="仿宋_GB2312"/>
          <w:sz w:val="32"/>
        </w:rPr>
        <w:cr/>
      </w:r>
      <w:r>
        <w:rPr>
          <w:rFonts w:ascii="仿宋_GB2312" w:hAnsi="仿宋_GB2312" w:eastAsia="仿宋_GB2312" w:cs="仿宋_GB2312"/>
          <w:sz w:val="32"/>
        </w:rPr>
        <w:t>服务对象满意度</w:t>
      </w:r>
      <w:r>
        <w:rPr>
          <w:rFonts w:ascii="仿宋" w:hAnsi="仿宋" w:eastAsia="仿宋" w:cs="仿宋"/>
          <w:sz w:val="32"/>
        </w:rPr>
        <w:t>(%)，目标值90，完成值90，分值10，得分10</w:t>
      </w:r>
      <w:r>
        <w:rPr>
          <w:rFonts w:hint="eastAsia" w:ascii="仿宋" w:hAnsi="仿宋" w:eastAsia="仿宋"/>
          <w:sz w:val="32"/>
          <w:szCs w:val="32"/>
        </w:rPr>
        <w:t>。</w:t>
      </w:r>
    </w:p>
    <w:p>
      <w:pPr>
        <w:pStyle w:val="914ef9b0"/>
        <w:tabs>
          <w:tab w:val="left" w:pos="2244"/>
        </w:tabs>
        <w:spacing w:line="620" w:lineRule="exact"/>
        <w:ind w:left="1890" w:leftChars="900"/>
        <w:rPr>
          <w:rFonts w:ascii="仿宋" w:hAnsi="仿宋" w:eastAsia="仿宋"/>
          <w:b/>
          <w:color w:val="FF0000"/>
          <w:sz w:val="32"/>
          <w:szCs w:val="32"/>
        </w:rPr>
      </w:pPr>
    </w:p>
    <w:p>
      <w:pPr>
        <w:pStyle w:val="914ef9b0"/>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914ef9b0"/>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914ef9b0"/>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914ef9b0"/>
        <w:ind w:left="840" w:firstLine="420"/>
        <w:sectPr>
          <w:type w:val="continuous"/>
          <w:pgSz w:w="11907" w:h="16840"/>
        </w:sectPr>
      </w:pPr>
    </w:p>
    <w:p>
      <w:pPr>
        <w:pageBreakBefore w:val="true"/>
      </w:pPr>
    </w:p>
    <w:p>
      <w:pPr>
        <w:pStyle w:val="009d4280"/>
        <w:rPr>
          <w:rFonts w:ascii="仿宋" w:hAnsi="仿宋" w:eastAsia="仿宋"/>
          <w:sz w:val="32"/>
          <w:szCs w:val="32"/>
        </w:rPr>
      </w:pPr>
    </w:p>
    <w:p>
      <w:pPr>
        <w:pStyle w:val="009d4280"/>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bookmarkStart w:id="0" w:name="_GoBack"/>
      <w:bookmarkEnd w:id="0"/>
      <w:r>
        <w:rPr>
          <w:rFonts w:ascii="宋体" w:hAnsi="宋体" w:eastAsia="宋体" w:cs="宋体"/>
          <w:b/>
          <w:sz w:val="44"/>
        </w:rPr>
        <w:t>报告</w:t>
      </w:r>
    </w:p>
    <w:p>
      <w:pPr>
        <w:pStyle w:val="009d4280"/>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历史遗留废弃矿山生态修复先行区项目</w:t>
      </w:r>
      <w:r>
        <w:rPr>
          <w:rFonts w:hint="eastAsia" w:ascii="仿宋" w:hAnsi="仿宋" w:eastAsia="仿宋"/>
          <w:sz w:val="32"/>
          <w:szCs w:val="32"/>
        </w:rPr>
        <w:t>）</w:t>
      </w:r>
    </w:p>
    <w:p>
      <w:pPr>
        <w:pStyle w:val="009d4280"/>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009d4280"/>
        <w:ind w:firstLine="643" w:firstLineChars="200"/>
        <w:rPr>
          <w:rFonts w:ascii="仿宋" w:hAnsi="仿宋" w:eastAsia="仿宋"/>
          <w:sz w:val="32"/>
          <w:szCs w:val="32"/>
        </w:rPr>
      </w:pPr>
      <w:r>
        <w:rPr>
          <w:rFonts w:hint="eastAsia" w:ascii="仿宋" w:hAnsi="仿宋" w:eastAsia="仿宋"/>
          <w:b/>
          <w:sz w:val="32"/>
          <w:szCs w:val="32"/>
        </w:rPr>
        <w:t>（一）项目概况</w:t>
      </w:r>
    </w:p>
    <w:p>
      <w:pPr>
        <w:pStyle w:val="009d4280"/>
        <w:ind w:firstLine="1472" w:firstLineChars="460"/>
        <w:rPr>
          <w:rFonts w:ascii="仿宋" w:hAnsi="仿宋" w:eastAsia="仿宋"/>
          <w:sz w:val="32"/>
          <w:szCs w:val="32"/>
        </w:rPr>
      </w:pPr>
      <w:r>
        <w:rPr>
          <w:rFonts w:hint="eastAsia" w:ascii="仿宋" w:hAnsi="仿宋" w:eastAsia="仿宋"/>
          <w:sz w:val="32"/>
          <w:szCs w:val="32"/>
        </w:rPr>
        <w:t>完成丰州、柳城、官桥废弃矿山先行区生态修复工作。</w:t>
      </w:r>
      <w:r>
        <w:rPr>
          <w:rFonts w:ascii="仿宋" w:hAnsi="仿宋" w:eastAsia="仿宋" w:cs="仿宋"/>
          <w:sz w:val="32"/>
        </w:rPr>
        <w:t xml:space="preserve"> </w:t>
      </w:r>
    </w:p>
    <w:p>
      <w:pPr>
        <w:pStyle w:val="009d4280"/>
        <w:ind w:firstLine="643" w:firstLineChars="200"/>
        <w:rPr>
          <w:rFonts w:ascii="仿宋" w:hAnsi="仿宋" w:eastAsia="仿宋"/>
          <w:sz w:val="32"/>
          <w:szCs w:val="32"/>
        </w:rPr>
      </w:pPr>
      <w:r>
        <w:rPr>
          <w:rFonts w:hint="eastAsia" w:ascii="仿宋" w:hAnsi="仿宋" w:eastAsia="仿宋"/>
          <w:b/>
          <w:sz w:val="32"/>
          <w:szCs w:val="32"/>
        </w:rPr>
        <w:t>（二）主要成效</w:t>
      </w:r>
    </w:p>
    <w:p>
      <w:pPr>
        <w:pStyle w:val="009d4280"/>
        <w:ind w:firstLine="1472" w:firstLineChars="460"/>
        <w:rPr>
          <w:rFonts w:ascii="仿宋" w:hAnsi="仿宋" w:eastAsia="仿宋"/>
          <w:sz w:val="32"/>
          <w:szCs w:val="32"/>
        </w:rPr>
      </w:pPr>
    </w:p>
    <w:p>
      <w:pPr>
        <w:pStyle w:val="009d4280"/>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009d4280"/>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90分，等级为优，设置绩效目标9个，实际完成9个，具体情况如下：</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sz w:val="32"/>
        </w:rPr>
        <w:t>1)项目成本控制</w:t>
      </w:r>
      <w:r>
        <w:rPr>
          <w:rFonts w:ascii="仿宋" w:hAnsi="仿宋" w:eastAsia="仿宋" w:cs="仿宋"/>
          <w:sz w:val="32"/>
        </w:rPr>
        <w:t>(万)，目标值358，完成值358，分值5，得分5</w:t>
      </w:r>
      <w:r>
        <w:rPr>
          <w:rFonts w:hint="eastAsia" w:ascii="仿宋" w:hAnsi="仿宋" w:eastAsia="仿宋"/>
          <w:sz w:val="32"/>
          <w:szCs w:val="32"/>
        </w:rPr>
        <w:t>。</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sz w:val="32"/>
        </w:rPr>
        <w:t>1)修复情况</w:t>
      </w:r>
      <w:r>
        <w:rPr>
          <w:rFonts w:ascii="仿宋" w:hAnsi="仿宋" w:eastAsia="仿宋" w:cs="仿宋"/>
          <w:sz w:val="32"/>
        </w:rPr>
        <w:t>(无)，目标值明显，完成值明显，分值5，得分5</w:t>
      </w:r>
      <w:r>
        <w:rPr>
          <w:rFonts w:hint="eastAsia" w:ascii="仿宋" w:hAnsi="仿宋" w:eastAsia="仿宋"/>
          <w:sz w:val="32"/>
          <w:szCs w:val="32"/>
        </w:rPr>
        <w:t>。</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sz w:val="32"/>
        </w:rPr>
        <w:t>1)完成修复数</w:t>
      </w:r>
      <w:r>
        <w:rPr>
          <w:rFonts w:ascii="仿宋" w:hAnsi="仿宋" w:eastAsia="仿宋" w:cs="仿宋"/>
          <w:sz w:val="32"/>
        </w:rPr>
        <w:t>(亩)，目标值800，完成值800，分值10，得分10</w:t>
      </w:r>
      <w:r>
        <w:rPr>
          <w:rFonts w:hint="eastAsia" w:ascii="仿宋" w:hAnsi="仿宋" w:eastAsia="仿宋"/>
          <w:sz w:val="32"/>
          <w:szCs w:val="32"/>
        </w:rPr>
        <w:t>。</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sz w:val="32"/>
        </w:rPr>
        <w:t>1)项目验收合格情况</w:t>
      </w:r>
      <w:r>
        <w:rPr>
          <w:rFonts w:ascii="仿宋" w:hAnsi="仿宋" w:eastAsia="仿宋" w:cs="仿宋"/>
          <w:sz w:val="32"/>
        </w:rPr>
        <w:t>(无)，目标值合格，完成值合格，分值10，得分10</w:t>
      </w:r>
      <w:r>
        <w:rPr>
          <w:rFonts w:hint="eastAsia" w:ascii="仿宋" w:hAnsi="仿宋" w:eastAsia="仿宋"/>
          <w:sz w:val="32"/>
          <w:szCs w:val="32"/>
        </w:rPr>
        <w:t>。</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sz w:val="32"/>
        </w:rPr>
        <w:t>2)造林成活率</w:t>
      </w:r>
      <w:r>
        <w:rPr>
          <w:rFonts w:ascii="仿宋" w:hAnsi="仿宋" w:eastAsia="仿宋" w:cs="仿宋"/>
          <w:sz w:val="32"/>
        </w:rPr>
        <w:t>(%)，目标值85，完成值85，分值10，得分10</w:t>
      </w:r>
      <w:r>
        <w:rPr>
          <w:rFonts w:hint="eastAsia" w:ascii="仿宋" w:hAnsi="仿宋" w:eastAsia="仿宋"/>
          <w:sz w:val="32"/>
          <w:szCs w:val="32"/>
        </w:rPr>
        <w:t>。</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sz w:val="32"/>
        </w:rPr>
        <w:t>1)植苗完成时效</w:t>
      </w:r>
      <w:r>
        <w:rPr>
          <w:rFonts w:ascii="仿宋" w:hAnsi="仿宋" w:eastAsia="仿宋" w:cs="仿宋"/>
          <w:sz w:val="32"/>
        </w:rPr>
        <w:t>(个月)，目标值10，完成值10，分值10，得分10</w:t>
      </w:r>
      <w:r>
        <w:rPr>
          <w:rFonts w:hint="eastAsia" w:ascii="仿宋" w:hAnsi="仿宋" w:eastAsia="仿宋"/>
          <w:sz w:val="32"/>
          <w:szCs w:val="32"/>
        </w:rPr>
        <w:t>。</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sz w:val="32"/>
        </w:rPr>
        <w:t>1)受益乡镇个数</w:t>
      </w:r>
      <w:r>
        <w:rPr>
          <w:rFonts w:ascii="仿宋" w:hAnsi="仿宋" w:eastAsia="仿宋" w:cs="仿宋"/>
          <w:sz w:val="32"/>
        </w:rPr>
        <w:t>(个)，目标值3，完成值3，分值20，得分20</w:t>
      </w:r>
      <w:r>
        <w:rPr>
          <w:rFonts w:hint="eastAsia" w:ascii="仿宋" w:hAnsi="仿宋" w:eastAsia="仿宋"/>
          <w:sz w:val="32"/>
          <w:szCs w:val="32"/>
        </w:rPr>
        <w:t>。</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sz w:val="32"/>
        </w:rPr>
        <w:t>1)"生态环境可持续发展</w:t>
      </w:r>
      <w:r>
        <w:rPr>
          <w:rFonts w:ascii="仿宋_GB2312" w:hAnsi="仿宋_GB2312" w:eastAsia="仿宋_GB2312" w:cs="仿宋_GB2312"/>
          <w:sz w:val="32"/>
        </w:rPr>
        <w:cr/>
      </w:r>
      <w:r>
        <w:rPr>
          <w:rFonts w:ascii="仿宋_GB2312" w:hAnsi="仿宋_GB2312" w:eastAsia="仿宋_GB2312" w:cs="仿宋_GB2312"/>
          <w:sz w:val="32"/>
        </w:rPr>
        <w:t>"</w:t>
      </w:r>
      <w:r>
        <w:rPr>
          <w:rFonts w:ascii="仿宋_GB2312" w:hAnsi="仿宋_GB2312" w:eastAsia="仿宋_GB2312" w:cs="仿宋_GB2312"/>
          <w:sz w:val="32"/>
        </w:rPr>
        <w:cr/>
      </w:r>
      <w:r>
        <w:rPr>
          <w:rFonts w:ascii="仿宋" w:hAnsi="仿宋" w:eastAsia="仿宋" w:cs="仿宋"/>
          <w:sz w:val="32"/>
        </w:rPr>
        <w:t>(无)，目标值明显，完成值明显，分值10，得分10</w:t>
      </w:r>
      <w:r>
        <w:rPr>
          <w:rFonts w:hint="eastAsia" w:ascii="仿宋" w:hAnsi="仿宋" w:eastAsia="仿宋"/>
          <w:sz w:val="32"/>
          <w:szCs w:val="32"/>
        </w:rPr>
        <w:t>。</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009d4280"/>
        <w:spacing w:line="620" w:lineRule="exact"/>
        <w:ind w:left="420" w:leftChars="200"/>
        <w:rPr>
          <w:rFonts w:ascii="仿宋" w:hAnsi="仿宋" w:eastAsia="仿宋"/>
          <w:sz w:val="32"/>
          <w:szCs w:val="32"/>
        </w:rPr>
      </w:pPr>
      <w:r>
        <w:rPr>
          <w:rFonts w:ascii="仿宋_GB2312" w:hAnsi="仿宋_GB2312" w:eastAsia="仿宋_GB2312" w:cs="仿宋_GB2312"/>
          <w:sz w:val="32"/>
        </w:rPr>
        <w:t>1)社会群众对造林绿化满意度</w:t>
      </w:r>
      <w:r>
        <w:rPr>
          <w:rFonts w:ascii="仿宋_GB2312" w:hAnsi="仿宋_GB2312" w:eastAsia="仿宋_GB2312" w:cs="仿宋_GB2312"/>
          <w:sz w:val="32"/>
        </w:rPr>
        <w:cr/>
      </w:r>
      <w:r>
        <w:rPr>
          <w:rFonts w:ascii="仿宋" w:hAnsi="仿宋" w:eastAsia="仿宋" w:cs="仿宋"/>
          <w:sz w:val="32"/>
        </w:rPr>
        <w:t>(%)，目标值90，完成值90，分值10，得分10</w:t>
      </w:r>
      <w:r>
        <w:rPr>
          <w:rFonts w:hint="eastAsia" w:ascii="仿宋" w:hAnsi="仿宋" w:eastAsia="仿宋"/>
          <w:sz w:val="32"/>
          <w:szCs w:val="32"/>
        </w:rPr>
        <w:t>。</w:t>
      </w:r>
    </w:p>
    <w:p>
      <w:pPr>
        <w:pStyle w:val="009d4280"/>
        <w:tabs>
          <w:tab w:val="left" w:pos="2244"/>
        </w:tabs>
        <w:spacing w:line="620" w:lineRule="exact"/>
        <w:ind w:left="1890" w:leftChars="900"/>
        <w:rPr>
          <w:rFonts w:ascii="仿宋" w:hAnsi="仿宋" w:eastAsia="仿宋"/>
          <w:b/>
          <w:color w:val="FF0000"/>
          <w:sz w:val="32"/>
          <w:szCs w:val="32"/>
        </w:rPr>
      </w:pPr>
    </w:p>
    <w:p>
      <w:pPr>
        <w:pStyle w:val="009d4280"/>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009d4280"/>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009d4280"/>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009d4280"/>
        <w:ind w:left="840" w:firstLine="420"/>
        <w:sectPr>
          <w:type w:val="continuous"/>
          <w:pgSz w:w="11907" w:h="16840"/>
        </w:sectPr>
      </w:pPr>
    </w:p>
    <w:p>
      <w:pPr>
        <w:pageBreakBefore w:val="true"/>
      </w:pPr>
    </w:p>
    <w:p>
      <w:pPr>
        <w:pStyle w:val="eba9dab1"/>
        <w:rPr>
          <w:rFonts w:ascii="仿宋" w:hAnsi="仿宋" w:eastAsia="仿宋"/>
          <w:sz w:val="32"/>
          <w:szCs w:val="32"/>
        </w:rPr>
      </w:pPr>
      <w:bookmarkStart w:id="0" w:name="_GoBack"/>
      <w:bookmarkEnd w:id="0"/>
    </w:p>
    <w:p>
      <w:pPr>
        <w:pStyle w:val="eba9dab1"/>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r>
        <w:rPr>
          <w:rFonts w:ascii="宋体" w:hAnsi="宋体" w:eastAsia="宋体" w:cs="宋体"/>
          <w:b/>
          <w:sz w:val="44"/>
        </w:rPr>
        <w:t>报告</w:t>
      </w:r>
    </w:p>
    <w:p>
      <w:pPr>
        <w:pStyle w:val="eba9dab1"/>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闽财资环指〔2025〕17号，2025年天然商品林停伐管护补助及生态效益补偿资金</w:t>
      </w:r>
      <w:r>
        <w:rPr>
          <w:rFonts w:hint="eastAsia" w:ascii="仿宋" w:hAnsi="仿宋" w:eastAsia="仿宋"/>
          <w:sz w:val="32"/>
          <w:szCs w:val="32"/>
        </w:rPr>
        <w:t>）</w:t>
      </w:r>
    </w:p>
    <w:p>
      <w:pPr>
        <w:pStyle w:val="eba9dab1"/>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eba9dab1"/>
        <w:ind w:firstLine="643" w:firstLineChars="200"/>
        <w:rPr>
          <w:rFonts w:ascii="仿宋" w:hAnsi="仿宋" w:eastAsia="仿宋"/>
          <w:sz w:val="32"/>
          <w:szCs w:val="32"/>
        </w:rPr>
      </w:pPr>
      <w:r>
        <w:rPr>
          <w:rFonts w:hint="eastAsia" w:ascii="仿宋" w:hAnsi="仿宋" w:eastAsia="仿宋"/>
          <w:b/>
          <w:sz w:val="32"/>
          <w:szCs w:val="32"/>
        </w:rPr>
        <w:t>（一）项目概况</w:t>
      </w:r>
    </w:p>
    <w:p>
      <w:pPr>
        <w:pStyle w:val="eba9dab1"/>
        <w:ind w:firstLine="1472" w:firstLineChars="460"/>
        <w:rPr>
          <w:rFonts w:ascii="仿宋" w:hAnsi="仿宋" w:eastAsia="仿宋"/>
          <w:sz w:val="32"/>
          <w:szCs w:val="32"/>
        </w:rPr>
      </w:pPr>
      <w:r>
        <w:rPr>
          <w:rFonts w:hint="eastAsia" w:ascii="仿宋" w:hAnsi="仿宋" w:eastAsia="仿宋"/>
          <w:sz w:val="32"/>
          <w:szCs w:val="32"/>
        </w:rPr>
        <w:t>天然商品林停伐管护补助资金125500元，森林生态效益补偿资金11775元。</w:t>
      </w:r>
      <w:r>
        <w:rPr>
          <w:rFonts w:ascii="仿宋" w:hAnsi="仿宋" w:eastAsia="仿宋" w:cs="仿宋"/>
          <w:sz w:val="32"/>
        </w:rPr>
        <w:t xml:space="preserve"> </w:t>
      </w:r>
    </w:p>
    <w:p>
      <w:pPr>
        <w:pStyle w:val="eba9dab1"/>
        <w:ind w:firstLine="643" w:firstLineChars="200"/>
        <w:rPr>
          <w:rFonts w:ascii="仿宋" w:hAnsi="仿宋" w:eastAsia="仿宋"/>
          <w:sz w:val="32"/>
          <w:szCs w:val="32"/>
        </w:rPr>
      </w:pPr>
      <w:r>
        <w:rPr>
          <w:rFonts w:hint="eastAsia" w:ascii="仿宋" w:hAnsi="仿宋" w:eastAsia="仿宋"/>
          <w:b/>
          <w:sz w:val="32"/>
          <w:szCs w:val="32"/>
        </w:rPr>
        <w:t>（二）主要成效</w:t>
      </w:r>
    </w:p>
    <w:p>
      <w:pPr>
        <w:pStyle w:val="eba9dab1"/>
        <w:ind w:firstLine="1472" w:firstLineChars="460"/>
        <w:rPr>
          <w:rFonts w:ascii="仿宋" w:hAnsi="仿宋" w:eastAsia="仿宋"/>
          <w:sz w:val="32"/>
          <w:szCs w:val="32"/>
        </w:rPr>
      </w:pPr>
    </w:p>
    <w:p>
      <w:pPr>
        <w:pStyle w:val="eba9dab1"/>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eba9dab1"/>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sz w:val="32"/>
        </w:rPr>
        <w:t>1)天然商品林补偿标准（元/亩）</w:t>
      </w:r>
      <w:r>
        <w:rPr>
          <w:rFonts w:ascii="仿宋" w:hAnsi="仿宋" w:eastAsia="仿宋" w:cs="仿宋"/>
          <w:sz w:val="32"/>
        </w:rPr>
        <w:t>(元/亩)，目标值23，完成值23，分值10，得分10</w:t>
      </w:r>
      <w:r>
        <w:rPr>
          <w:rFonts w:hint="eastAsia" w:ascii="仿宋" w:hAnsi="仿宋" w:eastAsia="仿宋"/>
          <w:sz w:val="32"/>
          <w:szCs w:val="32"/>
        </w:rPr>
        <w:t>。</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sz w:val="32"/>
        </w:rPr>
        <w:t>1)天然商品林管护面积</w:t>
      </w:r>
      <w:r>
        <w:rPr>
          <w:rFonts w:ascii="仿宋" w:hAnsi="仿宋" w:eastAsia="仿宋" w:cs="仿宋"/>
          <w:sz w:val="32"/>
        </w:rPr>
        <w:t>(万亩)，目标值12.9062，完成值12.9062，分值20，得分20</w:t>
      </w:r>
      <w:r>
        <w:rPr>
          <w:rFonts w:hint="eastAsia" w:ascii="仿宋" w:hAnsi="仿宋" w:eastAsia="仿宋"/>
          <w:sz w:val="32"/>
          <w:szCs w:val="32"/>
        </w:rPr>
        <w:t>。</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sz w:val="32"/>
        </w:rPr>
        <w:t>1)森林资源管护责任落实率%</w:t>
      </w:r>
      <w:r>
        <w:rPr>
          <w:rFonts w:ascii="仿宋" w:hAnsi="仿宋" w:eastAsia="仿宋" w:cs="仿宋"/>
          <w:sz w:val="32"/>
        </w:rPr>
        <w:t>(%)，目标值100，完成值100，分值10，得分10</w:t>
      </w:r>
      <w:r>
        <w:rPr>
          <w:rFonts w:hint="eastAsia" w:ascii="仿宋" w:hAnsi="仿宋" w:eastAsia="仿宋"/>
          <w:sz w:val="32"/>
          <w:szCs w:val="32"/>
        </w:rPr>
        <w:t>。</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sz w:val="32"/>
        </w:rPr>
        <w:t>1)预算执行率</w:t>
      </w:r>
      <w:r>
        <w:rPr>
          <w:rFonts w:ascii="仿宋" w:hAnsi="仿宋" w:eastAsia="仿宋" w:cs="仿宋"/>
          <w:sz w:val="32"/>
        </w:rPr>
        <w:t>(%)，目标值100，完成值100，分值10，得分10</w:t>
      </w:r>
      <w:r>
        <w:rPr>
          <w:rFonts w:hint="eastAsia" w:ascii="仿宋" w:hAnsi="仿宋" w:eastAsia="仿宋"/>
          <w:sz w:val="32"/>
          <w:szCs w:val="32"/>
        </w:rPr>
        <w:t>。</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sz w:val="32"/>
        </w:rPr>
        <w:t>1)持续发挥生态作用</w:t>
      </w:r>
      <w:r>
        <w:rPr>
          <w:rFonts w:ascii="仿宋" w:hAnsi="仿宋" w:eastAsia="仿宋" w:cs="仿宋"/>
          <w:sz w:val="32"/>
        </w:rPr>
        <w:t>(%)，目标值100，完成值100，分值30，得分30</w:t>
      </w:r>
      <w:r>
        <w:rPr>
          <w:rFonts w:hint="eastAsia" w:ascii="仿宋" w:hAnsi="仿宋" w:eastAsia="仿宋"/>
          <w:sz w:val="32"/>
          <w:szCs w:val="32"/>
        </w:rPr>
        <w:t>。</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eba9dab1"/>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1)服务对象满意度度</w:t>
      </w:r>
      <w:r>
        <w:rPr>
          <w:rFonts w:ascii="仿宋" w:hAnsi="仿宋" w:eastAsia="仿宋" w:cs="仿宋"/>
          <w:sz w:val="32"/>
        </w:rPr>
        <w:t>(%)，目标值90，完成值90，分值10，得分10</w:t>
      </w:r>
      <w:r>
        <w:rPr>
          <w:rFonts w:hint="eastAsia" w:ascii="仿宋" w:hAnsi="仿宋" w:eastAsia="仿宋"/>
          <w:sz w:val="32"/>
          <w:szCs w:val="32"/>
        </w:rPr>
        <w:t>。</w:t>
      </w:r>
    </w:p>
    <w:p>
      <w:pPr>
        <w:pStyle w:val="eba9dab1"/>
        <w:tabs>
          <w:tab w:val="left" w:pos="2244"/>
        </w:tabs>
        <w:spacing w:line="620" w:lineRule="exact"/>
        <w:ind w:left="1890" w:leftChars="900"/>
        <w:rPr>
          <w:rFonts w:ascii="仿宋" w:hAnsi="仿宋" w:eastAsia="仿宋"/>
          <w:b/>
          <w:color w:val="FF0000"/>
          <w:sz w:val="32"/>
          <w:szCs w:val="32"/>
        </w:rPr>
      </w:pPr>
    </w:p>
    <w:p>
      <w:pPr>
        <w:pStyle w:val="eba9dab1"/>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eba9dab1"/>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eba9dab1"/>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eba9dab1"/>
        <w:ind w:left="840" w:firstLine="420"/>
        <w:sectPr>
          <w:type w:val="continuous"/>
          <w:pgSz w:w="11907" w:h="16840"/>
        </w:sectPr>
      </w:pPr>
    </w:p>
    <w:p>
      <w:pPr>
        <w:pageBreakBefore w:val="true"/>
      </w:pPr>
    </w:p>
    <w:p>
      <w:pPr>
        <w:pStyle w:val="407c15f2"/>
        <w:rPr>
          <w:rFonts w:ascii="仿宋" w:hAnsi="仿宋" w:eastAsia="仿宋"/>
          <w:sz w:val="32"/>
          <w:szCs w:val="32"/>
        </w:rPr>
      </w:pPr>
    </w:p>
    <w:p>
      <w:pPr>
        <w:pStyle w:val="407c15f2"/>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407c15f2"/>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泉财农指〔2024〕56号，2024年泉州市级财政森林资源培育与管护专项资金（第一批）：造林绿化—乡村绿化提升</w:t>
      </w:r>
      <w:r>
        <w:rPr>
          <w:rFonts w:hint="eastAsia" w:ascii="仿宋" w:hAnsi="仿宋" w:eastAsia="仿宋"/>
          <w:sz w:val="32"/>
          <w:szCs w:val="32"/>
        </w:rPr>
        <w:t>）</w:t>
      </w:r>
    </w:p>
    <w:p>
      <w:pPr>
        <w:pStyle w:val="407c15f2"/>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407c15f2"/>
        <w:ind w:firstLine="643" w:firstLineChars="200"/>
        <w:rPr>
          <w:rFonts w:ascii="仿宋" w:hAnsi="仿宋" w:eastAsia="仿宋"/>
          <w:sz w:val="32"/>
          <w:szCs w:val="32"/>
        </w:rPr>
      </w:pPr>
      <w:r>
        <w:rPr>
          <w:rFonts w:hint="eastAsia" w:ascii="仿宋" w:hAnsi="仿宋" w:eastAsia="仿宋"/>
          <w:b/>
          <w:sz w:val="32"/>
          <w:szCs w:val="32"/>
        </w:rPr>
        <w:t>（一）项目概况</w:t>
      </w:r>
    </w:p>
    <w:p>
      <w:pPr>
        <w:pStyle w:val="407c15f2"/>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407c15f2"/>
        <w:ind w:firstLine="643" w:firstLineChars="200"/>
        <w:rPr>
          <w:rFonts w:ascii="仿宋" w:hAnsi="仿宋" w:eastAsia="仿宋"/>
          <w:sz w:val="32"/>
          <w:szCs w:val="32"/>
        </w:rPr>
      </w:pPr>
      <w:r>
        <w:rPr>
          <w:rFonts w:hint="eastAsia" w:ascii="仿宋" w:hAnsi="仿宋" w:eastAsia="仿宋"/>
          <w:b/>
          <w:sz w:val="32"/>
          <w:szCs w:val="32"/>
        </w:rPr>
        <w:t>（二）主要成效</w:t>
      </w:r>
    </w:p>
    <w:p>
      <w:pPr>
        <w:pStyle w:val="407c15f2"/>
        <w:ind w:firstLine="1472" w:firstLineChars="460"/>
        <w:rPr>
          <w:rFonts w:ascii="仿宋" w:hAnsi="仿宋" w:eastAsia="仿宋"/>
          <w:sz w:val="32"/>
          <w:szCs w:val="32"/>
        </w:rPr>
      </w:pPr>
    </w:p>
    <w:p>
      <w:pPr>
        <w:pStyle w:val="407c15f2"/>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407c15f2"/>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sz w:val="32"/>
        </w:rPr>
        <w:t>1)项目补助标准（万元/个）</w:t>
      </w:r>
      <w:r>
        <w:rPr>
          <w:rFonts w:ascii="仿宋" w:hAnsi="仿宋" w:eastAsia="仿宋" w:cs="仿宋"/>
          <w:sz w:val="32"/>
        </w:rPr>
        <w:t>(万元/个)，目标值5，完成值5，分值10，得分10</w:t>
      </w:r>
      <w:r>
        <w:rPr>
          <w:rFonts w:hint="eastAsia" w:ascii="仿宋" w:hAnsi="仿宋" w:eastAsia="仿宋"/>
          <w:sz w:val="32"/>
          <w:szCs w:val="32"/>
        </w:rPr>
        <w:t>。</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sz w:val="32"/>
        </w:rPr>
        <w:t>1)乡村绿化提升</w:t>
      </w:r>
      <w:r>
        <w:rPr>
          <w:rFonts w:ascii="仿宋" w:hAnsi="仿宋" w:eastAsia="仿宋" w:cs="仿宋"/>
          <w:sz w:val="32"/>
        </w:rPr>
        <w:t>(万亩)，目标值10，完成值10，分值20，得分20</w:t>
      </w:r>
      <w:r>
        <w:rPr>
          <w:rFonts w:hint="eastAsia" w:ascii="仿宋" w:hAnsi="仿宋" w:eastAsia="仿宋"/>
          <w:sz w:val="32"/>
          <w:szCs w:val="32"/>
        </w:rPr>
        <w:t>。</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sz w:val="32"/>
        </w:rPr>
        <w:t>1)苗木合格</w:t>
      </w:r>
      <w:r>
        <w:rPr>
          <w:rFonts w:ascii="仿宋" w:hAnsi="仿宋" w:eastAsia="仿宋" w:cs="仿宋"/>
          <w:sz w:val="32"/>
        </w:rPr>
        <w:t>(无)，目标值合格，完成值合格，分值10，得分10</w:t>
      </w:r>
      <w:r>
        <w:rPr>
          <w:rFonts w:hint="eastAsia" w:ascii="仿宋" w:hAnsi="仿宋" w:eastAsia="仿宋"/>
          <w:sz w:val="32"/>
          <w:szCs w:val="32"/>
        </w:rPr>
        <w:t>。</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sz w:val="32"/>
        </w:rPr>
        <w:t>1)任务完成率</w:t>
      </w:r>
      <w:r>
        <w:rPr>
          <w:rFonts w:ascii="仿宋" w:hAnsi="仿宋" w:eastAsia="仿宋" w:cs="仿宋"/>
          <w:sz w:val="32"/>
        </w:rPr>
        <w:t>(%)，目标值100，完成值100，分值10，得分10</w:t>
      </w:r>
      <w:r>
        <w:rPr>
          <w:rFonts w:hint="eastAsia" w:ascii="仿宋" w:hAnsi="仿宋" w:eastAsia="仿宋"/>
          <w:sz w:val="32"/>
          <w:szCs w:val="32"/>
        </w:rPr>
        <w:t>。</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sz w:val="32"/>
        </w:rPr>
        <w:t>1)林业政策宣传工作</w:t>
      </w:r>
      <w:r>
        <w:rPr>
          <w:rFonts w:ascii="仿宋" w:hAnsi="仿宋" w:eastAsia="仿宋" w:cs="仿宋"/>
          <w:sz w:val="32"/>
        </w:rPr>
        <w:t>(无)，目标值完成，完成值完成，分值30，得分30</w:t>
      </w:r>
      <w:r>
        <w:rPr>
          <w:rFonts w:hint="eastAsia" w:ascii="仿宋" w:hAnsi="仿宋" w:eastAsia="仿宋"/>
          <w:sz w:val="32"/>
          <w:szCs w:val="32"/>
        </w:rPr>
        <w:t>。</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407c15f2"/>
        <w:spacing w:line="620" w:lineRule="exact"/>
        <w:ind w:left="420" w:leftChars="200"/>
        <w:rPr>
          <w:rFonts w:ascii="仿宋" w:hAnsi="仿宋" w:eastAsia="仿宋"/>
          <w:sz w:val="32"/>
          <w:szCs w:val="32"/>
        </w:rPr>
      </w:pPr>
      <w:r>
        <w:rPr>
          <w:rFonts w:ascii="仿宋_GB2312" w:hAnsi="仿宋_GB2312" w:eastAsia="仿宋_GB2312" w:cs="仿宋_GB2312"/>
          <w:sz w:val="32"/>
        </w:rPr>
        <w:t>1)</w:t>
      </w:r>
      <w:r>
        <w:rPr>
          <w:rFonts w:ascii="仿宋_GB2312" w:hAnsi="仿宋_GB2312" w:eastAsia="仿宋_GB2312" w:cs="仿宋_GB2312"/>
          <w:sz w:val="32"/>
        </w:rPr>
        <w:tab/>
      </w:r>
      <w:r>
        <w:rPr>
          <w:rFonts w:ascii="仿宋_GB2312" w:hAnsi="仿宋_GB2312" w:eastAsia="仿宋_GB2312" w:cs="仿宋_GB2312"/>
          <w:sz w:val="32"/>
        </w:rPr>
        <w:cr/>
      </w:r>
      <w:r>
        <w:rPr>
          <w:rFonts w:ascii="仿宋_GB2312" w:hAnsi="仿宋_GB2312" w:eastAsia="仿宋_GB2312" w:cs="仿宋_GB2312"/>
          <w:sz w:val="32"/>
        </w:rPr>
        <w:t>服务对象满意度</w:t>
      </w:r>
      <w:r>
        <w:rPr>
          <w:rFonts w:ascii="仿宋" w:hAnsi="仿宋" w:eastAsia="仿宋" w:cs="仿宋"/>
          <w:sz w:val="32"/>
        </w:rPr>
        <w:t>(%)，目标值80，完成值80，分值10，得分10</w:t>
      </w:r>
      <w:r>
        <w:rPr>
          <w:rFonts w:hint="eastAsia" w:ascii="仿宋" w:hAnsi="仿宋" w:eastAsia="仿宋"/>
          <w:sz w:val="32"/>
          <w:szCs w:val="32"/>
        </w:rPr>
        <w:t>。</w:t>
      </w:r>
    </w:p>
    <w:p>
      <w:pPr>
        <w:pStyle w:val="407c15f2"/>
        <w:tabs>
          <w:tab w:val="left" w:pos="2244"/>
        </w:tabs>
        <w:spacing w:line="620" w:lineRule="exact"/>
        <w:ind w:left="1890" w:leftChars="900"/>
        <w:rPr>
          <w:rFonts w:ascii="仿宋" w:hAnsi="仿宋" w:eastAsia="仿宋"/>
          <w:b/>
          <w:color w:val="FF0000"/>
          <w:sz w:val="32"/>
          <w:szCs w:val="32"/>
        </w:rPr>
      </w:pPr>
    </w:p>
    <w:p>
      <w:pPr>
        <w:pStyle w:val="407c15f2"/>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407c15f2"/>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407c15f2"/>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407c15f2"/>
        <w:ind w:left="840" w:firstLine="420"/>
        <w:sectPr>
          <w:type w:val="continuous"/>
          <w:pgSz w:w="11907" w:h="16840"/>
        </w:sectPr>
      </w:pPr>
    </w:p>
    <w:p>
      <w:pPr>
        <w:pageBreakBefore w:val="true"/>
      </w:pPr>
    </w:p>
    <w:p>
      <w:pPr>
        <w:pStyle w:val="bd7e8988"/>
        <w:rPr>
          <w:rFonts w:ascii="仿宋" w:hAnsi="仿宋" w:eastAsia="仿宋"/>
          <w:sz w:val="32"/>
          <w:szCs w:val="32"/>
        </w:rPr>
      </w:pPr>
    </w:p>
    <w:p>
      <w:pPr>
        <w:pStyle w:val="bd7e8988"/>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bd7e8988"/>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泉财指标〔2023〕1243号，2024年中央财政林业改革发展资金（市县部分）：互花米草专项补助</w:t>
      </w:r>
      <w:r>
        <w:rPr>
          <w:rFonts w:hint="eastAsia" w:ascii="仿宋" w:hAnsi="仿宋" w:eastAsia="仿宋"/>
          <w:sz w:val="32"/>
          <w:szCs w:val="32"/>
        </w:rPr>
        <w:t>）</w:t>
      </w:r>
    </w:p>
    <w:p>
      <w:pPr>
        <w:pStyle w:val="bd7e8988"/>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bd7e8988"/>
        <w:ind w:firstLine="643" w:firstLineChars="200"/>
        <w:rPr>
          <w:rFonts w:ascii="仿宋" w:hAnsi="仿宋" w:eastAsia="仿宋"/>
          <w:sz w:val="32"/>
          <w:szCs w:val="32"/>
        </w:rPr>
      </w:pPr>
      <w:r>
        <w:rPr>
          <w:rFonts w:hint="eastAsia" w:ascii="仿宋" w:hAnsi="仿宋" w:eastAsia="仿宋"/>
          <w:b/>
          <w:sz w:val="32"/>
          <w:szCs w:val="32"/>
        </w:rPr>
        <w:t>（一）项目概况</w:t>
      </w:r>
    </w:p>
    <w:p>
      <w:pPr>
        <w:pStyle w:val="bd7e8988"/>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bd7e8988"/>
        <w:ind w:firstLine="643" w:firstLineChars="200"/>
        <w:rPr>
          <w:rFonts w:ascii="仿宋" w:hAnsi="仿宋" w:eastAsia="仿宋"/>
          <w:sz w:val="32"/>
          <w:szCs w:val="32"/>
        </w:rPr>
      </w:pPr>
      <w:r>
        <w:rPr>
          <w:rFonts w:hint="eastAsia" w:ascii="仿宋" w:hAnsi="仿宋" w:eastAsia="仿宋"/>
          <w:b/>
          <w:sz w:val="32"/>
          <w:szCs w:val="32"/>
        </w:rPr>
        <w:t>（二）主要成效</w:t>
      </w:r>
    </w:p>
    <w:p>
      <w:pPr>
        <w:pStyle w:val="bd7e8988"/>
        <w:ind w:firstLine="1472" w:firstLineChars="460"/>
        <w:rPr>
          <w:rFonts w:ascii="仿宋" w:hAnsi="仿宋" w:eastAsia="仿宋"/>
          <w:sz w:val="32"/>
          <w:szCs w:val="32"/>
        </w:rPr>
      </w:pPr>
    </w:p>
    <w:p>
      <w:pPr>
        <w:pStyle w:val="bd7e8988"/>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bd7e8988"/>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sz w:val="32"/>
        </w:rPr>
        <w:t>1)财政投入资金</w:t>
      </w:r>
      <w:r>
        <w:rPr>
          <w:rFonts w:ascii="仿宋" w:hAnsi="仿宋" w:eastAsia="仿宋" w:cs="仿宋"/>
          <w:sz w:val="32"/>
        </w:rPr>
        <w:t>(万元)，目标值6，完成值6，分值10，得分10</w:t>
      </w:r>
      <w:r>
        <w:rPr>
          <w:rFonts w:hint="eastAsia" w:ascii="仿宋" w:hAnsi="仿宋" w:eastAsia="仿宋"/>
          <w:sz w:val="32"/>
          <w:szCs w:val="32"/>
        </w:rPr>
        <w:t>。</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sz w:val="32"/>
        </w:rPr>
        <w:t>1)二轮除治复萌面积</w:t>
      </w:r>
      <w:r>
        <w:rPr>
          <w:rFonts w:ascii="仿宋" w:hAnsi="仿宋" w:eastAsia="仿宋" w:cs="仿宋"/>
          <w:sz w:val="32"/>
        </w:rPr>
        <w:t>(亩)，目标值5.5，完成值5.5，分值20，得分20</w:t>
      </w:r>
      <w:r>
        <w:rPr>
          <w:rFonts w:hint="eastAsia" w:ascii="仿宋" w:hAnsi="仿宋" w:eastAsia="仿宋"/>
          <w:sz w:val="32"/>
          <w:szCs w:val="32"/>
        </w:rPr>
        <w:t>。</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sz w:val="32"/>
        </w:rPr>
        <w:t>1)湿地生态系统功能改善可持续影响</w:t>
      </w:r>
      <w:r>
        <w:rPr>
          <w:rFonts w:ascii="仿宋" w:hAnsi="仿宋" w:eastAsia="仿宋" w:cs="仿宋"/>
          <w:sz w:val="32"/>
        </w:rPr>
        <w:t>(无)，目标值明显，完成值明显，分值10，得分10</w:t>
      </w:r>
      <w:r>
        <w:rPr>
          <w:rFonts w:hint="eastAsia" w:ascii="仿宋" w:hAnsi="仿宋" w:eastAsia="仿宋"/>
          <w:sz w:val="32"/>
          <w:szCs w:val="32"/>
        </w:rPr>
        <w:t>。</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sz w:val="32"/>
        </w:rPr>
        <w:t>1)除治及时性</w:t>
      </w:r>
      <w:r>
        <w:rPr>
          <w:rFonts w:ascii="仿宋" w:hAnsi="仿宋" w:eastAsia="仿宋" w:cs="仿宋"/>
          <w:sz w:val="32"/>
        </w:rPr>
        <w:t>(无)，目标值完成，完成值完成，分值10，得分10</w:t>
      </w:r>
      <w:r>
        <w:rPr>
          <w:rFonts w:hint="eastAsia" w:ascii="仿宋" w:hAnsi="仿宋" w:eastAsia="仿宋"/>
          <w:sz w:val="32"/>
          <w:szCs w:val="32"/>
        </w:rPr>
        <w:t>。</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sz w:val="32"/>
        </w:rPr>
        <w:t>1)湿地生态系统效益发挥</w:t>
      </w:r>
      <w:r>
        <w:rPr>
          <w:rFonts w:ascii="仿宋" w:hAnsi="仿宋" w:eastAsia="仿宋" w:cs="仿宋"/>
          <w:sz w:val="32"/>
        </w:rPr>
        <w:t>(无)，目标值明显，完成值明显，分值30，得分30</w:t>
      </w:r>
      <w:r>
        <w:rPr>
          <w:rFonts w:hint="eastAsia" w:ascii="仿宋" w:hAnsi="仿宋" w:eastAsia="仿宋"/>
          <w:sz w:val="32"/>
          <w:szCs w:val="32"/>
        </w:rPr>
        <w:t>。</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bd7e8988"/>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(%)，目标值85，完成值85，分值10，得分10</w:t>
      </w:r>
      <w:r>
        <w:rPr>
          <w:rFonts w:hint="eastAsia" w:ascii="仿宋" w:hAnsi="仿宋" w:eastAsia="仿宋"/>
          <w:sz w:val="32"/>
          <w:szCs w:val="32"/>
        </w:rPr>
        <w:t>。</w:t>
      </w:r>
    </w:p>
    <w:p>
      <w:pPr>
        <w:pStyle w:val="bd7e8988"/>
        <w:tabs>
          <w:tab w:val="left" w:pos="2244"/>
        </w:tabs>
        <w:spacing w:line="620" w:lineRule="exact"/>
        <w:ind w:left="1890" w:leftChars="900"/>
        <w:rPr>
          <w:rFonts w:ascii="仿宋" w:hAnsi="仿宋" w:eastAsia="仿宋"/>
          <w:b/>
          <w:color w:val="FF0000"/>
          <w:sz w:val="32"/>
          <w:szCs w:val="32"/>
        </w:rPr>
      </w:pPr>
    </w:p>
    <w:p>
      <w:pPr>
        <w:pStyle w:val="bd7e8988"/>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bd7e8988"/>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bd7e8988"/>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bd7e8988"/>
        <w:ind w:left="840" w:firstLine="420"/>
        <w:sectPr>
          <w:type w:val="continuous"/>
          <w:pgSz w:w="11907" w:h="16840"/>
        </w:sectPr>
      </w:pPr>
    </w:p>
    <w:p>
      <w:pPr>
        <w:pageBreakBefore w:val="true"/>
      </w:pPr>
    </w:p>
    <w:p>
      <w:pPr>
        <w:pStyle w:val="e2437562"/>
        <w:rPr>
          <w:rFonts w:ascii="仿宋" w:hAnsi="仿宋" w:eastAsia="仿宋"/>
          <w:sz w:val="32"/>
          <w:szCs w:val="32"/>
        </w:rPr>
      </w:pPr>
      <w:bookmarkStart w:id="0" w:name="_GoBack"/>
      <w:bookmarkEnd w:id="0"/>
    </w:p>
    <w:p>
      <w:pPr>
        <w:pStyle w:val="e2437562"/>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r>
        <w:rPr>
          <w:rFonts w:ascii="宋体" w:hAnsi="宋体" w:eastAsia="宋体" w:cs="宋体"/>
          <w:b/>
          <w:sz w:val="44"/>
        </w:rPr>
        <w:t>报告</w:t>
      </w:r>
    </w:p>
    <w:p>
      <w:pPr>
        <w:pStyle w:val="e2437562"/>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2021结转-基本支出2</w:t>
      </w:r>
      <w:r>
        <w:rPr>
          <w:rFonts w:hint="eastAsia" w:ascii="仿宋" w:hAnsi="仿宋" w:eastAsia="仿宋"/>
          <w:sz w:val="32"/>
          <w:szCs w:val="32"/>
        </w:rPr>
        <w:t>）</w:t>
      </w:r>
    </w:p>
    <w:p>
      <w:pPr>
        <w:pStyle w:val="e2437562"/>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e2437562"/>
        <w:ind w:firstLine="643" w:firstLineChars="200"/>
        <w:rPr>
          <w:rFonts w:ascii="仿宋" w:hAnsi="仿宋" w:eastAsia="仿宋"/>
          <w:sz w:val="32"/>
          <w:szCs w:val="32"/>
        </w:rPr>
      </w:pPr>
      <w:r>
        <w:rPr>
          <w:rFonts w:hint="eastAsia" w:ascii="仿宋" w:hAnsi="仿宋" w:eastAsia="仿宋"/>
          <w:b/>
          <w:sz w:val="32"/>
          <w:szCs w:val="32"/>
        </w:rPr>
        <w:t>（一）项目概况</w:t>
      </w:r>
    </w:p>
    <w:p>
      <w:pPr>
        <w:pStyle w:val="e2437562"/>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e2437562"/>
        <w:ind w:firstLine="643" w:firstLineChars="200"/>
        <w:rPr>
          <w:rFonts w:ascii="仿宋" w:hAnsi="仿宋" w:eastAsia="仿宋"/>
          <w:sz w:val="32"/>
          <w:szCs w:val="32"/>
        </w:rPr>
      </w:pPr>
      <w:r>
        <w:rPr>
          <w:rFonts w:hint="eastAsia" w:ascii="仿宋" w:hAnsi="仿宋" w:eastAsia="仿宋"/>
          <w:b/>
          <w:sz w:val="32"/>
          <w:szCs w:val="32"/>
        </w:rPr>
        <w:t>（二）主要成效</w:t>
      </w:r>
    </w:p>
    <w:p>
      <w:pPr>
        <w:pStyle w:val="e2437562"/>
        <w:ind w:firstLine="1472" w:firstLineChars="460"/>
        <w:rPr>
          <w:rFonts w:ascii="仿宋" w:hAnsi="仿宋" w:eastAsia="仿宋"/>
          <w:sz w:val="32"/>
          <w:szCs w:val="32"/>
        </w:rPr>
      </w:pPr>
    </w:p>
    <w:p>
      <w:pPr>
        <w:pStyle w:val="e2437562"/>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e2437562"/>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sz w:val="32"/>
        </w:rPr>
        <w:t>1)2021结转-基本支出2</w:t>
      </w:r>
      <w:r>
        <w:rPr>
          <w:rFonts w:ascii="仿宋" w:hAnsi="仿宋" w:eastAsia="仿宋" w:cs="仿宋"/>
          <w:sz w:val="32"/>
        </w:rPr>
        <w:t>(元)，目标值58，完成值58，分值10，得分10</w:t>
      </w:r>
      <w:r>
        <w:rPr>
          <w:rFonts w:hint="eastAsia" w:ascii="仿宋" w:hAnsi="仿宋" w:eastAsia="仿宋"/>
          <w:sz w:val="32"/>
          <w:szCs w:val="32"/>
        </w:rPr>
        <w:t>。</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sz w:val="32"/>
        </w:rPr>
        <w:t>1)2021结转-基本支出2</w:t>
      </w:r>
      <w:r>
        <w:rPr>
          <w:rFonts w:ascii="仿宋" w:hAnsi="仿宋" w:eastAsia="仿宋" w:cs="仿宋"/>
          <w:sz w:val="32"/>
        </w:rPr>
        <w:t>(无)，目标值58，完成值58，分值20，得分20</w:t>
      </w:r>
      <w:r>
        <w:rPr>
          <w:rFonts w:hint="eastAsia" w:ascii="仿宋" w:hAnsi="仿宋" w:eastAsia="仿宋"/>
          <w:sz w:val="32"/>
          <w:szCs w:val="32"/>
        </w:rPr>
        <w:t>。</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sz w:val="32"/>
        </w:rPr>
        <w:t>1)是否结转</w:t>
      </w:r>
      <w:r>
        <w:rPr>
          <w:rFonts w:ascii="仿宋" w:hAnsi="仿宋" w:eastAsia="仿宋" w:cs="仿宋"/>
          <w:sz w:val="32"/>
        </w:rPr>
        <w:t>(无)，目标值是，完成值是，分值10，得分10</w:t>
      </w:r>
      <w:r>
        <w:rPr>
          <w:rFonts w:hint="eastAsia" w:ascii="仿宋" w:hAnsi="仿宋" w:eastAsia="仿宋"/>
          <w:sz w:val="32"/>
          <w:szCs w:val="32"/>
        </w:rPr>
        <w:t>。</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sz w:val="32"/>
        </w:rPr>
        <w:t>1)年度结转（年/次）</w:t>
      </w:r>
      <w:r>
        <w:rPr>
          <w:rFonts w:ascii="仿宋" w:hAnsi="仿宋" w:eastAsia="仿宋" w:cs="仿宋"/>
          <w:sz w:val="32"/>
        </w:rPr>
        <w:t>(年/次)，目标值1，完成值1，分值10，得分10</w:t>
      </w:r>
      <w:r>
        <w:rPr>
          <w:rFonts w:hint="eastAsia" w:ascii="仿宋" w:hAnsi="仿宋" w:eastAsia="仿宋"/>
          <w:sz w:val="32"/>
          <w:szCs w:val="32"/>
        </w:rPr>
        <w:t>。</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sz w:val="32"/>
        </w:rPr>
        <w:t>1)是否年度决算</w:t>
      </w:r>
      <w:r>
        <w:rPr>
          <w:rFonts w:ascii="仿宋" w:hAnsi="仿宋" w:eastAsia="仿宋" w:cs="仿宋"/>
          <w:sz w:val="32"/>
        </w:rPr>
        <w:t>(无)，目标值是，完成值是，分值30，得分30</w:t>
      </w:r>
      <w:r>
        <w:rPr>
          <w:rFonts w:hint="eastAsia" w:ascii="仿宋" w:hAnsi="仿宋" w:eastAsia="仿宋"/>
          <w:sz w:val="32"/>
          <w:szCs w:val="32"/>
        </w:rPr>
        <w:t>。</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e2437562"/>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(%)，目标值90，完成值90，分值10，得分10</w:t>
      </w:r>
      <w:r>
        <w:rPr>
          <w:rFonts w:hint="eastAsia" w:ascii="仿宋" w:hAnsi="仿宋" w:eastAsia="仿宋"/>
          <w:sz w:val="32"/>
          <w:szCs w:val="32"/>
        </w:rPr>
        <w:t>。</w:t>
      </w:r>
    </w:p>
    <w:p>
      <w:pPr>
        <w:pStyle w:val="e2437562"/>
        <w:tabs>
          <w:tab w:val="left" w:pos="2244"/>
        </w:tabs>
        <w:spacing w:line="620" w:lineRule="exact"/>
        <w:ind w:left="1890" w:leftChars="900"/>
        <w:rPr>
          <w:rFonts w:ascii="仿宋" w:hAnsi="仿宋" w:eastAsia="仿宋"/>
          <w:b/>
          <w:color w:val="FF0000"/>
          <w:sz w:val="32"/>
          <w:szCs w:val="32"/>
        </w:rPr>
      </w:pPr>
    </w:p>
    <w:p>
      <w:pPr>
        <w:pStyle w:val="e2437562"/>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e2437562"/>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e2437562"/>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e2437562"/>
        <w:ind w:left="840" w:firstLine="420"/>
        <w:sectPr>
          <w:type w:val="continuous"/>
          <w:pgSz w:w="11907" w:h="16840"/>
        </w:sectPr>
      </w:pPr>
    </w:p>
    <w:p>
      <w:pPr>
        <w:pageBreakBefore w:val="true"/>
      </w:pPr>
    </w:p>
    <w:p>
      <w:pPr>
        <w:pStyle w:val="fa12e7e1"/>
        <w:rPr>
          <w:rFonts w:ascii="仿宋" w:hAnsi="仿宋" w:eastAsia="仿宋"/>
          <w:sz w:val="32"/>
          <w:szCs w:val="32"/>
        </w:rPr>
      </w:pPr>
      <w:bookmarkStart w:id="0" w:name="_GoBack"/>
      <w:bookmarkEnd w:id="0"/>
    </w:p>
    <w:p>
      <w:pPr>
        <w:pStyle w:val="fa12e7e1"/>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r>
        <w:rPr>
          <w:rFonts w:ascii="宋体" w:hAnsi="宋体" w:eastAsia="宋体" w:cs="宋体"/>
          <w:b/>
          <w:sz w:val="44"/>
        </w:rPr>
        <w:t>报告</w:t>
      </w:r>
    </w:p>
    <w:p>
      <w:pPr>
        <w:pStyle w:val="fa12e7e1"/>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泉财农指〔2025〕4号，2025年中央财政林业草原改革发展资金：全国性森林、草原、湿地、荒漠综合监测补助（南财指标〔2025〕129号）</w:t>
      </w:r>
      <w:r>
        <w:rPr>
          <w:rFonts w:hint="eastAsia" w:ascii="仿宋" w:hAnsi="仿宋" w:eastAsia="仿宋"/>
          <w:sz w:val="32"/>
          <w:szCs w:val="32"/>
        </w:rPr>
        <w:t>）</w:t>
      </w:r>
    </w:p>
    <w:p>
      <w:pPr>
        <w:pStyle w:val="fa12e7e1"/>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fa12e7e1"/>
        <w:ind w:firstLine="643" w:firstLineChars="200"/>
        <w:rPr>
          <w:rFonts w:ascii="仿宋" w:hAnsi="仿宋" w:eastAsia="仿宋"/>
          <w:sz w:val="32"/>
          <w:szCs w:val="32"/>
        </w:rPr>
      </w:pPr>
      <w:r>
        <w:rPr>
          <w:rFonts w:hint="eastAsia" w:ascii="仿宋" w:hAnsi="仿宋" w:eastAsia="仿宋"/>
          <w:b/>
          <w:sz w:val="32"/>
          <w:szCs w:val="32"/>
        </w:rPr>
        <w:t>（一）项目概况</w:t>
      </w:r>
    </w:p>
    <w:p>
      <w:pPr>
        <w:pStyle w:val="fa12e7e1"/>
        <w:ind w:firstLine="1472" w:firstLineChars="460"/>
        <w:rPr>
          <w:rFonts w:ascii="仿宋" w:hAnsi="仿宋" w:eastAsia="仿宋"/>
          <w:sz w:val="32"/>
          <w:szCs w:val="32"/>
        </w:rPr>
      </w:pPr>
      <w:r>
        <w:rPr>
          <w:rFonts w:hint="eastAsia" w:ascii="仿宋" w:hAnsi="仿宋" w:eastAsia="仿宋"/>
          <w:sz w:val="32"/>
          <w:szCs w:val="32"/>
        </w:rPr>
        <w:t>2025年中央财政林业草原改革发展资金-全国性森林、草原、湿地、荒漠综合监测补助14.9万元</w:t>
      </w:r>
      <w:r>
        <w:rPr>
          <w:rFonts w:ascii="仿宋" w:hAnsi="仿宋" w:eastAsia="仿宋" w:cs="仿宋"/>
          <w:sz w:val="32"/>
        </w:rPr>
        <w:t xml:space="preserve"> </w:t>
      </w:r>
    </w:p>
    <w:p>
      <w:pPr>
        <w:pStyle w:val="fa12e7e1"/>
        <w:ind w:firstLine="643" w:firstLineChars="200"/>
        <w:rPr>
          <w:rFonts w:ascii="仿宋" w:hAnsi="仿宋" w:eastAsia="仿宋"/>
          <w:sz w:val="32"/>
          <w:szCs w:val="32"/>
        </w:rPr>
      </w:pPr>
      <w:r>
        <w:rPr>
          <w:rFonts w:hint="eastAsia" w:ascii="仿宋" w:hAnsi="仿宋" w:eastAsia="仿宋"/>
          <w:b/>
          <w:sz w:val="32"/>
          <w:szCs w:val="32"/>
        </w:rPr>
        <w:t>（二）主要成效</w:t>
      </w:r>
    </w:p>
    <w:p>
      <w:pPr>
        <w:pStyle w:val="fa12e7e1"/>
        <w:ind w:firstLine="1472" w:firstLineChars="460"/>
        <w:rPr>
          <w:rFonts w:ascii="仿宋" w:hAnsi="仿宋" w:eastAsia="仿宋"/>
          <w:sz w:val="32"/>
          <w:szCs w:val="32"/>
        </w:rPr>
      </w:pPr>
    </w:p>
    <w:p>
      <w:pPr>
        <w:pStyle w:val="fa12e7e1"/>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fa12e7e1"/>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85分，等级为良，设置绩效目标8个，实际完成7个，具体情况如下：</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sz w:val="32"/>
        </w:rPr>
        <w:t>1)森林草原湿地荒漠化综合监测经费</w:t>
      </w:r>
      <w:r>
        <w:rPr>
          <w:rFonts w:ascii="仿宋" w:hAnsi="仿宋" w:eastAsia="仿宋" w:cs="仿宋"/>
          <w:sz w:val="32"/>
        </w:rPr>
        <w:t>(万元)，目标值14.9，完成值14.9，分值5，得分5</w:t>
      </w:r>
      <w:r>
        <w:rPr>
          <w:rFonts w:hint="eastAsia" w:ascii="仿宋" w:hAnsi="仿宋" w:eastAsia="仿宋"/>
          <w:sz w:val="32"/>
          <w:szCs w:val="32"/>
        </w:rPr>
        <w:t>。</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sz w:val="32"/>
        </w:rPr>
        <w:t>1)森林经营可持续发展</w:t>
      </w:r>
      <w:r>
        <w:rPr>
          <w:rFonts w:ascii="仿宋" w:hAnsi="仿宋" w:eastAsia="仿宋" w:cs="仿宋"/>
          <w:sz w:val="32"/>
        </w:rPr>
        <w:t>(无)，目标值发展良好，完成值发展良好，分值5，得分5</w:t>
      </w:r>
      <w:r>
        <w:rPr>
          <w:rFonts w:hint="eastAsia" w:ascii="仿宋" w:hAnsi="仿宋" w:eastAsia="仿宋"/>
          <w:sz w:val="32"/>
          <w:szCs w:val="32"/>
        </w:rPr>
        <w:t>。</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sz w:val="32"/>
        </w:rPr>
        <w:t>1)图斑数量（个）</w:t>
      </w:r>
      <w:r>
        <w:rPr>
          <w:rFonts w:ascii="仿宋" w:hAnsi="仿宋" w:eastAsia="仿宋" w:cs="仿宋"/>
          <w:sz w:val="32"/>
        </w:rPr>
        <w:t>(个)，目标值475，完成值475，分值25，得分25</w:t>
      </w:r>
      <w:r>
        <w:rPr>
          <w:rFonts w:hint="eastAsia" w:ascii="仿宋" w:hAnsi="仿宋" w:eastAsia="仿宋"/>
          <w:sz w:val="32"/>
          <w:szCs w:val="32"/>
        </w:rPr>
        <w:t>。</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sz w:val="32"/>
        </w:rPr>
        <w:t>1)图斑调查</w:t>
      </w:r>
      <w:r>
        <w:rPr>
          <w:rFonts w:ascii="仿宋" w:hAnsi="仿宋" w:eastAsia="仿宋" w:cs="仿宋"/>
          <w:sz w:val="32"/>
        </w:rPr>
        <w:t>(万亩)，目标值159.87，完成值159.87，分值10，得分10</w:t>
      </w:r>
      <w:r>
        <w:rPr>
          <w:rFonts w:hint="eastAsia" w:ascii="仿宋" w:hAnsi="仿宋" w:eastAsia="仿宋"/>
          <w:sz w:val="32"/>
          <w:szCs w:val="32"/>
        </w:rPr>
        <w:t>。</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sz w:val="32"/>
        </w:rPr>
        <w:t>1)预算执行进度</w:t>
      </w:r>
      <w:r>
        <w:rPr>
          <w:rFonts w:ascii="仿宋" w:hAnsi="仿宋" w:eastAsia="仿宋" w:cs="仿宋"/>
          <w:sz w:val="32"/>
        </w:rPr>
        <w:t>(%)，目标值100，完成值0，分值5，得分0</w:t>
      </w:r>
      <w:r>
        <w:rPr>
          <w:rFonts w:hint="eastAsia" w:ascii="仿宋" w:hAnsi="仿宋" w:eastAsia="仿宋"/>
          <w:sz w:val="32"/>
          <w:szCs w:val="32"/>
        </w:rPr>
        <w:t>。</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sz w:val="32"/>
        </w:rPr>
        <w:t>1)加强林草湿资源管护</w:t>
      </w:r>
      <w:r>
        <w:rPr>
          <w:rFonts w:ascii="仿宋" w:hAnsi="仿宋" w:eastAsia="仿宋" w:cs="仿宋"/>
          <w:sz w:val="32"/>
        </w:rPr>
        <w:t>(无)，目标值有效促进，完成值有效促进，分值20，得分20</w:t>
      </w:r>
      <w:r>
        <w:rPr>
          <w:rFonts w:hint="eastAsia" w:ascii="仿宋" w:hAnsi="仿宋" w:eastAsia="仿宋"/>
          <w:sz w:val="32"/>
          <w:szCs w:val="32"/>
        </w:rPr>
        <w:t>。</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sz w:val="32"/>
        </w:rPr>
        <w:t>1)林区源头治理能力</w:t>
      </w:r>
      <w:r>
        <w:rPr>
          <w:rFonts w:ascii="仿宋" w:hAnsi="仿宋" w:eastAsia="仿宋" w:cs="仿宋"/>
          <w:sz w:val="32"/>
        </w:rPr>
        <w:t>(无)，目标值有效治理，完成值有效治理，分值10，得分10</w:t>
      </w:r>
      <w:r>
        <w:rPr>
          <w:rFonts w:hint="eastAsia" w:ascii="仿宋" w:hAnsi="仿宋" w:eastAsia="仿宋"/>
          <w:sz w:val="32"/>
          <w:szCs w:val="32"/>
        </w:rPr>
        <w:t>。</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fa12e7e1"/>
        <w:spacing w:line="620" w:lineRule="exact"/>
        <w:ind w:left="420" w:leftChars="200"/>
        <w:rPr>
          <w:rFonts w:ascii="仿宋" w:hAnsi="仿宋" w:eastAsia="仿宋"/>
          <w:sz w:val="32"/>
          <w:szCs w:val="32"/>
        </w:rPr>
      </w:pPr>
      <w:r>
        <w:rPr>
          <w:rFonts w:ascii="仿宋_GB2312" w:hAnsi="仿宋_GB2312" w:eastAsia="仿宋_GB2312" w:cs="仿宋_GB2312"/>
          <w:sz w:val="32"/>
        </w:rPr>
        <w:t>1)林区职工和周边群众满意度</w:t>
      </w:r>
      <w:r>
        <w:rPr>
          <w:rFonts w:ascii="仿宋" w:hAnsi="仿宋" w:eastAsia="仿宋" w:cs="仿宋"/>
          <w:sz w:val="32"/>
        </w:rPr>
        <w:t>(%)，目标值90，完成值90，分值10，得分10</w:t>
      </w:r>
      <w:r>
        <w:rPr>
          <w:rFonts w:hint="eastAsia" w:ascii="仿宋" w:hAnsi="仿宋" w:eastAsia="仿宋"/>
          <w:sz w:val="32"/>
          <w:szCs w:val="32"/>
        </w:rPr>
        <w:t>。</w:t>
      </w:r>
    </w:p>
    <w:p>
      <w:pPr>
        <w:pStyle w:val="fa12e7e1"/>
        <w:tabs>
          <w:tab w:val="left" w:pos="2244"/>
        </w:tabs>
        <w:spacing w:line="620" w:lineRule="exact"/>
        <w:ind w:left="1890" w:leftChars="900"/>
        <w:rPr>
          <w:rFonts w:ascii="仿宋" w:hAnsi="仿宋" w:eastAsia="仿宋"/>
          <w:b/>
          <w:color w:val="FF0000"/>
          <w:sz w:val="32"/>
          <w:szCs w:val="32"/>
        </w:rPr>
      </w:pPr>
    </w:p>
    <w:p>
      <w:pPr>
        <w:pStyle w:val="fa12e7e1"/>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fa12e7e1"/>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fa12e7e1"/>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按照省林业局统一部署，森林草原湿地监测成果需省级林业主管部门审核后，县级按照审批结果进行项目验收工作。</w:t>
      </w:r>
    </w:p>
    <w:p>
      <w:pPr>
        <w:pStyle w:val="fa12e7e1"/>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fa12e7e1"/>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按照省林业局统一部署，森林草原湿地监测成果需省级林业主管部门审核后，县级按照审批结果进行项目验收工作。</w:t>
      </w:r>
    </w:p>
    <w:p>
      <w:pPr>
        <w:pStyle w:val="fa12e7e1"/>
        <w:ind w:left="840" w:firstLine="420"/>
        <w:sectPr>
          <w:type w:val="continuous"/>
          <w:pgSz w:w="11907" w:h="16840"/>
        </w:sectPr>
      </w:pPr>
    </w:p>
    <w:p>
      <w:pPr>
        <w:pageBreakBefore w:val="true"/>
      </w:pPr>
    </w:p>
    <w:p>
      <w:pPr>
        <w:pStyle w:val="80aa99c1"/>
        <w:rPr>
          <w:rFonts w:ascii="仿宋" w:hAnsi="仿宋" w:eastAsia="仿宋"/>
          <w:sz w:val="32"/>
          <w:szCs w:val="32"/>
        </w:rPr>
      </w:pPr>
      <w:bookmarkStart w:id="0" w:name="_GoBack"/>
      <w:bookmarkEnd w:id="0"/>
    </w:p>
    <w:p>
      <w:pPr>
        <w:pStyle w:val="80aa99c1"/>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r>
        <w:rPr>
          <w:rFonts w:ascii="宋体" w:hAnsi="宋体" w:eastAsia="宋体" w:cs="宋体"/>
          <w:b/>
          <w:sz w:val="44"/>
        </w:rPr>
        <w:t>报告</w:t>
      </w:r>
    </w:p>
    <w:p>
      <w:pPr>
        <w:pStyle w:val="80aa99c1"/>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泉财指标〔2023〕1235号2014年省级财政林业专项资金（第二批）新型经营主体标准化建设</w:t>
      </w:r>
      <w:r>
        <w:rPr>
          <w:rFonts w:hint="eastAsia" w:ascii="仿宋" w:hAnsi="仿宋" w:eastAsia="仿宋"/>
          <w:sz w:val="32"/>
          <w:szCs w:val="32"/>
        </w:rPr>
        <w:t>）</w:t>
      </w:r>
    </w:p>
    <w:p>
      <w:pPr>
        <w:pStyle w:val="80aa99c1"/>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80aa99c1"/>
        <w:ind w:firstLine="643" w:firstLineChars="200"/>
        <w:rPr>
          <w:rFonts w:ascii="仿宋" w:hAnsi="仿宋" w:eastAsia="仿宋"/>
          <w:sz w:val="32"/>
          <w:szCs w:val="32"/>
        </w:rPr>
      </w:pPr>
      <w:r>
        <w:rPr>
          <w:rFonts w:hint="eastAsia" w:ascii="仿宋" w:hAnsi="仿宋" w:eastAsia="仿宋"/>
          <w:b/>
          <w:sz w:val="32"/>
          <w:szCs w:val="32"/>
        </w:rPr>
        <w:t>（一）项目概况</w:t>
      </w:r>
    </w:p>
    <w:p>
      <w:pPr>
        <w:pStyle w:val="80aa99c1"/>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80aa99c1"/>
        <w:ind w:firstLine="643" w:firstLineChars="200"/>
        <w:rPr>
          <w:rFonts w:ascii="仿宋" w:hAnsi="仿宋" w:eastAsia="仿宋"/>
          <w:sz w:val="32"/>
          <w:szCs w:val="32"/>
        </w:rPr>
      </w:pPr>
      <w:r>
        <w:rPr>
          <w:rFonts w:hint="eastAsia" w:ascii="仿宋" w:hAnsi="仿宋" w:eastAsia="仿宋"/>
          <w:b/>
          <w:sz w:val="32"/>
          <w:szCs w:val="32"/>
        </w:rPr>
        <w:t>（二）主要成效</w:t>
      </w:r>
    </w:p>
    <w:p>
      <w:pPr>
        <w:pStyle w:val="80aa99c1"/>
        <w:ind w:firstLine="1472" w:firstLineChars="460"/>
        <w:rPr>
          <w:rFonts w:ascii="仿宋" w:hAnsi="仿宋" w:eastAsia="仿宋"/>
          <w:sz w:val="32"/>
          <w:szCs w:val="32"/>
        </w:rPr>
      </w:pPr>
    </w:p>
    <w:p>
      <w:pPr>
        <w:pStyle w:val="80aa99c1"/>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80aa99c1"/>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80分，等级为良，设置绩效目标6个，实际完成5个，具体情况如下：</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sz w:val="32"/>
        </w:rPr>
        <w:t>1)财政投入资金</w:t>
      </w:r>
      <w:r>
        <w:rPr>
          <w:rFonts w:ascii="仿宋" w:hAnsi="仿宋" w:eastAsia="仿宋" w:cs="仿宋"/>
          <w:sz w:val="32"/>
        </w:rPr>
        <w:t>(万元)，目标值101.5，完成值0，分值10，得分0</w:t>
      </w:r>
      <w:r>
        <w:rPr>
          <w:rFonts w:hint="eastAsia" w:ascii="仿宋" w:hAnsi="仿宋" w:eastAsia="仿宋"/>
          <w:sz w:val="32"/>
          <w:szCs w:val="32"/>
        </w:rPr>
        <w:t>。</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sz w:val="32"/>
        </w:rPr>
        <w:t>1)新型经营主体标准化建设项目达标率</w:t>
      </w:r>
      <w:r>
        <w:rPr>
          <w:rFonts w:ascii="仿宋" w:hAnsi="仿宋" w:eastAsia="仿宋" w:cs="仿宋"/>
          <w:sz w:val="32"/>
        </w:rPr>
        <w:t>(%)，目标值90，完成值90，分值10，得分10</w:t>
      </w:r>
      <w:r>
        <w:rPr>
          <w:rFonts w:hint="eastAsia" w:ascii="仿宋" w:hAnsi="仿宋" w:eastAsia="仿宋"/>
          <w:sz w:val="32"/>
          <w:szCs w:val="32"/>
        </w:rPr>
        <w:t>。</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sz w:val="32"/>
        </w:rPr>
        <w:t>1)项目建设合格率</w:t>
      </w:r>
      <w:r>
        <w:rPr>
          <w:rFonts w:ascii="仿宋" w:hAnsi="仿宋" w:eastAsia="仿宋" w:cs="仿宋"/>
          <w:sz w:val="32"/>
        </w:rPr>
        <w:t>(%)，目标值90，完成值90，分值10，得分10</w:t>
      </w:r>
      <w:r>
        <w:rPr>
          <w:rFonts w:hint="eastAsia" w:ascii="仿宋" w:hAnsi="仿宋" w:eastAsia="仿宋"/>
          <w:sz w:val="32"/>
          <w:szCs w:val="32"/>
        </w:rPr>
        <w:t>。</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sz w:val="32"/>
        </w:rPr>
        <w:t>1)项目完成率</w:t>
      </w:r>
      <w:r>
        <w:rPr>
          <w:rFonts w:ascii="仿宋" w:hAnsi="仿宋" w:eastAsia="仿宋" w:cs="仿宋"/>
          <w:sz w:val="32"/>
        </w:rPr>
        <w:t>(%)，目标值90，完成值90，分值20，得分20</w:t>
      </w:r>
      <w:r>
        <w:rPr>
          <w:rFonts w:hint="eastAsia" w:ascii="仿宋" w:hAnsi="仿宋" w:eastAsia="仿宋"/>
          <w:sz w:val="32"/>
          <w:szCs w:val="32"/>
        </w:rPr>
        <w:t>。</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sz w:val="32"/>
        </w:rPr>
        <w:t>1)新型经营主体标准化建设项目参与户数量</w:t>
      </w:r>
      <w:r>
        <w:rPr>
          <w:rFonts w:ascii="仿宋" w:hAnsi="仿宋" w:eastAsia="仿宋" w:cs="仿宋"/>
          <w:sz w:val="32"/>
        </w:rPr>
        <w:t>(户)，目标值70，完成值70，分值30，得分30</w:t>
      </w:r>
      <w:r>
        <w:rPr>
          <w:rFonts w:hint="eastAsia" w:ascii="仿宋" w:hAnsi="仿宋" w:eastAsia="仿宋"/>
          <w:sz w:val="32"/>
          <w:szCs w:val="32"/>
        </w:rPr>
        <w:t>。</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80aa99c1"/>
        <w:spacing w:line="620" w:lineRule="exact"/>
        <w:ind w:left="420" w:leftChars="200"/>
        <w:rPr>
          <w:rFonts w:ascii="仿宋" w:hAnsi="仿宋" w:eastAsia="仿宋"/>
          <w:sz w:val="32"/>
          <w:szCs w:val="32"/>
        </w:rPr>
      </w:pPr>
      <w:r>
        <w:rPr>
          <w:rFonts w:ascii="仿宋_GB2312" w:hAnsi="仿宋_GB2312" w:eastAsia="仿宋_GB2312" w:cs="仿宋_GB2312"/>
          <w:sz w:val="32"/>
        </w:rPr>
        <w:t>1)林农满意度</w:t>
      </w:r>
      <w:r>
        <w:rPr>
          <w:rFonts w:ascii="仿宋" w:hAnsi="仿宋" w:eastAsia="仿宋" w:cs="仿宋"/>
          <w:sz w:val="32"/>
        </w:rPr>
        <w:t>(%)，目标值90，完成值90，分值10，得分10</w:t>
      </w:r>
      <w:r>
        <w:rPr>
          <w:rFonts w:hint="eastAsia" w:ascii="仿宋" w:hAnsi="仿宋" w:eastAsia="仿宋"/>
          <w:sz w:val="32"/>
          <w:szCs w:val="32"/>
        </w:rPr>
        <w:t>。</w:t>
      </w:r>
    </w:p>
    <w:p>
      <w:pPr>
        <w:pStyle w:val="80aa99c1"/>
        <w:tabs>
          <w:tab w:val="left" w:pos="2244"/>
        </w:tabs>
        <w:spacing w:line="620" w:lineRule="exact"/>
        <w:ind w:left="1890" w:leftChars="900"/>
        <w:rPr>
          <w:rFonts w:ascii="仿宋" w:hAnsi="仿宋" w:eastAsia="仿宋"/>
          <w:b/>
          <w:color w:val="FF0000"/>
          <w:sz w:val="32"/>
          <w:szCs w:val="32"/>
        </w:rPr>
      </w:pPr>
    </w:p>
    <w:p>
      <w:pPr>
        <w:pStyle w:val="80aa99c1"/>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80aa99c1"/>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80aa99c1"/>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新型林业经营主体普遍存在规模小、组织化程度低、经营管理粗放等问题，合作社、家庭林场等发展不够规范。</w:t>
      </w:r>
    </w:p>
    <w:p>
      <w:pPr>
        <w:pStyle w:val="80aa99c1"/>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80aa99c1"/>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加大龙头企业带动作用，规范合作社、家庭林场发展，实现集约化、标准化生产。</w:t>
      </w:r>
    </w:p>
    <w:p>
      <w:pPr>
        <w:pStyle w:val="80aa99c1"/>
        <w:ind w:left="840" w:firstLine="420"/>
        <w:sectPr>
          <w:type w:val="continuous"/>
          <w:pgSz w:w="11907" w:h="16840"/>
        </w:sectPr>
      </w:pPr>
    </w:p>
    <w:p>
      <w:pPr>
        <w:pageBreakBefore w:val="true"/>
      </w:pPr>
    </w:p>
    <w:p>
      <w:pPr>
        <w:pStyle w:val="6c40f613"/>
        <w:rPr>
          <w:rFonts w:ascii="仿宋" w:hAnsi="仿宋" w:eastAsia="仿宋"/>
          <w:sz w:val="32"/>
          <w:szCs w:val="32"/>
        </w:rPr>
      </w:pPr>
    </w:p>
    <w:p>
      <w:pPr>
        <w:pStyle w:val="6c40f613"/>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bookmarkStart w:id="0" w:name="_GoBack"/>
      <w:bookmarkEnd w:id="0"/>
      <w:r>
        <w:rPr>
          <w:rFonts w:ascii="宋体" w:hAnsi="宋体" w:eastAsia="宋体" w:cs="宋体"/>
          <w:b/>
          <w:sz w:val="44"/>
        </w:rPr>
        <w:t>报告</w:t>
      </w:r>
    </w:p>
    <w:p>
      <w:pPr>
        <w:pStyle w:val="6c40f613"/>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泉财农指〔2025〕56号，2025年中央财政林业草原专项资金（市县部分第二批）：森林生态保护修复补偿支出（森林修复）30.69万元）</w:t>
      </w:r>
      <w:r>
        <w:rPr>
          <w:rFonts w:hint="eastAsia" w:ascii="仿宋" w:hAnsi="仿宋" w:eastAsia="仿宋"/>
          <w:sz w:val="32"/>
          <w:szCs w:val="32"/>
        </w:rPr>
        <w:t>）</w:t>
      </w:r>
    </w:p>
    <w:p>
      <w:pPr>
        <w:pStyle w:val="6c40f613"/>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6c40f613"/>
        <w:ind w:firstLine="643" w:firstLineChars="200"/>
        <w:rPr>
          <w:rFonts w:ascii="仿宋" w:hAnsi="仿宋" w:eastAsia="仿宋"/>
          <w:sz w:val="32"/>
          <w:szCs w:val="32"/>
        </w:rPr>
      </w:pPr>
      <w:r>
        <w:rPr>
          <w:rFonts w:hint="eastAsia" w:ascii="仿宋" w:hAnsi="仿宋" w:eastAsia="仿宋"/>
          <w:b/>
          <w:sz w:val="32"/>
          <w:szCs w:val="32"/>
        </w:rPr>
        <w:t>（一）项目概况</w:t>
      </w:r>
    </w:p>
    <w:p>
      <w:pPr>
        <w:pStyle w:val="6c40f613"/>
        <w:ind w:firstLine="1472" w:firstLineChars="460"/>
        <w:rPr>
          <w:rFonts w:ascii="仿宋" w:hAnsi="仿宋" w:eastAsia="仿宋"/>
          <w:sz w:val="32"/>
          <w:szCs w:val="32"/>
        </w:rPr>
      </w:pPr>
      <w:r>
        <w:rPr>
          <w:rFonts w:hint="eastAsia" w:ascii="仿宋" w:hAnsi="仿宋" w:eastAsia="仿宋"/>
          <w:sz w:val="32"/>
          <w:szCs w:val="32"/>
        </w:rPr>
        <w:t>完成森林保护修复补偿项目（天然林修复）建设1000亩。</w:t>
      </w:r>
      <w:r>
        <w:rPr>
          <w:rFonts w:ascii="仿宋" w:hAnsi="仿宋" w:eastAsia="仿宋" w:cs="仿宋"/>
          <w:sz w:val="32"/>
        </w:rPr>
        <w:t xml:space="preserve"> </w:t>
      </w:r>
    </w:p>
    <w:p>
      <w:pPr>
        <w:pStyle w:val="6c40f613"/>
        <w:ind w:firstLine="643" w:firstLineChars="200"/>
        <w:rPr>
          <w:rFonts w:ascii="仿宋" w:hAnsi="仿宋" w:eastAsia="仿宋"/>
          <w:sz w:val="32"/>
          <w:szCs w:val="32"/>
        </w:rPr>
      </w:pPr>
      <w:r>
        <w:rPr>
          <w:rFonts w:hint="eastAsia" w:ascii="仿宋" w:hAnsi="仿宋" w:eastAsia="仿宋"/>
          <w:b/>
          <w:sz w:val="32"/>
          <w:szCs w:val="32"/>
        </w:rPr>
        <w:t>（二）主要成效</w:t>
      </w:r>
    </w:p>
    <w:p>
      <w:pPr>
        <w:pStyle w:val="6c40f613"/>
        <w:ind w:firstLine="1472" w:firstLineChars="460"/>
        <w:rPr>
          <w:rFonts w:ascii="仿宋" w:hAnsi="仿宋" w:eastAsia="仿宋"/>
          <w:sz w:val="32"/>
          <w:szCs w:val="32"/>
        </w:rPr>
      </w:pPr>
    </w:p>
    <w:p>
      <w:pPr>
        <w:pStyle w:val="6c40f613"/>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6c40f613"/>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90分，等级为优，设置绩效目标8个，实际完成8个，具体情况如下：</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sz w:val="32"/>
        </w:rPr>
        <w:t>1)森林生态修复补助兑现率</w:t>
      </w:r>
      <w:r>
        <w:rPr>
          <w:rFonts w:ascii="仿宋" w:hAnsi="仿宋" w:eastAsia="仿宋" w:cs="仿宋"/>
          <w:sz w:val="32"/>
        </w:rPr>
        <w:t>(%)，目标值550，完成值550，分值5，得分5</w:t>
      </w:r>
      <w:r>
        <w:rPr>
          <w:rFonts w:hint="eastAsia" w:ascii="仿宋" w:hAnsi="仿宋" w:eastAsia="仿宋"/>
          <w:sz w:val="32"/>
          <w:szCs w:val="32"/>
        </w:rPr>
        <w:t>。</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sz w:val="32"/>
        </w:rPr>
        <w:t>1)项目投入金额</w:t>
      </w:r>
      <w:r>
        <w:rPr>
          <w:rFonts w:ascii="仿宋" w:hAnsi="仿宋" w:eastAsia="仿宋" w:cs="仿宋"/>
          <w:sz w:val="32"/>
        </w:rPr>
        <w:t>(万元)，目标值30.69，完成值30.69，分值5，得分5</w:t>
      </w:r>
      <w:r>
        <w:rPr>
          <w:rFonts w:hint="eastAsia" w:ascii="仿宋" w:hAnsi="仿宋" w:eastAsia="仿宋"/>
          <w:sz w:val="32"/>
          <w:szCs w:val="32"/>
        </w:rPr>
        <w:t>。</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sz w:val="32"/>
        </w:rPr>
        <w:t>1)保护修复面积</w:t>
      </w:r>
      <w:r>
        <w:rPr>
          <w:rFonts w:ascii="仿宋" w:hAnsi="仿宋" w:eastAsia="仿宋" w:cs="仿宋"/>
          <w:sz w:val="32"/>
        </w:rPr>
        <w:t>(亩)，目标值1000，完成值1000，分值20，得分20</w:t>
      </w:r>
      <w:r>
        <w:rPr>
          <w:rFonts w:hint="eastAsia" w:ascii="仿宋" w:hAnsi="仿宋" w:eastAsia="仿宋"/>
          <w:sz w:val="32"/>
          <w:szCs w:val="32"/>
        </w:rPr>
        <w:t>。</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sz w:val="32"/>
        </w:rPr>
        <w:t>1)保护修复合格率</w:t>
      </w:r>
      <w:r>
        <w:rPr>
          <w:rFonts w:ascii="仿宋" w:hAnsi="仿宋" w:eastAsia="仿宋" w:cs="仿宋"/>
          <w:sz w:val="32"/>
        </w:rPr>
        <w:t>(%)，目标值85，完成值85，分值10，得分10</w:t>
      </w:r>
      <w:r>
        <w:rPr>
          <w:rFonts w:hint="eastAsia" w:ascii="仿宋" w:hAnsi="仿宋" w:eastAsia="仿宋"/>
          <w:sz w:val="32"/>
          <w:szCs w:val="32"/>
        </w:rPr>
        <w:t>。</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sz w:val="32"/>
        </w:rPr>
        <w:t>1)项目完成及时率</w:t>
      </w:r>
      <w:r>
        <w:rPr>
          <w:rFonts w:ascii="仿宋" w:hAnsi="仿宋" w:eastAsia="仿宋" w:cs="仿宋"/>
          <w:sz w:val="32"/>
        </w:rPr>
        <w:t>(%)，目标值100，完成值100，分值10，得分10</w:t>
      </w:r>
      <w:r>
        <w:rPr>
          <w:rFonts w:hint="eastAsia" w:ascii="仿宋" w:hAnsi="仿宋" w:eastAsia="仿宋"/>
          <w:sz w:val="32"/>
          <w:szCs w:val="32"/>
        </w:rPr>
        <w:t>。</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sz w:val="32"/>
        </w:rPr>
        <w:t>1)森林生态系统功能改善可持续影响</w:t>
      </w:r>
      <w:r>
        <w:rPr>
          <w:rFonts w:ascii="仿宋" w:hAnsi="仿宋" w:eastAsia="仿宋" w:cs="仿宋"/>
          <w:sz w:val="32"/>
        </w:rPr>
        <w:t>(无)，目标值明显，完成值明显，分值20，得分20</w:t>
      </w:r>
      <w:r>
        <w:rPr>
          <w:rFonts w:hint="eastAsia" w:ascii="仿宋" w:hAnsi="仿宋" w:eastAsia="仿宋"/>
          <w:sz w:val="32"/>
          <w:szCs w:val="32"/>
        </w:rPr>
        <w:t>。</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sz w:val="32"/>
        </w:rPr>
        <w:t>1)森林生态系统生态效益发挥</w:t>
      </w:r>
      <w:r>
        <w:rPr>
          <w:rFonts w:ascii="仿宋" w:hAnsi="仿宋" w:eastAsia="仿宋" w:cs="仿宋"/>
          <w:sz w:val="32"/>
        </w:rPr>
        <w:t>(无)，目标值100，完成值100，分值10，得分10</w:t>
      </w:r>
      <w:r>
        <w:rPr>
          <w:rFonts w:hint="eastAsia" w:ascii="仿宋" w:hAnsi="仿宋" w:eastAsia="仿宋"/>
          <w:sz w:val="32"/>
          <w:szCs w:val="32"/>
        </w:rPr>
        <w:t>。</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6c40f613"/>
        <w:spacing w:line="620" w:lineRule="exact"/>
        <w:ind w:left="420" w:leftChars="200"/>
        <w:rPr>
          <w:rFonts w:ascii="仿宋" w:hAnsi="仿宋" w:eastAsia="仿宋"/>
          <w:sz w:val="32"/>
          <w:szCs w:val="32"/>
        </w:rPr>
      </w:pPr>
      <w:r>
        <w:rPr>
          <w:rFonts w:ascii="仿宋_GB2312" w:hAnsi="仿宋_GB2312" w:eastAsia="仿宋_GB2312" w:cs="仿宋_GB2312"/>
          <w:sz w:val="32"/>
        </w:rPr>
        <w:t>1)社会群众对造林绿化满意度</w:t>
      </w:r>
      <w:r>
        <w:rPr>
          <w:rFonts w:ascii="仿宋_GB2312" w:hAnsi="仿宋_GB2312" w:eastAsia="仿宋_GB2312" w:cs="仿宋_GB2312"/>
          <w:sz w:val="32"/>
        </w:rPr>
        <w:cr/>
      </w:r>
      <w:r>
        <w:rPr>
          <w:rFonts w:ascii="仿宋" w:hAnsi="仿宋" w:eastAsia="仿宋" w:cs="仿宋"/>
          <w:sz w:val="32"/>
        </w:rPr>
        <w:t>(%)，目标值90，完成值90，分值10，得分10</w:t>
      </w:r>
      <w:r>
        <w:rPr>
          <w:rFonts w:hint="eastAsia" w:ascii="仿宋" w:hAnsi="仿宋" w:eastAsia="仿宋"/>
          <w:sz w:val="32"/>
          <w:szCs w:val="32"/>
        </w:rPr>
        <w:t>。</w:t>
      </w:r>
    </w:p>
    <w:p>
      <w:pPr>
        <w:pStyle w:val="6c40f613"/>
        <w:tabs>
          <w:tab w:val="left" w:pos="2244"/>
        </w:tabs>
        <w:spacing w:line="620" w:lineRule="exact"/>
        <w:ind w:left="1890" w:leftChars="900"/>
        <w:rPr>
          <w:rFonts w:ascii="仿宋" w:hAnsi="仿宋" w:eastAsia="仿宋"/>
          <w:b/>
          <w:color w:val="FF0000"/>
          <w:sz w:val="32"/>
          <w:szCs w:val="32"/>
        </w:rPr>
      </w:pPr>
    </w:p>
    <w:p>
      <w:pPr>
        <w:pStyle w:val="6c40f613"/>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6c40f613"/>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6c40f613"/>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6c40f613"/>
        <w:ind w:left="840" w:firstLine="420"/>
        <w:sectPr>
          <w:type w:val="continuous"/>
          <w:pgSz w:w="11907" w:h="16840"/>
        </w:sectPr>
      </w:pPr>
    </w:p>
    <w:p>
      <w:pPr>
        <w:pageBreakBefore w:val="true"/>
      </w:pPr>
    </w:p>
    <w:p>
      <w:pPr>
        <w:pStyle w:val="9241ab34"/>
        <w:rPr>
          <w:rFonts w:ascii="仿宋" w:hAnsi="仿宋" w:eastAsia="仿宋"/>
          <w:sz w:val="32"/>
          <w:szCs w:val="32"/>
        </w:rPr>
      </w:pPr>
      <w:bookmarkStart w:id="0" w:name="_GoBack"/>
      <w:bookmarkEnd w:id="0"/>
    </w:p>
    <w:p>
      <w:pPr>
        <w:pStyle w:val="9241ab34"/>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r>
        <w:rPr>
          <w:rFonts w:ascii="宋体" w:hAnsi="宋体" w:eastAsia="宋体" w:cs="宋体"/>
          <w:b/>
          <w:sz w:val="44"/>
        </w:rPr>
        <w:t>报告</w:t>
      </w:r>
    </w:p>
    <w:p>
      <w:pPr>
        <w:pStyle w:val="9241ab34"/>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泉财农指〔2024〕140号，2025年省级财政林业专项资金（国土绿化——造林绿化）</w:t>
      </w:r>
      <w:r>
        <w:rPr>
          <w:rFonts w:hint="eastAsia" w:ascii="仿宋" w:hAnsi="仿宋" w:eastAsia="仿宋"/>
          <w:sz w:val="32"/>
          <w:szCs w:val="32"/>
        </w:rPr>
        <w:t>）</w:t>
      </w:r>
    </w:p>
    <w:p>
      <w:pPr>
        <w:pStyle w:val="9241ab34"/>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9241ab34"/>
        <w:ind w:firstLine="643" w:firstLineChars="200"/>
        <w:rPr>
          <w:rFonts w:ascii="仿宋" w:hAnsi="仿宋" w:eastAsia="仿宋"/>
          <w:sz w:val="32"/>
          <w:szCs w:val="32"/>
        </w:rPr>
      </w:pPr>
      <w:r>
        <w:rPr>
          <w:rFonts w:hint="eastAsia" w:ascii="仿宋" w:hAnsi="仿宋" w:eastAsia="仿宋"/>
          <w:b/>
          <w:sz w:val="32"/>
          <w:szCs w:val="32"/>
        </w:rPr>
        <w:t>（一）项目概况</w:t>
      </w:r>
    </w:p>
    <w:p>
      <w:pPr>
        <w:pStyle w:val="9241ab34"/>
        <w:ind w:firstLine="1472" w:firstLineChars="460"/>
        <w:rPr>
          <w:rFonts w:ascii="仿宋" w:hAnsi="仿宋" w:eastAsia="仿宋"/>
          <w:sz w:val="32"/>
          <w:szCs w:val="32"/>
        </w:rPr>
      </w:pPr>
      <w:r>
        <w:rPr>
          <w:rFonts w:hint="eastAsia" w:ascii="仿宋" w:hAnsi="仿宋" w:eastAsia="仿宋"/>
          <w:sz w:val="32"/>
          <w:szCs w:val="32"/>
        </w:rPr>
        <w:t>完成2025年省级造林任务。</w:t>
      </w:r>
      <w:r>
        <w:rPr>
          <w:rFonts w:ascii="仿宋" w:hAnsi="仿宋" w:eastAsia="仿宋" w:cs="仿宋"/>
          <w:sz w:val="32"/>
        </w:rPr>
        <w:t xml:space="preserve"> </w:t>
      </w:r>
    </w:p>
    <w:p>
      <w:pPr>
        <w:pStyle w:val="9241ab34"/>
        <w:ind w:firstLine="643" w:firstLineChars="200"/>
        <w:rPr>
          <w:rFonts w:ascii="仿宋" w:hAnsi="仿宋" w:eastAsia="仿宋"/>
          <w:sz w:val="32"/>
          <w:szCs w:val="32"/>
        </w:rPr>
      </w:pPr>
      <w:r>
        <w:rPr>
          <w:rFonts w:hint="eastAsia" w:ascii="仿宋" w:hAnsi="仿宋" w:eastAsia="仿宋"/>
          <w:b/>
          <w:sz w:val="32"/>
          <w:szCs w:val="32"/>
        </w:rPr>
        <w:t>（二）主要成效</w:t>
      </w:r>
    </w:p>
    <w:p>
      <w:pPr>
        <w:pStyle w:val="9241ab34"/>
        <w:ind w:firstLine="1472" w:firstLineChars="460"/>
        <w:rPr>
          <w:rFonts w:ascii="仿宋" w:hAnsi="仿宋" w:eastAsia="仿宋"/>
          <w:sz w:val="32"/>
          <w:szCs w:val="32"/>
        </w:rPr>
      </w:pPr>
    </w:p>
    <w:p>
      <w:pPr>
        <w:pStyle w:val="9241ab34"/>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9241ab34"/>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90分，等级为优，设置绩效目标8个，实际完成8个，具体情况如下：</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sz w:val="32"/>
        </w:rPr>
        <w:t>1)珍贵用材树种造林补助</w:t>
      </w:r>
      <w:r>
        <w:rPr>
          <w:rFonts w:ascii="仿宋" w:hAnsi="仿宋" w:eastAsia="仿宋" w:cs="仿宋"/>
          <w:sz w:val="32"/>
        </w:rPr>
        <w:t>(%)，目标值550，完成值550，分值10，得分10</w:t>
      </w:r>
      <w:r>
        <w:rPr>
          <w:rFonts w:hint="eastAsia" w:ascii="仿宋" w:hAnsi="仿宋" w:eastAsia="仿宋"/>
          <w:sz w:val="32"/>
          <w:szCs w:val="32"/>
        </w:rPr>
        <w:t>。</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sz w:val="32"/>
        </w:rPr>
        <w:t>1)植树造林面积</w:t>
      </w:r>
      <w:r>
        <w:rPr>
          <w:rFonts w:ascii="仿宋" w:hAnsi="仿宋" w:eastAsia="仿宋" w:cs="仿宋"/>
          <w:sz w:val="32"/>
        </w:rPr>
        <w:t>(亩)，目标值4560，完成值4560，分值10，得分10</w:t>
      </w:r>
      <w:r>
        <w:rPr>
          <w:rFonts w:hint="eastAsia" w:ascii="仿宋" w:hAnsi="仿宋" w:eastAsia="仿宋"/>
          <w:sz w:val="32"/>
          <w:szCs w:val="32"/>
        </w:rPr>
        <w:t>。</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sz w:val="32"/>
        </w:rPr>
        <w:t>2)森林抚育补助面积</w:t>
      </w:r>
      <w:r>
        <w:rPr>
          <w:rFonts w:ascii="仿宋" w:hAnsi="仿宋" w:eastAsia="仿宋" w:cs="仿宋"/>
          <w:sz w:val="32"/>
        </w:rPr>
        <w:t>(亩)，目标值1960，完成值1960，分值10，得分10</w:t>
      </w:r>
      <w:r>
        <w:rPr>
          <w:rFonts w:hint="eastAsia" w:ascii="仿宋" w:hAnsi="仿宋" w:eastAsia="仿宋"/>
          <w:sz w:val="32"/>
          <w:szCs w:val="32"/>
        </w:rPr>
        <w:t>。</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sz w:val="32"/>
        </w:rPr>
        <w:t>3)珍贵树种造林面积</w:t>
      </w:r>
      <w:r>
        <w:rPr>
          <w:rFonts w:ascii="仿宋" w:hAnsi="仿宋" w:eastAsia="仿宋" w:cs="仿宋"/>
          <w:sz w:val="32"/>
        </w:rPr>
        <w:t>(亩)，目标值1500，完成值1500，分值10，得分10</w:t>
      </w:r>
      <w:r>
        <w:rPr>
          <w:rFonts w:hint="eastAsia" w:ascii="仿宋" w:hAnsi="仿宋" w:eastAsia="仿宋"/>
          <w:sz w:val="32"/>
          <w:szCs w:val="32"/>
        </w:rPr>
        <w:t>。</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sz w:val="32"/>
        </w:rPr>
        <w:t>1)造林成活率</w:t>
      </w:r>
      <w:r>
        <w:rPr>
          <w:rFonts w:ascii="仿宋" w:hAnsi="仿宋" w:eastAsia="仿宋" w:cs="仿宋"/>
          <w:sz w:val="32"/>
        </w:rPr>
        <w:t>(%)，目标值85，完成值85，分值5，得分5</w:t>
      </w:r>
      <w:r>
        <w:rPr>
          <w:rFonts w:hint="eastAsia" w:ascii="仿宋" w:hAnsi="仿宋" w:eastAsia="仿宋"/>
          <w:sz w:val="32"/>
          <w:szCs w:val="32"/>
        </w:rPr>
        <w:t>。</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sz w:val="32"/>
        </w:rPr>
        <w:t>1)造林完成及时率</w:t>
      </w:r>
      <w:r>
        <w:rPr>
          <w:rFonts w:ascii="仿宋" w:hAnsi="仿宋" w:eastAsia="仿宋" w:cs="仿宋"/>
          <w:sz w:val="32"/>
        </w:rPr>
        <w:t>(%)，目标值100，完成值100，分值5，得分5</w:t>
      </w:r>
      <w:r>
        <w:rPr>
          <w:rFonts w:hint="eastAsia" w:ascii="仿宋" w:hAnsi="仿宋" w:eastAsia="仿宋"/>
          <w:sz w:val="32"/>
          <w:szCs w:val="32"/>
        </w:rPr>
        <w:t>。</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sz w:val="32"/>
        </w:rPr>
        <w:t>1)是否明显提高森林质量</w:t>
      </w:r>
      <w:r>
        <w:rPr>
          <w:rFonts w:ascii="仿宋" w:hAnsi="仿宋" w:eastAsia="仿宋" w:cs="仿宋"/>
          <w:sz w:val="32"/>
        </w:rPr>
        <w:t>(%)，目标值100，完成值100，分值30，得分30</w:t>
      </w:r>
      <w:r>
        <w:rPr>
          <w:rFonts w:hint="eastAsia" w:ascii="仿宋" w:hAnsi="仿宋" w:eastAsia="仿宋"/>
          <w:sz w:val="32"/>
          <w:szCs w:val="32"/>
        </w:rPr>
        <w:t>。</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9241ab34"/>
        <w:spacing w:line="620" w:lineRule="exact"/>
        <w:ind w:left="420" w:leftChars="200"/>
        <w:rPr>
          <w:rFonts w:ascii="仿宋" w:hAnsi="仿宋" w:eastAsia="仿宋"/>
          <w:sz w:val="32"/>
          <w:szCs w:val="32"/>
        </w:rPr>
      </w:pPr>
      <w:r>
        <w:rPr>
          <w:rFonts w:ascii="仿宋_GB2312" w:hAnsi="仿宋_GB2312" w:eastAsia="仿宋_GB2312" w:cs="仿宋_GB2312"/>
          <w:sz w:val="32"/>
        </w:rPr>
        <w:t>1)社会群众对造林绿化满意度</w:t>
      </w:r>
      <w:r>
        <w:rPr>
          <w:rFonts w:ascii="仿宋_GB2312" w:hAnsi="仿宋_GB2312" w:eastAsia="仿宋_GB2312" w:cs="仿宋_GB2312"/>
          <w:sz w:val="32"/>
        </w:rPr>
        <w:cr/>
      </w:r>
      <w:r>
        <w:rPr>
          <w:rFonts w:ascii="仿宋" w:hAnsi="仿宋" w:eastAsia="仿宋" w:cs="仿宋"/>
          <w:sz w:val="32"/>
        </w:rPr>
        <w:t>(%)，目标值90，完成值90，分值10，得分10</w:t>
      </w:r>
      <w:r>
        <w:rPr>
          <w:rFonts w:hint="eastAsia" w:ascii="仿宋" w:hAnsi="仿宋" w:eastAsia="仿宋"/>
          <w:sz w:val="32"/>
          <w:szCs w:val="32"/>
        </w:rPr>
        <w:t>。</w:t>
      </w:r>
    </w:p>
    <w:p>
      <w:pPr>
        <w:pStyle w:val="9241ab34"/>
        <w:tabs>
          <w:tab w:val="left" w:pos="2244"/>
        </w:tabs>
        <w:spacing w:line="620" w:lineRule="exact"/>
        <w:ind w:left="1890" w:leftChars="900"/>
        <w:rPr>
          <w:rFonts w:ascii="仿宋" w:hAnsi="仿宋" w:eastAsia="仿宋"/>
          <w:b/>
          <w:color w:val="FF0000"/>
          <w:sz w:val="32"/>
          <w:szCs w:val="32"/>
        </w:rPr>
      </w:pPr>
    </w:p>
    <w:p>
      <w:pPr>
        <w:pStyle w:val="9241ab34"/>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9241ab34"/>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9241ab34"/>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9241ab34"/>
        <w:ind w:left="840" w:firstLine="420"/>
        <w:sectPr>
          <w:type w:val="continuous"/>
          <w:pgSz w:w="11907" w:h="16840"/>
        </w:sectPr>
      </w:pPr>
    </w:p>
    <w:p>
      <w:pPr>
        <w:pageBreakBefore w:val="true"/>
      </w:pPr>
    </w:p>
    <w:p>
      <w:pPr>
        <w:pStyle w:val="76c0b846"/>
        <w:rPr>
          <w:rFonts w:ascii="仿宋" w:hAnsi="仿宋" w:eastAsia="仿宋"/>
          <w:sz w:val="32"/>
          <w:szCs w:val="32"/>
        </w:rPr>
      </w:pPr>
    </w:p>
    <w:p>
      <w:pPr>
        <w:pStyle w:val="76c0b846"/>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bookmarkStart w:id="0" w:name="_GoBack"/>
      <w:bookmarkEnd w:id="0"/>
      <w:r>
        <w:rPr>
          <w:rFonts w:ascii="宋体" w:hAnsi="宋体" w:eastAsia="宋体" w:cs="宋体"/>
          <w:b/>
          <w:sz w:val="44"/>
        </w:rPr>
        <w:t>报告</w:t>
      </w:r>
    </w:p>
    <w:p>
      <w:pPr>
        <w:pStyle w:val="76c0b846"/>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2024年森林管护员工资</w:t>
      </w:r>
      <w:r>
        <w:rPr>
          <w:rFonts w:hint="eastAsia" w:ascii="仿宋" w:hAnsi="仿宋" w:eastAsia="仿宋"/>
          <w:sz w:val="32"/>
          <w:szCs w:val="32"/>
        </w:rPr>
        <w:t>）</w:t>
      </w:r>
    </w:p>
    <w:p>
      <w:pPr>
        <w:pStyle w:val="76c0b846"/>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76c0b846"/>
        <w:ind w:firstLine="643" w:firstLineChars="200"/>
        <w:rPr>
          <w:rFonts w:ascii="仿宋" w:hAnsi="仿宋" w:eastAsia="仿宋"/>
          <w:sz w:val="32"/>
          <w:szCs w:val="32"/>
        </w:rPr>
      </w:pPr>
      <w:r>
        <w:rPr>
          <w:rFonts w:hint="eastAsia" w:ascii="仿宋" w:hAnsi="仿宋" w:eastAsia="仿宋"/>
          <w:b/>
          <w:sz w:val="32"/>
          <w:szCs w:val="32"/>
        </w:rPr>
        <w:t>（一）项目概况</w:t>
      </w:r>
    </w:p>
    <w:p>
      <w:pPr>
        <w:pStyle w:val="76c0b846"/>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76c0b846"/>
        <w:ind w:firstLine="643" w:firstLineChars="200"/>
        <w:rPr>
          <w:rFonts w:ascii="仿宋" w:hAnsi="仿宋" w:eastAsia="仿宋"/>
          <w:sz w:val="32"/>
          <w:szCs w:val="32"/>
        </w:rPr>
      </w:pPr>
      <w:r>
        <w:rPr>
          <w:rFonts w:hint="eastAsia" w:ascii="仿宋" w:hAnsi="仿宋" w:eastAsia="仿宋"/>
          <w:b/>
          <w:sz w:val="32"/>
          <w:szCs w:val="32"/>
        </w:rPr>
        <w:t>（二）主要成效</w:t>
      </w:r>
    </w:p>
    <w:p>
      <w:pPr>
        <w:pStyle w:val="76c0b846"/>
        <w:ind w:firstLine="1472" w:firstLineChars="460"/>
        <w:rPr>
          <w:rFonts w:ascii="仿宋" w:hAnsi="仿宋" w:eastAsia="仿宋"/>
          <w:sz w:val="32"/>
          <w:szCs w:val="32"/>
        </w:rPr>
      </w:pPr>
    </w:p>
    <w:p>
      <w:pPr>
        <w:pStyle w:val="76c0b846"/>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76c0b846"/>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sz w:val="32"/>
        </w:rPr>
        <w:t>1)基本月工资（每人每月）</w:t>
      </w:r>
      <w:r>
        <w:rPr>
          <w:rFonts w:ascii="仿宋" w:hAnsi="仿宋" w:eastAsia="仿宋" w:cs="仿宋"/>
          <w:sz w:val="32"/>
        </w:rPr>
        <w:t>(人/月)，目标值2000，完成值2000，分值10，得分10</w:t>
      </w:r>
      <w:r>
        <w:rPr>
          <w:rFonts w:hint="eastAsia" w:ascii="仿宋" w:hAnsi="仿宋" w:eastAsia="仿宋"/>
          <w:sz w:val="32"/>
          <w:szCs w:val="32"/>
        </w:rPr>
        <w:t>。</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sz w:val="32"/>
        </w:rPr>
        <w:t>1)护林员人数</w:t>
      </w:r>
      <w:r>
        <w:rPr>
          <w:rFonts w:ascii="仿宋" w:hAnsi="仿宋" w:eastAsia="仿宋" w:cs="仿宋"/>
          <w:sz w:val="32"/>
        </w:rPr>
        <w:t>(人)，目标值154，完成值154，分值20，得分20</w:t>
      </w:r>
      <w:r>
        <w:rPr>
          <w:rFonts w:hint="eastAsia" w:ascii="仿宋" w:hAnsi="仿宋" w:eastAsia="仿宋"/>
          <w:sz w:val="32"/>
          <w:szCs w:val="32"/>
        </w:rPr>
        <w:t>。</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sz w:val="32"/>
        </w:rPr>
        <w:t>1)巡护范围</w:t>
      </w:r>
      <w:r>
        <w:rPr>
          <w:rFonts w:ascii="仿宋" w:hAnsi="仿宋" w:eastAsia="仿宋" w:cs="仿宋"/>
          <w:sz w:val="32"/>
        </w:rPr>
        <w:t>(无)，目标值全覆盖，完成值全覆盖，分值10，得分10</w:t>
      </w:r>
      <w:r>
        <w:rPr>
          <w:rFonts w:hint="eastAsia" w:ascii="仿宋" w:hAnsi="仿宋" w:eastAsia="仿宋"/>
          <w:sz w:val="32"/>
          <w:szCs w:val="32"/>
        </w:rPr>
        <w:t>。</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sz w:val="32"/>
        </w:rPr>
        <w:t>1)绩效考评</w:t>
      </w:r>
      <w:r>
        <w:rPr>
          <w:rFonts w:ascii="仿宋" w:hAnsi="仿宋" w:eastAsia="仿宋" w:cs="仿宋"/>
          <w:sz w:val="32"/>
        </w:rPr>
        <w:t>(无)，目标值每季度，完成值每季度，分值10，得分10</w:t>
      </w:r>
      <w:r>
        <w:rPr>
          <w:rFonts w:hint="eastAsia" w:ascii="仿宋" w:hAnsi="仿宋" w:eastAsia="仿宋"/>
          <w:sz w:val="32"/>
          <w:szCs w:val="32"/>
        </w:rPr>
        <w:t>。</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sz w:val="32"/>
        </w:rPr>
        <w:t>1)森林资源管护水平提升</w:t>
      </w:r>
      <w:r>
        <w:rPr>
          <w:rFonts w:ascii="仿宋" w:hAnsi="仿宋" w:eastAsia="仿宋" w:cs="仿宋"/>
          <w:sz w:val="32"/>
        </w:rPr>
        <w:t>(无)，目标值有效提升，完成值有效提升，分值30，得分30</w:t>
      </w:r>
      <w:r>
        <w:rPr>
          <w:rFonts w:hint="eastAsia" w:ascii="仿宋" w:hAnsi="仿宋" w:eastAsia="仿宋"/>
          <w:sz w:val="32"/>
          <w:szCs w:val="32"/>
        </w:rPr>
        <w:t>。</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76c0b846"/>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(%)，目标值90，完成值90，分值10，得分10</w:t>
      </w:r>
      <w:r>
        <w:rPr>
          <w:rFonts w:hint="eastAsia" w:ascii="仿宋" w:hAnsi="仿宋" w:eastAsia="仿宋"/>
          <w:sz w:val="32"/>
          <w:szCs w:val="32"/>
        </w:rPr>
        <w:t>。</w:t>
      </w:r>
    </w:p>
    <w:p>
      <w:pPr>
        <w:pStyle w:val="76c0b846"/>
        <w:tabs>
          <w:tab w:val="left" w:pos="2244"/>
        </w:tabs>
        <w:spacing w:line="620" w:lineRule="exact"/>
        <w:ind w:left="1890" w:leftChars="900"/>
        <w:rPr>
          <w:rFonts w:ascii="仿宋" w:hAnsi="仿宋" w:eastAsia="仿宋"/>
          <w:b/>
          <w:color w:val="FF0000"/>
          <w:sz w:val="32"/>
          <w:szCs w:val="32"/>
        </w:rPr>
      </w:pPr>
    </w:p>
    <w:p>
      <w:pPr>
        <w:pStyle w:val="76c0b846"/>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76c0b846"/>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76c0b846"/>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76c0b846"/>
        <w:ind w:left="840" w:firstLine="420"/>
        <w:sectPr>
          <w:type w:val="continuous"/>
          <w:pgSz w:w="11907" w:h="16840"/>
        </w:sectPr>
      </w:pPr>
    </w:p>
    <w:p>
      <w:pPr>
        <w:pageBreakBefore w:val="true"/>
      </w:pPr>
    </w:p>
    <w:p>
      <w:pPr>
        <w:pStyle w:val="4cf77c0b"/>
        <w:rPr>
          <w:rFonts w:ascii="仿宋" w:hAnsi="仿宋" w:eastAsia="仿宋"/>
          <w:sz w:val="32"/>
          <w:szCs w:val="32"/>
        </w:rPr>
      </w:pPr>
      <w:bookmarkStart w:id="0" w:name="_GoBack"/>
      <w:bookmarkEnd w:id="0"/>
    </w:p>
    <w:p>
      <w:pPr>
        <w:pStyle w:val="4cf77c0b"/>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r>
        <w:rPr>
          <w:rFonts w:ascii="宋体" w:hAnsi="宋体" w:eastAsia="宋体" w:cs="宋体"/>
          <w:b/>
          <w:sz w:val="44"/>
        </w:rPr>
        <w:t>报告</w:t>
      </w:r>
    </w:p>
    <w:p>
      <w:pPr>
        <w:pStyle w:val="4cf77c0b"/>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泉财指标〔2023〕1060号2024年省级财政林业专项资金（林业有害生物防治55万元、林草资源监测1万元）</w:t>
      </w:r>
      <w:r>
        <w:rPr>
          <w:rFonts w:hint="eastAsia" w:ascii="仿宋" w:hAnsi="仿宋" w:eastAsia="仿宋"/>
          <w:sz w:val="32"/>
          <w:szCs w:val="32"/>
        </w:rPr>
        <w:t>）</w:t>
      </w:r>
    </w:p>
    <w:p>
      <w:pPr>
        <w:pStyle w:val="4cf77c0b"/>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4cf77c0b"/>
        <w:ind w:firstLine="643" w:firstLineChars="200"/>
        <w:rPr>
          <w:rFonts w:ascii="仿宋" w:hAnsi="仿宋" w:eastAsia="仿宋"/>
          <w:sz w:val="32"/>
          <w:szCs w:val="32"/>
        </w:rPr>
      </w:pPr>
      <w:r>
        <w:rPr>
          <w:rFonts w:hint="eastAsia" w:ascii="仿宋" w:hAnsi="仿宋" w:eastAsia="仿宋"/>
          <w:b/>
          <w:sz w:val="32"/>
          <w:szCs w:val="32"/>
        </w:rPr>
        <w:t>（一）项目概况</w:t>
      </w:r>
    </w:p>
    <w:p>
      <w:pPr>
        <w:pStyle w:val="4cf77c0b"/>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4cf77c0b"/>
        <w:ind w:firstLine="643" w:firstLineChars="200"/>
        <w:rPr>
          <w:rFonts w:ascii="仿宋" w:hAnsi="仿宋" w:eastAsia="仿宋"/>
          <w:sz w:val="32"/>
          <w:szCs w:val="32"/>
        </w:rPr>
      </w:pPr>
      <w:r>
        <w:rPr>
          <w:rFonts w:hint="eastAsia" w:ascii="仿宋" w:hAnsi="仿宋" w:eastAsia="仿宋"/>
          <w:b/>
          <w:sz w:val="32"/>
          <w:szCs w:val="32"/>
        </w:rPr>
        <w:t>（二）主要成效</w:t>
      </w:r>
    </w:p>
    <w:p>
      <w:pPr>
        <w:pStyle w:val="4cf77c0b"/>
        <w:ind w:firstLine="1472" w:firstLineChars="460"/>
        <w:rPr>
          <w:rFonts w:ascii="仿宋" w:hAnsi="仿宋" w:eastAsia="仿宋"/>
          <w:sz w:val="32"/>
          <w:szCs w:val="32"/>
        </w:rPr>
      </w:pPr>
    </w:p>
    <w:p>
      <w:pPr>
        <w:pStyle w:val="4cf77c0b"/>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4cf77c0b"/>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85分，等级为良，设置绩效目标6个，实际完成5个，具体情况如下：</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sz w:val="32"/>
        </w:rPr>
        <w:t>1)财政投入资金</w:t>
      </w:r>
      <w:r>
        <w:rPr>
          <w:rFonts w:ascii="仿宋" w:hAnsi="仿宋" w:eastAsia="仿宋" w:cs="仿宋"/>
          <w:sz w:val="32"/>
        </w:rPr>
        <w:t>(万元)，目标值1，完成值0.5，分值10，得分5</w:t>
      </w:r>
      <w:r>
        <w:rPr>
          <w:rFonts w:hint="eastAsia" w:ascii="仿宋" w:hAnsi="仿宋" w:eastAsia="仿宋"/>
          <w:sz w:val="32"/>
          <w:szCs w:val="32"/>
        </w:rPr>
        <w:t>。</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sz w:val="32"/>
        </w:rPr>
        <w:t>1)图斑监测数据汇总数量（个）</w:t>
      </w:r>
      <w:r>
        <w:rPr>
          <w:rFonts w:ascii="仿宋" w:hAnsi="仿宋" w:eastAsia="仿宋" w:cs="仿宋"/>
          <w:sz w:val="32"/>
        </w:rPr>
        <w:t>(个)，目标值1，完成值1，分值20，得分20</w:t>
      </w:r>
      <w:r>
        <w:rPr>
          <w:rFonts w:hint="eastAsia" w:ascii="仿宋" w:hAnsi="仿宋" w:eastAsia="仿宋"/>
          <w:sz w:val="32"/>
          <w:szCs w:val="32"/>
        </w:rPr>
        <w:t>。</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sz w:val="32"/>
        </w:rPr>
        <w:t>1)图斑监测情况</w:t>
      </w:r>
      <w:r>
        <w:rPr>
          <w:rFonts w:ascii="仿宋" w:hAnsi="仿宋" w:eastAsia="仿宋" w:cs="仿宋"/>
          <w:sz w:val="32"/>
        </w:rPr>
        <w:t>(无)，目标值完成，完成值完成，分值10，得分10</w:t>
      </w:r>
      <w:r>
        <w:rPr>
          <w:rFonts w:hint="eastAsia" w:ascii="仿宋" w:hAnsi="仿宋" w:eastAsia="仿宋"/>
          <w:sz w:val="32"/>
          <w:szCs w:val="32"/>
        </w:rPr>
        <w:t>。</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sz w:val="32"/>
        </w:rPr>
        <w:t>1)按上级部署时间节点监测完成情况</w:t>
      </w:r>
      <w:r>
        <w:rPr>
          <w:rFonts w:ascii="仿宋" w:hAnsi="仿宋" w:eastAsia="仿宋" w:cs="仿宋"/>
          <w:sz w:val="32"/>
        </w:rPr>
        <w:t>(无)，目标值按时，完成值按时，分值10，得分10</w:t>
      </w:r>
      <w:r>
        <w:rPr>
          <w:rFonts w:hint="eastAsia" w:ascii="仿宋" w:hAnsi="仿宋" w:eastAsia="仿宋"/>
          <w:sz w:val="32"/>
          <w:szCs w:val="32"/>
        </w:rPr>
        <w:t>。</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sz w:val="32"/>
        </w:rPr>
        <w:t>1)森林效益持续发挥</w:t>
      </w:r>
      <w:r>
        <w:rPr>
          <w:rFonts w:ascii="仿宋" w:hAnsi="仿宋" w:eastAsia="仿宋" w:cs="仿宋"/>
          <w:sz w:val="32"/>
        </w:rPr>
        <w:t>(无)，目标值明显，完成值明显，分值30，得分30</w:t>
      </w:r>
      <w:r>
        <w:rPr>
          <w:rFonts w:hint="eastAsia" w:ascii="仿宋" w:hAnsi="仿宋" w:eastAsia="仿宋"/>
          <w:sz w:val="32"/>
          <w:szCs w:val="32"/>
        </w:rPr>
        <w:t>。</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4cf77c0b"/>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w:t>
      </w:r>
      <w:r>
        <w:rPr>
          <w:rFonts w:ascii="仿宋" w:hAnsi="仿宋" w:eastAsia="仿宋" w:cs="仿宋"/>
          <w:sz w:val="32"/>
        </w:rPr>
        <w:t>(%)，目标值90，完成值90，分值10，得分10</w:t>
      </w:r>
      <w:r>
        <w:rPr>
          <w:rFonts w:hint="eastAsia" w:ascii="仿宋" w:hAnsi="仿宋" w:eastAsia="仿宋"/>
          <w:sz w:val="32"/>
          <w:szCs w:val="32"/>
        </w:rPr>
        <w:t>。</w:t>
      </w:r>
    </w:p>
    <w:p>
      <w:pPr>
        <w:pStyle w:val="4cf77c0b"/>
        <w:tabs>
          <w:tab w:val="left" w:pos="2244"/>
        </w:tabs>
        <w:spacing w:line="620" w:lineRule="exact"/>
        <w:ind w:left="1890" w:leftChars="900"/>
        <w:rPr>
          <w:rFonts w:ascii="仿宋" w:hAnsi="仿宋" w:eastAsia="仿宋"/>
          <w:b/>
          <w:color w:val="FF0000"/>
          <w:sz w:val="32"/>
          <w:szCs w:val="32"/>
        </w:rPr>
      </w:pPr>
    </w:p>
    <w:p>
      <w:pPr>
        <w:pStyle w:val="4cf77c0b"/>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4cf77c0b"/>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4cf77c0b"/>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建立和维护监测网络，在购买维护先进设备，需要长期稳定的资金投入，目前财政难以支撑。</w:t>
      </w:r>
    </w:p>
    <w:p>
      <w:pPr>
        <w:pStyle w:val="4cf77c0b"/>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4cf77c0b"/>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建立和维护监测网络，在购买维护先进设备，需要长期稳定的资金投入，目前财政难以支撑。</w:t>
      </w:r>
    </w:p>
    <w:p>
      <w:pPr>
        <w:pStyle w:val="4cf77c0b"/>
        <w:ind w:left="840" w:firstLine="420"/>
        <w:sectPr>
          <w:type w:val="continuous"/>
          <w:pgSz w:w="11907" w:h="16840"/>
        </w:sectPr>
      </w:pPr>
    </w:p>
    <w:p>
      <w:pPr>
        <w:pageBreakBefore w:val="true"/>
      </w:pPr>
    </w:p>
    <w:p>
      <w:pPr>
        <w:pStyle w:val="a491c881"/>
        <w:rPr>
          <w:rFonts w:ascii="仿宋" w:hAnsi="仿宋" w:eastAsia="仿宋"/>
          <w:sz w:val="32"/>
          <w:szCs w:val="32"/>
        </w:rPr>
      </w:pPr>
      <w:bookmarkStart w:id="0" w:name="_GoBack"/>
      <w:bookmarkEnd w:id="0"/>
    </w:p>
    <w:p>
      <w:pPr>
        <w:pStyle w:val="a491c881"/>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r>
        <w:rPr>
          <w:rFonts w:ascii="宋体" w:hAnsi="宋体" w:eastAsia="宋体" w:cs="宋体"/>
          <w:b/>
          <w:sz w:val="44"/>
        </w:rPr>
        <w:t>报告</w:t>
      </w:r>
    </w:p>
    <w:p>
      <w:pPr>
        <w:pStyle w:val="a491c881"/>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泉财指标〔2023〕433号,2023年泉州市级天然商品林停伐管护补助资金</w:t>
      </w:r>
      <w:r>
        <w:rPr>
          <w:rFonts w:hint="eastAsia" w:ascii="仿宋" w:hAnsi="仿宋" w:eastAsia="仿宋"/>
          <w:sz w:val="32"/>
          <w:szCs w:val="32"/>
        </w:rPr>
        <w:t>）</w:t>
      </w:r>
    </w:p>
    <w:p>
      <w:pPr>
        <w:pStyle w:val="a491c881"/>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a491c881"/>
        <w:ind w:firstLine="643" w:firstLineChars="200"/>
        <w:rPr>
          <w:rFonts w:ascii="仿宋" w:hAnsi="仿宋" w:eastAsia="仿宋"/>
          <w:sz w:val="32"/>
          <w:szCs w:val="32"/>
        </w:rPr>
      </w:pPr>
      <w:r>
        <w:rPr>
          <w:rFonts w:hint="eastAsia" w:ascii="仿宋" w:hAnsi="仿宋" w:eastAsia="仿宋"/>
          <w:b/>
          <w:sz w:val="32"/>
          <w:szCs w:val="32"/>
        </w:rPr>
        <w:t>（一）项目概况</w:t>
      </w:r>
    </w:p>
    <w:p>
      <w:pPr>
        <w:pStyle w:val="a491c881"/>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a491c881"/>
        <w:ind w:firstLine="643" w:firstLineChars="200"/>
        <w:rPr>
          <w:rFonts w:ascii="仿宋" w:hAnsi="仿宋" w:eastAsia="仿宋"/>
          <w:sz w:val="32"/>
          <w:szCs w:val="32"/>
        </w:rPr>
      </w:pPr>
      <w:r>
        <w:rPr>
          <w:rFonts w:hint="eastAsia" w:ascii="仿宋" w:hAnsi="仿宋" w:eastAsia="仿宋"/>
          <w:b/>
          <w:sz w:val="32"/>
          <w:szCs w:val="32"/>
        </w:rPr>
        <w:t>（二）主要成效</w:t>
      </w:r>
    </w:p>
    <w:p>
      <w:pPr>
        <w:pStyle w:val="a491c881"/>
        <w:ind w:firstLine="1472" w:firstLineChars="460"/>
        <w:rPr>
          <w:rFonts w:ascii="仿宋" w:hAnsi="仿宋" w:eastAsia="仿宋"/>
          <w:sz w:val="32"/>
          <w:szCs w:val="32"/>
        </w:rPr>
      </w:pPr>
    </w:p>
    <w:p>
      <w:pPr>
        <w:pStyle w:val="a491c881"/>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a491c881"/>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sz w:val="32"/>
        </w:rPr>
        <w:t>1)补助情况</w:t>
      </w:r>
      <w:r>
        <w:rPr>
          <w:rFonts w:ascii="仿宋" w:hAnsi="仿宋" w:eastAsia="仿宋" w:cs="仿宋"/>
          <w:sz w:val="32"/>
        </w:rPr>
        <w:t>(无)，目标值完成，完成值完成，分值10，得分10</w:t>
      </w:r>
      <w:r>
        <w:rPr>
          <w:rFonts w:hint="eastAsia" w:ascii="仿宋" w:hAnsi="仿宋" w:eastAsia="仿宋"/>
          <w:sz w:val="32"/>
          <w:szCs w:val="32"/>
        </w:rPr>
        <w:t>。</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sz w:val="32"/>
        </w:rPr>
        <w:t>1)天然商品林停伐补助面积</w:t>
      </w:r>
      <w:r>
        <w:rPr>
          <w:rFonts w:ascii="仿宋" w:hAnsi="仿宋" w:eastAsia="仿宋" w:cs="仿宋"/>
          <w:sz w:val="32"/>
        </w:rPr>
        <w:t>(万亩)，目标值13.616，完成值13.616，分值20，得分20</w:t>
      </w:r>
      <w:r>
        <w:rPr>
          <w:rFonts w:hint="eastAsia" w:ascii="仿宋" w:hAnsi="仿宋" w:eastAsia="仿宋"/>
          <w:sz w:val="32"/>
          <w:szCs w:val="32"/>
        </w:rPr>
        <w:t>。</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sz w:val="32"/>
        </w:rPr>
        <w:t>1)森林生态系统可持续影响</w:t>
      </w:r>
      <w:r>
        <w:rPr>
          <w:rFonts w:ascii="仿宋" w:hAnsi="仿宋" w:eastAsia="仿宋" w:cs="仿宋"/>
          <w:sz w:val="32"/>
        </w:rPr>
        <w:t>(无)，目标值明显，完成值明显，分值10，得分10</w:t>
      </w:r>
      <w:r>
        <w:rPr>
          <w:rFonts w:hint="eastAsia" w:ascii="仿宋" w:hAnsi="仿宋" w:eastAsia="仿宋"/>
          <w:sz w:val="32"/>
          <w:szCs w:val="32"/>
        </w:rPr>
        <w:t>。</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sz w:val="32"/>
        </w:rPr>
        <w:t>1)补助及时性</w:t>
      </w:r>
      <w:r>
        <w:rPr>
          <w:rFonts w:ascii="仿宋" w:hAnsi="仿宋" w:eastAsia="仿宋" w:cs="仿宋"/>
          <w:sz w:val="32"/>
        </w:rPr>
        <w:t>(无)，目标值完成，完成值完成，分值10，得分10</w:t>
      </w:r>
      <w:r>
        <w:rPr>
          <w:rFonts w:hint="eastAsia" w:ascii="仿宋" w:hAnsi="仿宋" w:eastAsia="仿宋"/>
          <w:sz w:val="32"/>
          <w:szCs w:val="32"/>
        </w:rPr>
        <w:t>。</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sz w:val="32"/>
        </w:rPr>
        <w:t>1)森林生态系统效益发挥</w:t>
      </w:r>
      <w:r>
        <w:rPr>
          <w:rFonts w:ascii="仿宋" w:hAnsi="仿宋" w:eastAsia="仿宋" w:cs="仿宋"/>
          <w:sz w:val="32"/>
        </w:rPr>
        <w:t>(无)，目标值明显，完成值明显，分值30，得分30</w:t>
      </w:r>
      <w:r>
        <w:rPr>
          <w:rFonts w:hint="eastAsia" w:ascii="仿宋" w:hAnsi="仿宋" w:eastAsia="仿宋"/>
          <w:sz w:val="32"/>
          <w:szCs w:val="32"/>
        </w:rPr>
        <w:t>。</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a491c881"/>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1)群众满意度度</w:t>
      </w:r>
      <w:r>
        <w:rPr>
          <w:rFonts w:ascii="仿宋" w:hAnsi="仿宋" w:eastAsia="仿宋" w:cs="仿宋"/>
          <w:sz w:val="32"/>
        </w:rPr>
        <w:t>(%)，目标值85，完成值85，分值10，得分10</w:t>
      </w:r>
      <w:r>
        <w:rPr>
          <w:rFonts w:hint="eastAsia" w:ascii="仿宋" w:hAnsi="仿宋" w:eastAsia="仿宋"/>
          <w:sz w:val="32"/>
          <w:szCs w:val="32"/>
        </w:rPr>
        <w:t>。</w:t>
      </w:r>
    </w:p>
    <w:p>
      <w:pPr>
        <w:pStyle w:val="a491c881"/>
        <w:tabs>
          <w:tab w:val="left" w:pos="2244"/>
        </w:tabs>
        <w:spacing w:line="620" w:lineRule="exact"/>
        <w:ind w:left="1890" w:leftChars="900"/>
        <w:rPr>
          <w:rFonts w:ascii="仿宋" w:hAnsi="仿宋" w:eastAsia="仿宋"/>
          <w:b/>
          <w:color w:val="FF0000"/>
          <w:sz w:val="32"/>
          <w:szCs w:val="32"/>
        </w:rPr>
      </w:pPr>
    </w:p>
    <w:p>
      <w:pPr>
        <w:pStyle w:val="a491c881"/>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a491c881"/>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a491c881"/>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a491c881"/>
        <w:ind w:left="840" w:firstLine="420"/>
        <w:sectPr>
          <w:type w:val="continuous"/>
          <w:pgSz w:w="11907" w:h="16840"/>
        </w:sectPr>
      </w:pPr>
    </w:p>
    <w:p>
      <w:pPr>
        <w:pageBreakBefore w:val="true"/>
      </w:pPr>
    </w:p>
    <w:p>
      <w:pPr>
        <w:pStyle w:val="ab5e00c0"/>
        <w:rPr>
          <w:rFonts w:ascii="仿宋" w:hAnsi="仿宋" w:eastAsia="仿宋"/>
          <w:sz w:val="32"/>
          <w:szCs w:val="32"/>
        </w:rPr>
      </w:pPr>
    </w:p>
    <w:p>
      <w:pPr>
        <w:pStyle w:val="ab5e00c0"/>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ab5e00c0"/>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泉财农指〔2024〕56号，2024年泉州市级财政森林资源培育与管护专项资金（第一批）：造林绿化——中央财政国土绿化试点示范项目配套</w:t>
      </w:r>
      <w:r>
        <w:rPr>
          <w:rFonts w:hint="eastAsia" w:ascii="仿宋" w:hAnsi="仿宋" w:eastAsia="仿宋"/>
          <w:sz w:val="32"/>
          <w:szCs w:val="32"/>
        </w:rPr>
        <w:t>）</w:t>
      </w:r>
    </w:p>
    <w:p>
      <w:pPr>
        <w:pStyle w:val="ab5e00c0"/>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ab5e00c0"/>
        <w:ind w:firstLine="643" w:firstLineChars="200"/>
        <w:rPr>
          <w:rFonts w:ascii="仿宋" w:hAnsi="仿宋" w:eastAsia="仿宋"/>
          <w:sz w:val="32"/>
          <w:szCs w:val="32"/>
        </w:rPr>
      </w:pPr>
      <w:r>
        <w:rPr>
          <w:rFonts w:hint="eastAsia" w:ascii="仿宋" w:hAnsi="仿宋" w:eastAsia="仿宋"/>
          <w:b/>
          <w:sz w:val="32"/>
          <w:szCs w:val="32"/>
        </w:rPr>
        <w:t>（一）项目概况</w:t>
      </w:r>
    </w:p>
    <w:p>
      <w:pPr>
        <w:pStyle w:val="ab5e00c0"/>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ab5e00c0"/>
        <w:ind w:firstLine="643" w:firstLineChars="200"/>
        <w:rPr>
          <w:rFonts w:ascii="仿宋" w:hAnsi="仿宋" w:eastAsia="仿宋"/>
          <w:sz w:val="32"/>
          <w:szCs w:val="32"/>
        </w:rPr>
      </w:pPr>
      <w:r>
        <w:rPr>
          <w:rFonts w:hint="eastAsia" w:ascii="仿宋" w:hAnsi="仿宋" w:eastAsia="仿宋"/>
          <w:b/>
          <w:sz w:val="32"/>
          <w:szCs w:val="32"/>
        </w:rPr>
        <w:t>（二）主要成效</w:t>
      </w:r>
    </w:p>
    <w:p>
      <w:pPr>
        <w:pStyle w:val="ab5e00c0"/>
        <w:ind w:firstLine="1472" w:firstLineChars="460"/>
        <w:rPr>
          <w:rFonts w:ascii="仿宋" w:hAnsi="仿宋" w:eastAsia="仿宋"/>
          <w:sz w:val="32"/>
          <w:szCs w:val="32"/>
        </w:rPr>
      </w:pPr>
    </w:p>
    <w:p>
      <w:pPr>
        <w:pStyle w:val="ab5e00c0"/>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ab5e00c0"/>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sz w:val="32"/>
        </w:rPr>
        <w:t>1)财政投入资金</w:t>
      </w:r>
      <w:r>
        <w:rPr>
          <w:rFonts w:ascii="仿宋" w:hAnsi="仿宋" w:eastAsia="仿宋" w:cs="仿宋"/>
          <w:sz w:val="32"/>
        </w:rPr>
        <w:t>(万元)，目标值20，完成值20，分值10，得分10</w:t>
      </w:r>
      <w:r>
        <w:rPr>
          <w:rFonts w:hint="eastAsia" w:ascii="仿宋" w:hAnsi="仿宋" w:eastAsia="仿宋"/>
          <w:sz w:val="32"/>
          <w:szCs w:val="32"/>
        </w:rPr>
        <w:t>。</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sz w:val="32"/>
        </w:rPr>
        <w:t>1)乡村绿化提升</w:t>
      </w:r>
      <w:r>
        <w:rPr>
          <w:rFonts w:ascii="仿宋" w:hAnsi="仿宋" w:eastAsia="仿宋" w:cs="仿宋"/>
          <w:sz w:val="32"/>
        </w:rPr>
        <w:t>(万亩)，目标值10，完成值10，分值20，得分20</w:t>
      </w:r>
      <w:r>
        <w:rPr>
          <w:rFonts w:hint="eastAsia" w:ascii="仿宋" w:hAnsi="仿宋" w:eastAsia="仿宋"/>
          <w:sz w:val="32"/>
          <w:szCs w:val="32"/>
        </w:rPr>
        <w:t>。</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sz w:val="32"/>
        </w:rPr>
        <w:t>1)森林蓄积提升</w:t>
      </w:r>
      <w:r>
        <w:rPr>
          <w:rFonts w:ascii="仿宋" w:hAnsi="仿宋" w:eastAsia="仿宋" w:cs="仿宋"/>
          <w:sz w:val="32"/>
        </w:rPr>
        <w:t>(无)，目标值有效提升，完成值有效提升，分值10，得分10</w:t>
      </w:r>
      <w:r>
        <w:rPr>
          <w:rFonts w:hint="eastAsia" w:ascii="仿宋" w:hAnsi="仿宋" w:eastAsia="仿宋"/>
          <w:sz w:val="32"/>
          <w:szCs w:val="32"/>
        </w:rPr>
        <w:t>。</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sz w:val="32"/>
        </w:rPr>
        <w:t>1)任务分解情况</w:t>
      </w:r>
      <w:r>
        <w:rPr>
          <w:rFonts w:ascii="仿宋" w:hAnsi="仿宋" w:eastAsia="仿宋" w:cs="仿宋"/>
          <w:sz w:val="32"/>
        </w:rPr>
        <w:t>(无)，目标值完成，完成值完成，分值10，得分10</w:t>
      </w:r>
      <w:r>
        <w:rPr>
          <w:rFonts w:hint="eastAsia" w:ascii="仿宋" w:hAnsi="仿宋" w:eastAsia="仿宋"/>
          <w:sz w:val="32"/>
          <w:szCs w:val="32"/>
        </w:rPr>
        <w:t>。</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sz w:val="32"/>
        </w:rPr>
        <w:t>1)林业政策知晓率率</w:t>
      </w:r>
      <w:r>
        <w:rPr>
          <w:rFonts w:ascii="仿宋" w:hAnsi="仿宋" w:eastAsia="仿宋" w:cs="仿宋"/>
          <w:sz w:val="32"/>
        </w:rPr>
        <w:t>(%)，目标值80，完成值80，分值30，得分30</w:t>
      </w:r>
      <w:r>
        <w:rPr>
          <w:rFonts w:hint="eastAsia" w:ascii="仿宋" w:hAnsi="仿宋" w:eastAsia="仿宋"/>
          <w:sz w:val="32"/>
          <w:szCs w:val="32"/>
        </w:rPr>
        <w:t>。</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ab5e00c0"/>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w:t>
      </w:r>
      <w:r>
        <w:rPr>
          <w:rFonts w:ascii="仿宋" w:hAnsi="仿宋" w:eastAsia="仿宋" w:cs="仿宋"/>
          <w:sz w:val="32"/>
        </w:rPr>
        <w:t>(%)，目标值80，完成值80，分值10，得分10</w:t>
      </w:r>
      <w:r>
        <w:rPr>
          <w:rFonts w:hint="eastAsia" w:ascii="仿宋" w:hAnsi="仿宋" w:eastAsia="仿宋"/>
          <w:sz w:val="32"/>
          <w:szCs w:val="32"/>
        </w:rPr>
        <w:t>。</w:t>
      </w:r>
    </w:p>
    <w:p>
      <w:pPr>
        <w:pStyle w:val="ab5e00c0"/>
        <w:tabs>
          <w:tab w:val="left" w:pos="2244"/>
        </w:tabs>
        <w:spacing w:line="620" w:lineRule="exact"/>
        <w:ind w:left="1890" w:leftChars="900"/>
        <w:rPr>
          <w:rFonts w:ascii="仿宋" w:hAnsi="仿宋" w:eastAsia="仿宋"/>
          <w:b/>
          <w:color w:val="FF0000"/>
          <w:sz w:val="32"/>
          <w:szCs w:val="32"/>
        </w:rPr>
      </w:pPr>
    </w:p>
    <w:p>
      <w:pPr>
        <w:pStyle w:val="ab5e00c0"/>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ab5e00c0"/>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ab5e00c0"/>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ab5e00c0"/>
        <w:ind w:left="840" w:firstLine="420"/>
        <w:sectPr>
          <w:type w:val="continuous"/>
          <w:pgSz w:w="11907" w:h="16840"/>
        </w:sectPr>
      </w:pPr>
    </w:p>
    <w:p>
      <w:pPr>
        <w:pageBreakBefore w:val="true"/>
      </w:pPr>
    </w:p>
    <w:p>
      <w:pPr>
        <w:pStyle w:val="b7ce2812"/>
        <w:rPr>
          <w:rFonts w:ascii="仿宋" w:hAnsi="仿宋" w:eastAsia="仿宋"/>
          <w:sz w:val="32"/>
          <w:szCs w:val="32"/>
        </w:rPr>
      </w:pPr>
      <w:bookmarkStart w:id="0" w:name="_GoBack"/>
      <w:bookmarkEnd w:id="0"/>
    </w:p>
    <w:p>
      <w:pPr>
        <w:pStyle w:val="b7ce2812"/>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r>
        <w:rPr>
          <w:rFonts w:ascii="宋体" w:hAnsi="宋体" w:eastAsia="宋体" w:cs="宋体"/>
          <w:b/>
          <w:sz w:val="44"/>
        </w:rPr>
        <w:t>报告</w:t>
      </w:r>
    </w:p>
    <w:p>
      <w:pPr>
        <w:pStyle w:val="b7ce2812"/>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南林函〔2025〕459号， 国土绿化试点示范项目监理费用</w:t>
      </w:r>
      <w:r>
        <w:rPr>
          <w:rFonts w:hint="eastAsia" w:ascii="仿宋" w:hAnsi="仿宋" w:eastAsia="仿宋"/>
          <w:sz w:val="32"/>
          <w:szCs w:val="32"/>
        </w:rPr>
        <w:t>）</w:t>
      </w:r>
    </w:p>
    <w:p>
      <w:pPr>
        <w:pStyle w:val="b7ce2812"/>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b7ce2812"/>
        <w:ind w:firstLine="643" w:firstLineChars="200"/>
        <w:rPr>
          <w:rFonts w:ascii="仿宋" w:hAnsi="仿宋" w:eastAsia="仿宋"/>
          <w:sz w:val="32"/>
          <w:szCs w:val="32"/>
        </w:rPr>
      </w:pPr>
      <w:r>
        <w:rPr>
          <w:rFonts w:hint="eastAsia" w:ascii="仿宋" w:hAnsi="仿宋" w:eastAsia="仿宋"/>
          <w:b/>
          <w:sz w:val="32"/>
          <w:szCs w:val="32"/>
        </w:rPr>
        <w:t>（一）项目概况</w:t>
      </w:r>
    </w:p>
    <w:p>
      <w:pPr>
        <w:pStyle w:val="b7ce2812"/>
        <w:ind w:firstLine="1472" w:firstLineChars="460"/>
        <w:rPr>
          <w:rFonts w:ascii="仿宋" w:hAnsi="仿宋" w:eastAsia="仿宋"/>
          <w:sz w:val="32"/>
          <w:szCs w:val="32"/>
        </w:rPr>
      </w:pPr>
      <w:r>
        <w:rPr>
          <w:rFonts w:hint="eastAsia" w:ascii="仿宋" w:hAnsi="仿宋" w:eastAsia="仿宋"/>
          <w:sz w:val="32"/>
          <w:szCs w:val="32"/>
        </w:rPr>
        <w:t>完成2023-2024年度国土绿化试点示范项目监理工作</w:t>
      </w:r>
      <w:r>
        <w:rPr>
          <w:rFonts w:ascii="仿宋" w:hAnsi="仿宋" w:eastAsia="仿宋" w:cs="仿宋"/>
          <w:sz w:val="32"/>
        </w:rPr>
        <w:t xml:space="preserve"> </w:t>
      </w:r>
    </w:p>
    <w:p>
      <w:pPr>
        <w:pStyle w:val="b7ce2812"/>
        <w:ind w:firstLine="643" w:firstLineChars="200"/>
        <w:rPr>
          <w:rFonts w:ascii="仿宋" w:hAnsi="仿宋" w:eastAsia="仿宋"/>
          <w:sz w:val="32"/>
          <w:szCs w:val="32"/>
        </w:rPr>
      </w:pPr>
      <w:r>
        <w:rPr>
          <w:rFonts w:hint="eastAsia" w:ascii="仿宋" w:hAnsi="仿宋" w:eastAsia="仿宋"/>
          <w:b/>
          <w:sz w:val="32"/>
          <w:szCs w:val="32"/>
        </w:rPr>
        <w:t>（二）主要成效</w:t>
      </w:r>
    </w:p>
    <w:p>
      <w:pPr>
        <w:pStyle w:val="b7ce2812"/>
        <w:ind w:firstLine="1472" w:firstLineChars="460"/>
        <w:rPr>
          <w:rFonts w:ascii="仿宋" w:hAnsi="仿宋" w:eastAsia="仿宋"/>
          <w:sz w:val="32"/>
          <w:szCs w:val="32"/>
        </w:rPr>
      </w:pPr>
    </w:p>
    <w:p>
      <w:pPr>
        <w:pStyle w:val="b7ce2812"/>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b7ce2812"/>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89.37分，等级为良，设置绩效目标8个，实际完成7个，具体情况如下：</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sz w:val="32"/>
        </w:rPr>
        <w:t>1)财政投入</w:t>
      </w:r>
      <w:r>
        <w:rPr>
          <w:rFonts w:ascii="仿宋" w:hAnsi="仿宋" w:eastAsia="仿宋" w:cs="仿宋"/>
          <w:sz w:val="32"/>
        </w:rPr>
        <w:t>(万元)，目标值59.9853，完成值22.1753，分值1，得分0.37</w:t>
      </w:r>
      <w:r>
        <w:rPr>
          <w:rFonts w:hint="eastAsia" w:ascii="仿宋" w:hAnsi="仿宋" w:eastAsia="仿宋"/>
          <w:sz w:val="32"/>
          <w:szCs w:val="32"/>
        </w:rPr>
        <w:t>。</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sz w:val="32"/>
        </w:rPr>
        <w:t>1)对周边环境可持续影响</w:t>
      </w:r>
      <w:r>
        <w:rPr>
          <w:rFonts w:ascii="仿宋" w:hAnsi="仿宋" w:eastAsia="仿宋" w:cs="仿宋"/>
          <w:sz w:val="32"/>
        </w:rPr>
        <w:t>(无)，目标值促进，完成值促进，分值9，得分9</w:t>
      </w:r>
      <w:r>
        <w:rPr>
          <w:rFonts w:hint="eastAsia" w:ascii="仿宋" w:hAnsi="仿宋" w:eastAsia="仿宋"/>
          <w:sz w:val="32"/>
          <w:szCs w:val="32"/>
        </w:rPr>
        <w:t>。</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sz w:val="32"/>
        </w:rPr>
        <w:t>1)完成项目监理面积面积</w:t>
      </w:r>
      <w:r>
        <w:rPr>
          <w:rFonts w:ascii="仿宋" w:hAnsi="仿宋" w:eastAsia="仿宋" w:cs="仿宋"/>
          <w:sz w:val="32"/>
        </w:rPr>
        <w:t>(亩)，目标值82413，完成值82413，分值20，得分20</w:t>
      </w:r>
      <w:r>
        <w:rPr>
          <w:rFonts w:hint="eastAsia" w:ascii="仿宋" w:hAnsi="仿宋" w:eastAsia="仿宋"/>
          <w:sz w:val="32"/>
          <w:szCs w:val="32"/>
        </w:rPr>
        <w:t>。</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sz w:val="32"/>
        </w:rPr>
        <w:t>1)完成造林监理</w:t>
      </w:r>
      <w:r>
        <w:rPr>
          <w:rFonts w:ascii="仿宋" w:hAnsi="仿宋" w:eastAsia="仿宋" w:cs="仿宋"/>
          <w:sz w:val="32"/>
        </w:rPr>
        <w:t>(无)，目标值5264，完成值5264，分值5，得分5</w:t>
      </w:r>
      <w:r>
        <w:rPr>
          <w:rFonts w:hint="eastAsia" w:ascii="仿宋" w:hAnsi="仿宋" w:eastAsia="仿宋"/>
          <w:sz w:val="32"/>
          <w:szCs w:val="32"/>
        </w:rPr>
        <w:t>。</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sz w:val="32"/>
        </w:rPr>
        <w:t>2)监理工作符合技术要求</w:t>
      </w:r>
      <w:r>
        <w:rPr>
          <w:rFonts w:ascii="仿宋" w:hAnsi="仿宋" w:eastAsia="仿宋" w:cs="仿宋"/>
          <w:sz w:val="32"/>
        </w:rPr>
        <w:t>(无)，目标值符合，完成值符合，分值5，得分5</w:t>
      </w:r>
      <w:r>
        <w:rPr>
          <w:rFonts w:hint="eastAsia" w:ascii="仿宋" w:hAnsi="仿宋" w:eastAsia="仿宋"/>
          <w:sz w:val="32"/>
          <w:szCs w:val="32"/>
        </w:rPr>
        <w:t>。</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sz w:val="32"/>
        </w:rPr>
        <w:t>1)完成监理时间</w:t>
      </w:r>
      <w:r>
        <w:rPr>
          <w:rFonts w:ascii="仿宋" w:hAnsi="仿宋" w:eastAsia="仿宋" w:cs="仿宋"/>
          <w:sz w:val="32"/>
        </w:rPr>
        <w:t>(年)，目标值4，完成值4，分值10，得分10</w:t>
      </w:r>
      <w:r>
        <w:rPr>
          <w:rFonts w:hint="eastAsia" w:ascii="仿宋" w:hAnsi="仿宋" w:eastAsia="仿宋"/>
          <w:sz w:val="32"/>
          <w:szCs w:val="32"/>
        </w:rPr>
        <w:t>。</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sz w:val="32"/>
        </w:rPr>
        <w:t>1)对生态环境可持续影响</w:t>
      </w:r>
      <w:r>
        <w:rPr>
          <w:rFonts w:ascii="仿宋" w:hAnsi="仿宋" w:eastAsia="仿宋" w:cs="仿宋"/>
          <w:sz w:val="32"/>
        </w:rPr>
        <w:t>(无)，目标值促进，完成值促进，分值30，得分30</w:t>
      </w:r>
      <w:r>
        <w:rPr>
          <w:rFonts w:hint="eastAsia" w:ascii="仿宋" w:hAnsi="仿宋" w:eastAsia="仿宋"/>
          <w:sz w:val="32"/>
          <w:szCs w:val="32"/>
        </w:rPr>
        <w:t>。</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b7ce2812"/>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(%)，目标值80，完成值80，分值10，得分10</w:t>
      </w:r>
      <w:r>
        <w:rPr>
          <w:rFonts w:hint="eastAsia" w:ascii="仿宋" w:hAnsi="仿宋" w:eastAsia="仿宋"/>
          <w:sz w:val="32"/>
          <w:szCs w:val="32"/>
        </w:rPr>
        <w:t>。</w:t>
      </w:r>
    </w:p>
    <w:p>
      <w:pPr>
        <w:pStyle w:val="b7ce2812"/>
        <w:tabs>
          <w:tab w:val="left" w:pos="2244"/>
        </w:tabs>
        <w:spacing w:line="620" w:lineRule="exact"/>
        <w:ind w:left="1890" w:leftChars="900"/>
        <w:rPr>
          <w:rFonts w:ascii="仿宋" w:hAnsi="仿宋" w:eastAsia="仿宋"/>
          <w:b/>
          <w:color w:val="FF0000"/>
          <w:sz w:val="32"/>
          <w:szCs w:val="32"/>
        </w:rPr>
      </w:pPr>
    </w:p>
    <w:p>
      <w:pPr>
        <w:pStyle w:val="b7ce2812"/>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b7ce2812"/>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b7ce2812"/>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该资金属国土绿化试点示范项目部本级配套资金，用于监理工作，已形成初验报告，资金待财政批复。</w:t>
      </w:r>
    </w:p>
    <w:p>
      <w:pPr>
        <w:pStyle w:val="b7ce2812"/>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b7ce2812"/>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该资金属国土绿化试点示范项目部本级配套资金，用于监理工作，已形成初验报告，资金待财政批复。</w:t>
      </w:r>
    </w:p>
    <w:p>
      <w:pPr>
        <w:pStyle w:val="b7ce2812"/>
        <w:ind w:left="840" w:firstLine="420"/>
        <w:sectPr>
          <w:type w:val="continuous"/>
          <w:pgSz w:w="11907" w:h="16840"/>
        </w:sectPr>
      </w:pPr>
    </w:p>
    <w:p>
      <w:pPr>
        <w:pageBreakBefore w:val="true"/>
      </w:pPr>
    </w:p>
    <w:p>
      <w:pPr>
        <w:pStyle w:val="ccf7f510"/>
        <w:rPr>
          <w:rFonts w:ascii="仿宋" w:hAnsi="仿宋" w:eastAsia="仿宋"/>
          <w:sz w:val="32"/>
          <w:szCs w:val="32"/>
        </w:rPr>
      </w:pPr>
      <w:bookmarkStart w:id="0" w:name="_GoBack"/>
      <w:bookmarkEnd w:id="0"/>
    </w:p>
    <w:p>
      <w:pPr>
        <w:pStyle w:val="ccf7f510"/>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r>
        <w:rPr>
          <w:rFonts w:ascii="宋体" w:hAnsi="宋体" w:eastAsia="宋体" w:cs="宋体"/>
          <w:b/>
          <w:sz w:val="44"/>
        </w:rPr>
        <w:t>报告</w:t>
      </w:r>
    </w:p>
    <w:p>
      <w:pPr>
        <w:pStyle w:val="ccf7f510"/>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泉财指标〔2022〕1032号提前下达2023年省级财政林业专项资金</w:t>
      </w:r>
      <w:r>
        <w:rPr>
          <w:rFonts w:hint="eastAsia" w:ascii="仿宋" w:hAnsi="仿宋" w:eastAsia="仿宋"/>
          <w:sz w:val="32"/>
          <w:szCs w:val="32"/>
        </w:rPr>
        <w:t>）</w:t>
      </w:r>
    </w:p>
    <w:p>
      <w:pPr>
        <w:pStyle w:val="ccf7f510"/>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ccf7f510"/>
        <w:ind w:firstLine="643" w:firstLineChars="200"/>
        <w:rPr>
          <w:rFonts w:ascii="仿宋" w:hAnsi="仿宋" w:eastAsia="仿宋"/>
          <w:sz w:val="32"/>
          <w:szCs w:val="32"/>
        </w:rPr>
      </w:pPr>
      <w:r>
        <w:rPr>
          <w:rFonts w:hint="eastAsia" w:ascii="仿宋" w:hAnsi="仿宋" w:eastAsia="仿宋"/>
          <w:b/>
          <w:sz w:val="32"/>
          <w:szCs w:val="32"/>
        </w:rPr>
        <w:t>（一）项目概况</w:t>
      </w:r>
    </w:p>
    <w:p>
      <w:pPr>
        <w:pStyle w:val="ccf7f510"/>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ccf7f510"/>
        <w:ind w:firstLine="643" w:firstLineChars="200"/>
        <w:rPr>
          <w:rFonts w:ascii="仿宋" w:hAnsi="仿宋" w:eastAsia="仿宋"/>
          <w:sz w:val="32"/>
          <w:szCs w:val="32"/>
        </w:rPr>
      </w:pPr>
      <w:r>
        <w:rPr>
          <w:rFonts w:hint="eastAsia" w:ascii="仿宋" w:hAnsi="仿宋" w:eastAsia="仿宋"/>
          <w:b/>
          <w:sz w:val="32"/>
          <w:szCs w:val="32"/>
        </w:rPr>
        <w:t>（二）主要成效</w:t>
      </w:r>
    </w:p>
    <w:p>
      <w:pPr>
        <w:pStyle w:val="ccf7f510"/>
        <w:ind w:firstLine="1472" w:firstLineChars="460"/>
        <w:rPr>
          <w:rFonts w:ascii="仿宋" w:hAnsi="仿宋" w:eastAsia="仿宋"/>
          <w:sz w:val="32"/>
          <w:szCs w:val="32"/>
        </w:rPr>
      </w:pPr>
    </w:p>
    <w:p>
      <w:pPr>
        <w:pStyle w:val="ccf7f510"/>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ccf7f510"/>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sz w:val="32"/>
        </w:rPr>
        <w:t>1)植树造林任务</w:t>
      </w:r>
      <w:r>
        <w:rPr>
          <w:rFonts w:ascii="仿宋" w:hAnsi="仿宋" w:eastAsia="仿宋" w:cs="仿宋"/>
          <w:sz w:val="32"/>
        </w:rPr>
        <w:t>(万亩)，目标值1.044，完成值1.044，分值10，得分10</w:t>
      </w:r>
      <w:r>
        <w:rPr>
          <w:rFonts w:hint="eastAsia" w:ascii="仿宋" w:hAnsi="仿宋" w:eastAsia="仿宋"/>
          <w:sz w:val="32"/>
          <w:szCs w:val="32"/>
        </w:rPr>
        <w:t>。</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sz w:val="32"/>
        </w:rPr>
        <w:t>1)森林抚育面积</w:t>
      </w:r>
      <w:r>
        <w:rPr>
          <w:rFonts w:ascii="仿宋" w:hAnsi="仿宋" w:eastAsia="仿宋" w:cs="仿宋"/>
          <w:sz w:val="32"/>
        </w:rPr>
        <w:t>(万亩)，目标值3.06，完成值3.06，分值20，得分20</w:t>
      </w:r>
      <w:r>
        <w:rPr>
          <w:rFonts w:hint="eastAsia" w:ascii="仿宋" w:hAnsi="仿宋" w:eastAsia="仿宋"/>
          <w:sz w:val="32"/>
          <w:szCs w:val="32"/>
        </w:rPr>
        <w:t>。</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sz w:val="32"/>
        </w:rPr>
        <w:t>1)造林成活率</w:t>
      </w:r>
      <w:r>
        <w:rPr>
          <w:rFonts w:ascii="仿宋" w:hAnsi="仿宋" w:eastAsia="仿宋" w:cs="仿宋"/>
          <w:sz w:val="32"/>
        </w:rPr>
        <w:t>(%)，目标值85，完成值85，分值10，得分10</w:t>
      </w:r>
      <w:r>
        <w:rPr>
          <w:rFonts w:hint="eastAsia" w:ascii="仿宋" w:hAnsi="仿宋" w:eastAsia="仿宋"/>
          <w:sz w:val="32"/>
          <w:szCs w:val="32"/>
        </w:rPr>
        <w:t>。</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sz w:val="32"/>
        </w:rPr>
        <w:t>1)造林完成及时率（%）</w:t>
      </w:r>
      <w:r>
        <w:rPr>
          <w:rFonts w:ascii="仿宋" w:hAnsi="仿宋" w:eastAsia="仿宋" w:cs="仿宋"/>
          <w:sz w:val="32"/>
        </w:rPr>
        <w:t>(%)，目标值100，完成值100，分值10，得分10</w:t>
      </w:r>
      <w:r>
        <w:rPr>
          <w:rFonts w:hint="eastAsia" w:ascii="仿宋" w:hAnsi="仿宋" w:eastAsia="仿宋"/>
          <w:sz w:val="32"/>
          <w:szCs w:val="32"/>
        </w:rPr>
        <w:t>。</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sz w:val="32"/>
        </w:rPr>
        <w:t>1)松林择间伐抚育完成率</w:t>
      </w:r>
      <w:r>
        <w:rPr>
          <w:rFonts w:ascii="仿宋" w:hAnsi="仿宋" w:eastAsia="仿宋" w:cs="仿宋"/>
          <w:sz w:val="32"/>
        </w:rPr>
        <w:t>(%)，目标值100，完成值100，分值30，得分30</w:t>
      </w:r>
      <w:r>
        <w:rPr>
          <w:rFonts w:hint="eastAsia" w:ascii="仿宋" w:hAnsi="仿宋" w:eastAsia="仿宋"/>
          <w:sz w:val="32"/>
          <w:szCs w:val="32"/>
        </w:rPr>
        <w:t>。</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ccf7f510"/>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(%)，目标值90，完成值90，分值10，得分10</w:t>
      </w:r>
      <w:r>
        <w:rPr>
          <w:rFonts w:hint="eastAsia" w:ascii="仿宋" w:hAnsi="仿宋" w:eastAsia="仿宋"/>
          <w:sz w:val="32"/>
          <w:szCs w:val="32"/>
        </w:rPr>
        <w:t>。</w:t>
      </w:r>
    </w:p>
    <w:p>
      <w:pPr>
        <w:pStyle w:val="ccf7f510"/>
        <w:tabs>
          <w:tab w:val="left" w:pos="2244"/>
        </w:tabs>
        <w:spacing w:line="620" w:lineRule="exact"/>
        <w:ind w:left="1890" w:leftChars="900"/>
        <w:rPr>
          <w:rFonts w:ascii="仿宋" w:hAnsi="仿宋" w:eastAsia="仿宋"/>
          <w:b/>
          <w:color w:val="FF0000"/>
          <w:sz w:val="32"/>
          <w:szCs w:val="32"/>
        </w:rPr>
      </w:pPr>
    </w:p>
    <w:p>
      <w:pPr>
        <w:pStyle w:val="ccf7f510"/>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ccf7f510"/>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ccf7f510"/>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ccf7f510"/>
        <w:ind w:left="840" w:firstLine="420"/>
        <w:sectPr>
          <w:type w:val="continuous"/>
          <w:pgSz w:w="11907" w:h="16840"/>
        </w:sectPr>
      </w:pPr>
    </w:p>
    <w:p>
      <w:pPr>
        <w:pageBreakBefore w:val="true"/>
      </w:pPr>
    </w:p>
    <w:p>
      <w:pPr>
        <w:pStyle w:val="ea6ae9fc"/>
        <w:rPr>
          <w:rFonts w:ascii="仿宋" w:hAnsi="仿宋" w:eastAsia="仿宋"/>
          <w:sz w:val="32"/>
          <w:szCs w:val="32"/>
        </w:rPr>
      </w:pPr>
      <w:bookmarkStart w:id="0" w:name="_GoBack"/>
      <w:bookmarkEnd w:id="0"/>
    </w:p>
    <w:p>
      <w:pPr>
        <w:pStyle w:val="ea6ae9fc"/>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r>
        <w:rPr>
          <w:rFonts w:ascii="宋体" w:hAnsi="宋体" w:eastAsia="宋体" w:cs="宋体"/>
          <w:b/>
          <w:sz w:val="44"/>
        </w:rPr>
        <w:t>报告</w:t>
      </w:r>
    </w:p>
    <w:p>
      <w:pPr>
        <w:pStyle w:val="ea6ae9fc"/>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泉财指标〔2023〕1235号，2024年省级财政林业专项资金（第二批）：造林绿化426.21万元</w:t>
      </w:r>
      <w:r>
        <w:rPr>
          <w:rFonts w:hint="eastAsia" w:ascii="仿宋" w:hAnsi="仿宋" w:eastAsia="仿宋"/>
          <w:sz w:val="32"/>
          <w:szCs w:val="32"/>
        </w:rPr>
        <w:t>）</w:t>
      </w:r>
    </w:p>
    <w:p>
      <w:pPr>
        <w:pStyle w:val="ea6ae9fc"/>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ea6ae9fc"/>
        <w:ind w:firstLine="643" w:firstLineChars="200"/>
        <w:rPr>
          <w:rFonts w:ascii="仿宋" w:hAnsi="仿宋" w:eastAsia="仿宋"/>
          <w:sz w:val="32"/>
          <w:szCs w:val="32"/>
        </w:rPr>
      </w:pPr>
      <w:r>
        <w:rPr>
          <w:rFonts w:hint="eastAsia" w:ascii="仿宋" w:hAnsi="仿宋" w:eastAsia="仿宋"/>
          <w:b/>
          <w:sz w:val="32"/>
          <w:szCs w:val="32"/>
        </w:rPr>
        <w:t>（一）项目概况</w:t>
      </w:r>
    </w:p>
    <w:p>
      <w:pPr>
        <w:pStyle w:val="ea6ae9fc"/>
        <w:ind w:firstLine="1472" w:firstLineChars="460"/>
        <w:rPr>
          <w:rFonts w:ascii="仿宋" w:hAnsi="仿宋" w:eastAsia="仿宋"/>
          <w:sz w:val="32"/>
          <w:szCs w:val="32"/>
        </w:rPr>
      </w:pPr>
      <w:r>
        <w:rPr>
          <w:rFonts w:hint="eastAsia" w:ascii="仿宋" w:hAnsi="仿宋" w:eastAsia="仿宋"/>
          <w:sz w:val="32"/>
          <w:szCs w:val="32"/>
        </w:rPr>
        <w:t>实施2024年省级造林绿化工作</w:t>
      </w:r>
      <w:r>
        <w:rPr>
          <w:rFonts w:ascii="仿宋" w:hAnsi="仿宋" w:eastAsia="仿宋" w:cs="仿宋"/>
          <w:sz w:val="32"/>
        </w:rPr>
        <w:t xml:space="preserve"> </w:t>
      </w:r>
    </w:p>
    <w:p>
      <w:pPr>
        <w:pStyle w:val="ea6ae9fc"/>
        <w:ind w:firstLine="643" w:firstLineChars="200"/>
        <w:rPr>
          <w:rFonts w:ascii="仿宋" w:hAnsi="仿宋" w:eastAsia="仿宋"/>
          <w:sz w:val="32"/>
          <w:szCs w:val="32"/>
        </w:rPr>
      </w:pPr>
      <w:r>
        <w:rPr>
          <w:rFonts w:hint="eastAsia" w:ascii="仿宋" w:hAnsi="仿宋" w:eastAsia="仿宋"/>
          <w:b/>
          <w:sz w:val="32"/>
          <w:szCs w:val="32"/>
        </w:rPr>
        <w:t>（二）主要成效</w:t>
      </w:r>
    </w:p>
    <w:p>
      <w:pPr>
        <w:pStyle w:val="ea6ae9fc"/>
        <w:ind w:firstLine="1472" w:firstLineChars="460"/>
        <w:rPr>
          <w:rFonts w:ascii="仿宋" w:hAnsi="仿宋" w:eastAsia="仿宋"/>
          <w:sz w:val="32"/>
          <w:szCs w:val="32"/>
        </w:rPr>
      </w:pPr>
    </w:p>
    <w:p>
      <w:pPr>
        <w:pStyle w:val="ea6ae9fc"/>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ea6ae9fc"/>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90分，等级为优，设置绩效目标8个，实际完成8个，具体情况如下：</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sz w:val="32"/>
        </w:rPr>
        <w:t>1)珍贵树种造林平均补助标准</w:t>
      </w:r>
      <w:r>
        <w:rPr>
          <w:rFonts w:ascii="仿宋" w:hAnsi="仿宋" w:eastAsia="仿宋" w:cs="仿宋"/>
          <w:sz w:val="32"/>
        </w:rPr>
        <w:t>(元/亩)，目标值550，完成值550，分值10，得分10</w:t>
      </w:r>
      <w:r>
        <w:rPr>
          <w:rFonts w:hint="eastAsia" w:ascii="仿宋" w:hAnsi="仿宋" w:eastAsia="仿宋"/>
          <w:sz w:val="32"/>
          <w:szCs w:val="32"/>
        </w:rPr>
        <w:t>。</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sz w:val="32"/>
        </w:rPr>
        <w:t>1)植树造林面积</w:t>
      </w:r>
      <w:r>
        <w:rPr>
          <w:rFonts w:ascii="仿宋" w:hAnsi="仿宋" w:eastAsia="仿宋" w:cs="仿宋"/>
          <w:sz w:val="32"/>
        </w:rPr>
        <w:t>(亩)，目标值5500，完成值5500，分值10，得分10</w:t>
      </w:r>
      <w:r>
        <w:rPr>
          <w:rFonts w:hint="eastAsia" w:ascii="仿宋" w:hAnsi="仿宋" w:eastAsia="仿宋"/>
          <w:sz w:val="32"/>
          <w:szCs w:val="32"/>
        </w:rPr>
        <w:t>。</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sz w:val="32"/>
        </w:rPr>
        <w:t>2)森林抚育面积</w:t>
      </w:r>
      <w:r>
        <w:rPr>
          <w:rFonts w:ascii="仿宋" w:hAnsi="仿宋" w:eastAsia="仿宋" w:cs="仿宋"/>
          <w:sz w:val="32"/>
        </w:rPr>
        <w:t>(亩)，目标值3000，完成值3000，分值5，得分5</w:t>
      </w:r>
      <w:r>
        <w:rPr>
          <w:rFonts w:hint="eastAsia" w:ascii="仿宋" w:hAnsi="仿宋" w:eastAsia="仿宋"/>
          <w:sz w:val="32"/>
          <w:szCs w:val="32"/>
        </w:rPr>
        <w:t>。</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sz w:val="32"/>
        </w:rPr>
        <w:t>1)造林成活率</w:t>
      </w:r>
      <w:r>
        <w:rPr>
          <w:rFonts w:ascii="仿宋" w:hAnsi="仿宋" w:eastAsia="仿宋" w:cs="仿宋"/>
          <w:sz w:val="32"/>
        </w:rPr>
        <w:t>(%)，目标值85，完成值85，分值10，得分10</w:t>
      </w:r>
      <w:r>
        <w:rPr>
          <w:rFonts w:hint="eastAsia" w:ascii="仿宋" w:hAnsi="仿宋" w:eastAsia="仿宋"/>
          <w:sz w:val="32"/>
          <w:szCs w:val="32"/>
        </w:rPr>
        <w:t>。</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sz w:val="32"/>
        </w:rPr>
        <w:t>2)森林抚育质量合格率</w:t>
      </w:r>
      <w:r>
        <w:rPr>
          <w:rFonts w:ascii="仿宋" w:hAnsi="仿宋" w:eastAsia="仿宋" w:cs="仿宋"/>
          <w:sz w:val="32"/>
        </w:rPr>
        <w:t>(%)，目标值85，完成值85，分值10，得分10</w:t>
      </w:r>
      <w:r>
        <w:rPr>
          <w:rFonts w:hint="eastAsia" w:ascii="仿宋" w:hAnsi="仿宋" w:eastAsia="仿宋"/>
          <w:sz w:val="32"/>
          <w:szCs w:val="32"/>
        </w:rPr>
        <w:t>。</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sz w:val="32"/>
        </w:rPr>
        <w:t>1)项目完成时效</w:t>
      </w:r>
      <w:r>
        <w:rPr>
          <w:rFonts w:ascii="仿宋" w:hAnsi="仿宋" w:eastAsia="仿宋" w:cs="仿宋"/>
          <w:sz w:val="32"/>
        </w:rPr>
        <w:t>(月)，目标值12，完成值12，分值5，得分5</w:t>
      </w:r>
      <w:r>
        <w:rPr>
          <w:rFonts w:hint="eastAsia" w:ascii="仿宋" w:hAnsi="仿宋" w:eastAsia="仿宋"/>
          <w:sz w:val="32"/>
          <w:szCs w:val="32"/>
        </w:rPr>
        <w:t>。</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sz w:val="32"/>
        </w:rPr>
        <w:t>1)生态环境可持续发展</w:t>
      </w:r>
      <w:r>
        <w:rPr>
          <w:rFonts w:ascii="仿宋_GB2312" w:hAnsi="仿宋_GB2312" w:eastAsia="仿宋_GB2312" w:cs="仿宋_GB2312"/>
          <w:sz w:val="32"/>
        </w:rPr>
        <w:cr/>
      </w:r>
      <w:r>
        <w:rPr>
          <w:rFonts w:ascii="仿宋" w:hAnsi="仿宋" w:eastAsia="仿宋" w:cs="仿宋"/>
          <w:sz w:val="32"/>
        </w:rPr>
        <w:t>(无)，目标值明显，完成值明显，分值30，得分30</w:t>
      </w:r>
      <w:r>
        <w:rPr>
          <w:rFonts w:hint="eastAsia" w:ascii="仿宋" w:hAnsi="仿宋" w:eastAsia="仿宋"/>
          <w:sz w:val="32"/>
          <w:szCs w:val="32"/>
        </w:rPr>
        <w:t>。</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ea6ae9fc"/>
        <w:spacing w:line="620" w:lineRule="exact"/>
        <w:ind w:left="420" w:leftChars="200"/>
        <w:rPr>
          <w:rFonts w:ascii="仿宋" w:hAnsi="仿宋" w:eastAsia="仿宋"/>
          <w:sz w:val="32"/>
          <w:szCs w:val="32"/>
        </w:rPr>
      </w:pPr>
      <w:r>
        <w:rPr>
          <w:rFonts w:ascii="仿宋_GB2312" w:hAnsi="仿宋_GB2312" w:eastAsia="仿宋_GB2312" w:cs="仿宋_GB2312"/>
          <w:sz w:val="32"/>
        </w:rPr>
        <w:t>1)社会群众对造林绿化满意度</w:t>
      </w:r>
      <w:r>
        <w:rPr>
          <w:rFonts w:ascii="仿宋" w:hAnsi="仿宋" w:eastAsia="仿宋" w:cs="仿宋"/>
          <w:sz w:val="32"/>
        </w:rPr>
        <w:t>(%)，目标值90，完成值90，分值10，得分10</w:t>
      </w:r>
      <w:r>
        <w:rPr>
          <w:rFonts w:hint="eastAsia" w:ascii="仿宋" w:hAnsi="仿宋" w:eastAsia="仿宋"/>
          <w:sz w:val="32"/>
          <w:szCs w:val="32"/>
        </w:rPr>
        <w:t>。</w:t>
      </w:r>
    </w:p>
    <w:p>
      <w:pPr>
        <w:pStyle w:val="ea6ae9fc"/>
        <w:tabs>
          <w:tab w:val="left" w:pos="2244"/>
        </w:tabs>
        <w:spacing w:line="620" w:lineRule="exact"/>
        <w:ind w:left="1890" w:leftChars="900"/>
        <w:rPr>
          <w:rFonts w:ascii="仿宋" w:hAnsi="仿宋" w:eastAsia="仿宋"/>
          <w:b/>
          <w:color w:val="FF0000"/>
          <w:sz w:val="32"/>
          <w:szCs w:val="32"/>
        </w:rPr>
      </w:pPr>
    </w:p>
    <w:p>
      <w:pPr>
        <w:pStyle w:val="ea6ae9fc"/>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ea6ae9fc"/>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ea6ae9fc"/>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ea6ae9fc"/>
        <w:ind w:left="840" w:firstLine="420"/>
        <w:sectPr>
          <w:type w:val="continuous"/>
          <w:pgSz w:w="11907" w:h="16840"/>
        </w:sectPr>
      </w:pPr>
    </w:p>
    <w:p>
      <w:pPr>
        <w:pageBreakBefore w:val="true"/>
      </w:pPr>
    </w:p>
    <w:p>
      <w:pPr>
        <w:pStyle w:val="3f73b0dc"/>
        <w:rPr>
          <w:rFonts w:ascii="仿宋" w:hAnsi="仿宋" w:eastAsia="仿宋"/>
          <w:sz w:val="32"/>
          <w:szCs w:val="32"/>
        </w:rPr>
      </w:pPr>
    </w:p>
    <w:p>
      <w:pPr>
        <w:pStyle w:val="3f73b0dc"/>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3f73b0dc"/>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闽财资环指〔2023〕36号，2023年省级财政林业专项资金（市县第三批）：国土绿化（零星造林补助）</w:t>
      </w:r>
      <w:r>
        <w:rPr>
          <w:rFonts w:hint="eastAsia" w:ascii="仿宋" w:hAnsi="仿宋" w:eastAsia="仿宋"/>
          <w:sz w:val="32"/>
          <w:szCs w:val="32"/>
        </w:rPr>
        <w:t>）</w:t>
      </w:r>
    </w:p>
    <w:p>
      <w:pPr>
        <w:pStyle w:val="3f73b0dc"/>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3f73b0dc"/>
        <w:ind w:firstLine="643" w:firstLineChars="200"/>
        <w:rPr>
          <w:rFonts w:ascii="仿宋" w:hAnsi="仿宋" w:eastAsia="仿宋"/>
          <w:sz w:val="32"/>
          <w:szCs w:val="32"/>
        </w:rPr>
      </w:pPr>
      <w:r>
        <w:rPr>
          <w:rFonts w:hint="eastAsia" w:ascii="仿宋" w:hAnsi="仿宋" w:eastAsia="仿宋"/>
          <w:b/>
          <w:sz w:val="32"/>
          <w:szCs w:val="32"/>
        </w:rPr>
        <w:t>（一）项目概况</w:t>
      </w:r>
    </w:p>
    <w:p>
      <w:pPr>
        <w:pStyle w:val="3f73b0dc"/>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3f73b0dc"/>
        <w:ind w:firstLine="643" w:firstLineChars="200"/>
        <w:rPr>
          <w:rFonts w:ascii="仿宋" w:hAnsi="仿宋" w:eastAsia="仿宋"/>
          <w:sz w:val="32"/>
          <w:szCs w:val="32"/>
        </w:rPr>
      </w:pPr>
      <w:r>
        <w:rPr>
          <w:rFonts w:hint="eastAsia" w:ascii="仿宋" w:hAnsi="仿宋" w:eastAsia="仿宋"/>
          <w:b/>
          <w:sz w:val="32"/>
          <w:szCs w:val="32"/>
        </w:rPr>
        <w:t>（二）主要成效</w:t>
      </w:r>
    </w:p>
    <w:p>
      <w:pPr>
        <w:pStyle w:val="3f73b0dc"/>
        <w:ind w:firstLine="1472" w:firstLineChars="460"/>
        <w:rPr>
          <w:rFonts w:ascii="仿宋" w:hAnsi="仿宋" w:eastAsia="仿宋"/>
          <w:sz w:val="32"/>
          <w:szCs w:val="32"/>
        </w:rPr>
      </w:pPr>
    </w:p>
    <w:p>
      <w:pPr>
        <w:pStyle w:val="3f73b0dc"/>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3f73b0dc"/>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sz w:val="32"/>
        </w:rPr>
        <w:t>1)资金投入情况</w:t>
      </w:r>
      <w:r>
        <w:rPr>
          <w:rFonts w:ascii="仿宋" w:hAnsi="仿宋" w:eastAsia="仿宋" w:cs="仿宋"/>
          <w:sz w:val="32"/>
        </w:rPr>
        <w:t>(万元)，目标值5，完成值5，分值10，得分10</w:t>
      </w:r>
      <w:r>
        <w:rPr>
          <w:rFonts w:hint="eastAsia" w:ascii="仿宋" w:hAnsi="仿宋" w:eastAsia="仿宋"/>
          <w:sz w:val="32"/>
          <w:szCs w:val="32"/>
        </w:rPr>
        <w:t>。</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sz w:val="32"/>
        </w:rPr>
        <w:t>1)补助乡镇</w:t>
      </w:r>
      <w:r>
        <w:rPr>
          <w:rFonts w:ascii="仿宋" w:hAnsi="仿宋" w:eastAsia="仿宋" w:cs="仿宋"/>
          <w:sz w:val="32"/>
        </w:rPr>
        <w:t>(个)，目标值1，完成值1，分值10，得分10</w:t>
      </w:r>
      <w:r>
        <w:rPr>
          <w:rFonts w:hint="eastAsia" w:ascii="仿宋" w:hAnsi="仿宋" w:eastAsia="仿宋"/>
          <w:sz w:val="32"/>
          <w:szCs w:val="32"/>
        </w:rPr>
        <w:t>。</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sz w:val="32"/>
        </w:rPr>
        <w:t>1)完成零星造林</w:t>
      </w:r>
      <w:r>
        <w:rPr>
          <w:rFonts w:ascii="仿宋" w:hAnsi="仿宋" w:eastAsia="仿宋" w:cs="仿宋"/>
          <w:sz w:val="32"/>
        </w:rPr>
        <w:t>(无)，目标值完成，完成值完成，分值10，得分10</w:t>
      </w:r>
      <w:r>
        <w:rPr>
          <w:rFonts w:hint="eastAsia" w:ascii="仿宋" w:hAnsi="仿宋" w:eastAsia="仿宋"/>
          <w:sz w:val="32"/>
          <w:szCs w:val="32"/>
        </w:rPr>
        <w:t>。</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sz w:val="32"/>
        </w:rPr>
        <w:t>1)预算执行情况</w:t>
      </w:r>
      <w:r>
        <w:rPr>
          <w:rFonts w:ascii="仿宋" w:hAnsi="仿宋" w:eastAsia="仿宋" w:cs="仿宋"/>
          <w:sz w:val="32"/>
        </w:rPr>
        <w:t>(无)，目标值完成，完成值完成，分值20，得分20</w:t>
      </w:r>
      <w:r>
        <w:rPr>
          <w:rFonts w:hint="eastAsia" w:ascii="仿宋" w:hAnsi="仿宋" w:eastAsia="仿宋"/>
          <w:sz w:val="32"/>
          <w:szCs w:val="32"/>
        </w:rPr>
        <w:t>。</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sz w:val="32"/>
        </w:rPr>
        <w:t>1)是否明显促进森质量提升</w:t>
      </w:r>
      <w:r>
        <w:rPr>
          <w:rFonts w:ascii="仿宋" w:hAnsi="仿宋" w:eastAsia="仿宋" w:cs="仿宋"/>
          <w:sz w:val="32"/>
        </w:rPr>
        <w:t>(无)，目标值明显，完成值明显，分值30，得分30</w:t>
      </w:r>
      <w:r>
        <w:rPr>
          <w:rFonts w:hint="eastAsia" w:ascii="仿宋" w:hAnsi="仿宋" w:eastAsia="仿宋"/>
          <w:sz w:val="32"/>
          <w:szCs w:val="32"/>
        </w:rPr>
        <w:t>。</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3f73b0dc"/>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w:t>
      </w:r>
      <w:r>
        <w:rPr>
          <w:rFonts w:ascii="仿宋" w:hAnsi="仿宋" w:eastAsia="仿宋" w:cs="仿宋"/>
          <w:sz w:val="32"/>
        </w:rPr>
        <w:t>(%)，目标值90，完成值90，分值10，得分10</w:t>
      </w:r>
      <w:r>
        <w:rPr>
          <w:rFonts w:hint="eastAsia" w:ascii="仿宋" w:hAnsi="仿宋" w:eastAsia="仿宋"/>
          <w:sz w:val="32"/>
          <w:szCs w:val="32"/>
        </w:rPr>
        <w:t>。</w:t>
      </w:r>
    </w:p>
    <w:p>
      <w:pPr>
        <w:pStyle w:val="3f73b0dc"/>
        <w:tabs>
          <w:tab w:val="left" w:pos="2244"/>
        </w:tabs>
        <w:spacing w:line="620" w:lineRule="exact"/>
        <w:ind w:left="1890" w:leftChars="900"/>
        <w:rPr>
          <w:rFonts w:ascii="仿宋" w:hAnsi="仿宋" w:eastAsia="仿宋"/>
          <w:b/>
          <w:color w:val="FF0000"/>
          <w:sz w:val="32"/>
          <w:szCs w:val="32"/>
        </w:rPr>
      </w:pPr>
    </w:p>
    <w:p>
      <w:pPr>
        <w:pStyle w:val="3f73b0dc"/>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3f73b0dc"/>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3f73b0dc"/>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3f73b0dc"/>
        <w:ind w:left="840" w:firstLine="420"/>
        <w:sectPr>
          <w:type w:val="continuous"/>
          <w:pgSz w:w="11907" w:h="16840"/>
        </w:sectPr>
      </w:pPr>
    </w:p>
    <w:p>
      <w:pPr>
        <w:pageBreakBefore w:val="true"/>
      </w:pPr>
    </w:p>
    <w:p>
      <w:pPr>
        <w:pStyle w:val="adac1a32"/>
        <w:rPr>
          <w:rFonts w:ascii="仿宋" w:hAnsi="仿宋" w:eastAsia="仿宋"/>
          <w:sz w:val="32"/>
          <w:szCs w:val="32"/>
        </w:rPr>
      </w:pPr>
      <w:bookmarkStart w:id="0" w:name="_GoBack"/>
      <w:bookmarkEnd w:id="0"/>
    </w:p>
    <w:p>
      <w:pPr>
        <w:pStyle w:val="adac1a32"/>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r>
        <w:rPr>
          <w:rFonts w:ascii="宋体" w:hAnsi="宋体" w:eastAsia="宋体" w:cs="宋体"/>
          <w:b/>
          <w:sz w:val="44"/>
        </w:rPr>
        <w:t>报告</w:t>
      </w:r>
    </w:p>
    <w:p>
      <w:pPr>
        <w:pStyle w:val="adac1a32"/>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2021结转-退费</w:t>
      </w:r>
      <w:r>
        <w:rPr>
          <w:rFonts w:hint="eastAsia" w:ascii="仿宋" w:hAnsi="仿宋" w:eastAsia="仿宋"/>
          <w:sz w:val="32"/>
          <w:szCs w:val="32"/>
        </w:rPr>
        <w:t>）</w:t>
      </w:r>
    </w:p>
    <w:p>
      <w:pPr>
        <w:pStyle w:val="adac1a32"/>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adac1a32"/>
        <w:ind w:firstLine="643" w:firstLineChars="200"/>
        <w:rPr>
          <w:rFonts w:ascii="仿宋" w:hAnsi="仿宋" w:eastAsia="仿宋"/>
          <w:sz w:val="32"/>
          <w:szCs w:val="32"/>
        </w:rPr>
      </w:pPr>
      <w:r>
        <w:rPr>
          <w:rFonts w:hint="eastAsia" w:ascii="仿宋" w:hAnsi="仿宋" w:eastAsia="仿宋"/>
          <w:b/>
          <w:sz w:val="32"/>
          <w:szCs w:val="32"/>
        </w:rPr>
        <w:t>（一）项目概况</w:t>
      </w:r>
    </w:p>
    <w:p>
      <w:pPr>
        <w:pStyle w:val="adac1a32"/>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adac1a32"/>
        <w:ind w:firstLine="643" w:firstLineChars="200"/>
        <w:rPr>
          <w:rFonts w:ascii="仿宋" w:hAnsi="仿宋" w:eastAsia="仿宋"/>
          <w:sz w:val="32"/>
          <w:szCs w:val="32"/>
        </w:rPr>
      </w:pPr>
      <w:r>
        <w:rPr>
          <w:rFonts w:hint="eastAsia" w:ascii="仿宋" w:hAnsi="仿宋" w:eastAsia="仿宋"/>
          <w:b/>
          <w:sz w:val="32"/>
          <w:szCs w:val="32"/>
        </w:rPr>
        <w:t>（二）主要成效</w:t>
      </w:r>
    </w:p>
    <w:p>
      <w:pPr>
        <w:pStyle w:val="adac1a32"/>
        <w:ind w:firstLine="1472" w:firstLineChars="460"/>
        <w:rPr>
          <w:rFonts w:ascii="仿宋" w:hAnsi="仿宋" w:eastAsia="仿宋"/>
          <w:sz w:val="32"/>
          <w:szCs w:val="32"/>
        </w:rPr>
      </w:pPr>
    </w:p>
    <w:p>
      <w:pPr>
        <w:pStyle w:val="adac1a32"/>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adac1a32"/>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sz w:val="32"/>
        </w:rPr>
        <w:t>1)2021结转-退费</w:t>
      </w:r>
      <w:r>
        <w:rPr>
          <w:rFonts w:ascii="仿宋" w:hAnsi="仿宋" w:eastAsia="仿宋" w:cs="仿宋"/>
          <w:sz w:val="32"/>
        </w:rPr>
        <w:t>(元)，目标值172.76，完成值172.7600，分值10，得分10</w:t>
      </w:r>
      <w:r>
        <w:rPr>
          <w:rFonts w:hint="eastAsia" w:ascii="仿宋" w:hAnsi="仿宋" w:eastAsia="仿宋"/>
          <w:sz w:val="32"/>
          <w:szCs w:val="32"/>
        </w:rPr>
        <w:t>。</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sz w:val="32"/>
        </w:rPr>
        <w:t>1)2021结转-退费（是/否）</w:t>
      </w:r>
      <w:r>
        <w:rPr>
          <w:rFonts w:ascii="仿宋" w:hAnsi="仿宋" w:eastAsia="仿宋" w:cs="仿宋"/>
          <w:sz w:val="32"/>
        </w:rPr>
        <w:t>(无)，目标值是，完成值是，分值20，得分20</w:t>
      </w:r>
      <w:r>
        <w:rPr>
          <w:rFonts w:hint="eastAsia" w:ascii="仿宋" w:hAnsi="仿宋" w:eastAsia="仿宋"/>
          <w:sz w:val="32"/>
          <w:szCs w:val="32"/>
        </w:rPr>
        <w:t>。</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sz w:val="32"/>
        </w:rPr>
        <w:t>1)年度结转（是/否）</w:t>
      </w:r>
      <w:r>
        <w:rPr>
          <w:rFonts w:ascii="仿宋" w:hAnsi="仿宋" w:eastAsia="仿宋" w:cs="仿宋"/>
          <w:sz w:val="32"/>
        </w:rPr>
        <w:t>(无)，目标值是，完成值是，分值10，得分10</w:t>
      </w:r>
      <w:r>
        <w:rPr>
          <w:rFonts w:hint="eastAsia" w:ascii="仿宋" w:hAnsi="仿宋" w:eastAsia="仿宋"/>
          <w:sz w:val="32"/>
          <w:szCs w:val="32"/>
        </w:rPr>
        <w:t>。</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sz w:val="32"/>
        </w:rPr>
        <w:t>1)年度决算(年/次）</w:t>
      </w:r>
      <w:r>
        <w:rPr>
          <w:rFonts w:ascii="仿宋" w:hAnsi="仿宋" w:eastAsia="仿宋" w:cs="仿宋"/>
          <w:sz w:val="32"/>
        </w:rPr>
        <w:t>(年/次)，目标值1，完成值1，分值10，得分10</w:t>
      </w:r>
      <w:r>
        <w:rPr>
          <w:rFonts w:hint="eastAsia" w:ascii="仿宋" w:hAnsi="仿宋" w:eastAsia="仿宋"/>
          <w:sz w:val="32"/>
          <w:szCs w:val="32"/>
        </w:rPr>
        <w:t>。</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sz w:val="32"/>
        </w:rPr>
        <w:t>1)维护养老制度（是/否）</w:t>
      </w:r>
      <w:r>
        <w:rPr>
          <w:rFonts w:ascii="仿宋" w:hAnsi="仿宋" w:eastAsia="仿宋" w:cs="仿宋"/>
          <w:sz w:val="32"/>
        </w:rPr>
        <w:t>(无)，目标值是，完成值是，分值30，得分30</w:t>
      </w:r>
      <w:r>
        <w:rPr>
          <w:rFonts w:hint="eastAsia" w:ascii="仿宋" w:hAnsi="仿宋" w:eastAsia="仿宋"/>
          <w:sz w:val="32"/>
          <w:szCs w:val="32"/>
        </w:rPr>
        <w:t>。</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adac1a32"/>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1)服务对象满意度指标</w:t>
      </w:r>
      <w:r>
        <w:rPr>
          <w:rFonts w:ascii="仿宋" w:hAnsi="仿宋" w:eastAsia="仿宋" w:cs="仿宋"/>
          <w:sz w:val="32"/>
        </w:rPr>
        <w:t>(%)，目标值90，完成值90，分值10，得分10</w:t>
      </w:r>
      <w:r>
        <w:rPr>
          <w:rFonts w:hint="eastAsia" w:ascii="仿宋" w:hAnsi="仿宋" w:eastAsia="仿宋"/>
          <w:sz w:val="32"/>
          <w:szCs w:val="32"/>
        </w:rPr>
        <w:t>。</w:t>
      </w:r>
    </w:p>
    <w:p>
      <w:pPr>
        <w:pStyle w:val="adac1a32"/>
        <w:tabs>
          <w:tab w:val="left" w:pos="2244"/>
        </w:tabs>
        <w:spacing w:line="620" w:lineRule="exact"/>
        <w:ind w:left="1890" w:leftChars="900"/>
        <w:rPr>
          <w:rFonts w:ascii="仿宋" w:hAnsi="仿宋" w:eastAsia="仿宋"/>
          <w:b/>
          <w:color w:val="FF0000"/>
          <w:sz w:val="32"/>
          <w:szCs w:val="32"/>
        </w:rPr>
      </w:pPr>
    </w:p>
    <w:p>
      <w:pPr>
        <w:pStyle w:val="adac1a32"/>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adac1a32"/>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adac1a32"/>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adac1a32"/>
        <w:ind w:left="840" w:firstLine="420"/>
        <w:sectPr>
          <w:type w:val="continuous"/>
          <w:pgSz w:w="11907" w:h="16840"/>
        </w:sectPr>
      </w:pPr>
    </w:p>
    <w:p>
      <w:pPr>
        <w:pageBreakBefore w:val="true"/>
      </w:pPr>
    </w:p>
    <w:p>
      <w:pPr>
        <w:pStyle w:val="e46f0ada"/>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e46f0ada"/>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泉财指标〔2023〕880号，2023年泉州市级财政森林资源培育与管护专项资金（第二批）：其他林业和草原支出——林长制示范乡镇（街道）创建补助</w:t>
      </w:r>
      <w:r>
        <w:rPr>
          <w:rFonts w:hint="eastAsia" w:ascii="仿宋" w:hAnsi="仿宋" w:eastAsia="仿宋"/>
          <w:sz w:val="32"/>
          <w:szCs w:val="32"/>
        </w:rPr>
        <w:t>）</w:t>
      </w:r>
    </w:p>
    <w:p>
      <w:pPr>
        <w:pStyle w:val="e46f0ada"/>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e46f0ada"/>
        <w:ind w:firstLine="643" w:firstLineChars="200"/>
        <w:rPr>
          <w:rFonts w:ascii="仿宋" w:hAnsi="仿宋" w:eastAsia="仿宋"/>
          <w:sz w:val="32"/>
          <w:szCs w:val="32"/>
        </w:rPr>
      </w:pPr>
      <w:r>
        <w:rPr>
          <w:rFonts w:hint="eastAsia" w:ascii="仿宋" w:hAnsi="仿宋" w:eastAsia="仿宋"/>
          <w:b/>
          <w:sz w:val="32"/>
          <w:szCs w:val="32"/>
        </w:rPr>
        <w:t>（一）项目概况</w:t>
      </w:r>
    </w:p>
    <w:p>
      <w:pPr>
        <w:pStyle w:val="e46f0ada"/>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e46f0ada"/>
        <w:ind w:firstLine="643" w:firstLineChars="200"/>
        <w:rPr>
          <w:rFonts w:ascii="仿宋" w:hAnsi="仿宋" w:eastAsia="仿宋"/>
          <w:sz w:val="32"/>
          <w:szCs w:val="32"/>
        </w:rPr>
      </w:pPr>
      <w:r>
        <w:rPr>
          <w:rFonts w:hint="eastAsia" w:ascii="仿宋" w:hAnsi="仿宋" w:eastAsia="仿宋"/>
          <w:b/>
          <w:sz w:val="32"/>
          <w:szCs w:val="32"/>
        </w:rPr>
        <w:t>（二）主要成效</w:t>
      </w:r>
    </w:p>
    <w:p>
      <w:pPr>
        <w:pStyle w:val="e46f0ada"/>
        <w:ind w:firstLine="1472" w:firstLineChars="460"/>
        <w:rPr>
          <w:rFonts w:ascii="仿宋" w:hAnsi="仿宋" w:eastAsia="仿宋"/>
          <w:sz w:val="32"/>
          <w:szCs w:val="32"/>
        </w:rPr>
      </w:pPr>
    </w:p>
    <w:p>
      <w:pPr>
        <w:pStyle w:val="e46f0ada"/>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e46f0ada"/>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sz w:val="32"/>
        </w:rPr>
        <w:t>1)财政投入资金</w:t>
      </w:r>
      <w:r>
        <w:rPr>
          <w:rFonts w:ascii="仿宋" w:hAnsi="仿宋" w:eastAsia="仿宋" w:cs="仿宋"/>
          <w:sz w:val="32"/>
        </w:rPr>
        <w:t>(万元)，目标值30，完成值30，分值10，得分10</w:t>
      </w:r>
      <w:r>
        <w:rPr>
          <w:rFonts w:hint="eastAsia" w:ascii="仿宋" w:hAnsi="仿宋" w:eastAsia="仿宋"/>
          <w:sz w:val="32"/>
          <w:szCs w:val="32"/>
        </w:rPr>
        <w:t>。</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sz w:val="32"/>
        </w:rPr>
        <w:t>1)创建林长制示范乡镇数量达目标要求</w:t>
      </w:r>
      <w:r>
        <w:rPr>
          <w:rFonts w:ascii="仿宋" w:hAnsi="仿宋" w:eastAsia="仿宋" w:cs="仿宋"/>
          <w:sz w:val="32"/>
        </w:rPr>
        <w:t>(个)，目标值3，完成值3，分值20，得分20</w:t>
      </w:r>
      <w:r>
        <w:rPr>
          <w:rFonts w:hint="eastAsia" w:ascii="仿宋" w:hAnsi="仿宋" w:eastAsia="仿宋"/>
          <w:sz w:val="32"/>
          <w:szCs w:val="32"/>
        </w:rPr>
        <w:t>。</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sz w:val="32"/>
        </w:rPr>
        <w:t>1)创建林长制示范乡镇（街道）质量要求</w:t>
      </w:r>
      <w:r>
        <w:rPr>
          <w:rFonts w:ascii="仿宋" w:hAnsi="仿宋" w:eastAsia="仿宋" w:cs="仿宋"/>
          <w:sz w:val="32"/>
        </w:rPr>
        <w:t>(%)，目标值80，完成值80，分值10，得分10</w:t>
      </w:r>
      <w:r>
        <w:rPr>
          <w:rFonts w:hint="eastAsia" w:ascii="仿宋" w:hAnsi="仿宋" w:eastAsia="仿宋"/>
          <w:sz w:val="32"/>
          <w:szCs w:val="32"/>
        </w:rPr>
        <w:t>。</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sz w:val="32"/>
        </w:rPr>
        <w:t>1)建设情况</w:t>
      </w:r>
      <w:r>
        <w:rPr>
          <w:rFonts w:ascii="仿宋" w:hAnsi="仿宋" w:eastAsia="仿宋" w:cs="仿宋"/>
          <w:sz w:val="32"/>
        </w:rPr>
        <w:t>(无)，目标值完成，完成值完成，分值10，得分10</w:t>
      </w:r>
      <w:r>
        <w:rPr>
          <w:rFonts w:hint="eastAsia" w:ascii="仿宋" w:hAnsi="仿宋" w:eastAsia="仿宋"/>
          <w:sz w:val="32"/>
          <w:szCs w:val="32"/>
        </w:rPr>
        <w:t>。</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sz w:val="32"/>
        </w:rPr>
        <w:t>1)林业生态保护宣传作用</w:t>
      </w:r>
      <w:r>
        <w:rPr>
          <w:rFonts w:ascii="仿宋" w:hAnsi="仿宋" w:eastAsia="仿宋" w:cs="仿宋"/>
          <w:sz w:val="32"/>
        </w:rPr>
        <w:t>(无)，目标值有效，完成值有效，分值30，得分30</w:t>
      </w:r>
      <w:r>
        <w:rPr>
          <w:rFonts w:hint="eastAsia" w:ascii="仿宋" w:hAnsi="仿宋" w:eastAsia="仿宋"/>
          <w:sz w:val="32"/>
          <w:szCs w:val="32"/>
        </w:rPr>
        <w:t>。</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e46f0ada"/>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w:t>
      </w:r>
      <w:r>
        <w:rPr>
          <w:rFonts w:ascii="仿宋" w:hAnsi="仿宋" w:eastAsia="仿宋" w:cs="仿宋"/>
          <w:sz w:val="32"/>
        </w:rPr>
        <w:t>(%)，目标值90，完成值90，分值10，得分10</w:t>
      </w:r>
      <w:r>
        <w:rPr>
          <w:rFonts w:hint="eastAsia" w:ascii="仿宋" w:hAnsi="仿宋" w:eastAsia="仿宋"/>
          <w:sz w:val="32"/>
          <w:szCs w:val="32"/>
        </w:rPr>
        <w:t>。</w:t>
      </w:r>
    </w:p>
    <w:p>
      <w:pPr>
        <w:pStyle w:val="e46f0ada"/>
        <w:tabs>
          <w:tab w:val="left" w:pos="2244"/>
        </w:tabs>
        <w:spacing w:line="620" w:lineRule="exact"/>
        <w:ind w:left="1890" w:leftChars="900"/>
        <w:rPr>
          <w:rFonts w:ascii="仿宋" w:hAnsi="仿宋" w:eastAsia="仿宋"/>
          <w:b/>
          <w:color w:val="FF0000"/>
          <w:sz w:val="32"/>
          <w:szCs w:val="32"/>
        </w:rPr>
      </w:pPr>
    </w:p>
    <w:p>
      <w:pPr>
        <w:pStyle w:val="e46f0ada"/>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e46f0ada"/>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e46f0ada"/>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e46f0ada"/>
        <w:ind w:left="840" w:firstLine="420"/>
        <w:sectPr>
          <w:type w:val="continuous"/>
          <w:pgSz w:w="11907" w:h="16840"/>
        </w:sectPr>
      </w:pPr>
    </w:p>
    <w:p>
      <w:pPr>
        <w:pageBreakBefore w:val="true"/>
      </w:pPr>
    </w:p>
    <w:p>
      <w:pPr>
        <w:pStyle w:val="8ba63e1a"/>
        <w:rPr>
          <w:rFonts w:ascii="仿宋" w:hAnsi="仿宋" w:eastAsia="仿宋"/>
          <w:sz w:val="32"/>
          <w:szCs w:val="32"/>
        </w:rPr>
      </w:pPr>
      <w:bookmarkStart w:id="0" w:name="_GoBack"/>
      <w:bookmarkEnd w:id="0"/>
    </w:p>
    <w:p>
      <w:pPr>
        <w:pStyle w:val="8ba63e1a"/>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r>
        <w:rPr>
          <w:rFonts w:ascii="宋体" w:hAnsi="宋体" w:eastAsia="宋体" w:cs="宋体"/>
          <w:b/>
          <w:sz w:val="44"/>
        </w:rPr>
        <w:t>报告</w:t>
      </w:r>
    </w:p>
    <w:p>
      <w:pPr>
        <w:pStyle w:val="8ba63e1a"/>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南财指标〔2024〕854号，林权档案整理工作经费</w:t>
      </w:r>
      <w:r>
        <w:rPr>
          <w:rFonts w:hint="eastAsia" w:ascii="仿宋" w:hAnsi="仿宋" w:eastAsia="仿宋"/>
          <w:sz w:val="32"/>
          <w:szCs w:val="32"/>
        </w:rPr>
        <w:t>）</w:t>
      </w:r>
    </w:p>
    <w:p>
      <w:pPr>
        <w:pStyle w:val="8ba63e1a"/>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8ba63e1a"/>
        <w:ind w:firstLine="643" w:firstLineChars="200"/>
        <w:rPr>
          <w:rFonts w:ascii="仿宋" w:hAnsi="仿宋" w:eastAsia="仿宋"/>
          <w:sz w:val="32"/>
          <w:szCs w:val="32"/>
        </w:rPr>
      </w:pPr>
      <w:r>
        <w:rPr>
          <w:rFonts w:hint="eastAsia" w:ascii="仿宋" w:hAnsi="仿宋" w:eastAsia="仿宋"/>
          <w:b/>
          <w:sz w:val="32"/>
          <w:szCs w:val="32"/>
        </w:rPr>
        <w:t>（一）项目概况</w:t>
      </w:r>
    </w:p>
    <w:p>
      <w:pPr>
        <w:pStyle w:val="8ba63e1a"/>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8ba63e1a"/>
        <w:ind w:firstLine="643" w:firstLineChars="200"/>
        <w:rPr>
          <w:rFonts w:ascii="仿宋" w:hAnsi="仿宋" w:eastAsia="仿宋"/>
          <w:sz w:val="32"/>
          <w:szCs w:val="32"/>
        </w:rPr>
      </w:pPr>
      <w:r>
        <w:rPr>
          <w:rFonts w:hint="eastAsia" w:ascii="仿宋" w:hAnsi="仿宋" w:eastAsia="仿宋"/>
          <w:b/>
          <w:sz w:val="32"/>
          <w:szCs w:val="32"/>
        </w:rPr>
        <w:t>（二）主要成效</w:t>
      </w:r>
    </w:p>
    <w:p>
      <w:pPr>
        <w:pStyle w:val="8ba63e1a"/>
        <w:ind w:firstLine="1472" w:firstLineChars="460"/>
        <w:rPr>
          <w:rFonts w:ascii="仿宋" w:hAnsi="仿宋" w:eastAsia="仿宋"/>
          <w:sz w:val="32"/>
          <w:szCs w:val="32"/>
        </w:rPr>
      </w:pPr>
    </w:p>
    <w:p>
      <w:pPr>
        <w:pStyle w:val="8ba63e1a"/>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8ba63e1a"/>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sz w:val="32"/>
        </w:rPr>
        <w:t>1)财政投入资金</w:t>
      </w:r>
      <w:r>
        <w:rPr>
          <w:rFonts w:ascii="仿宋" w:hAnsi="仿宋" w:eastAsia="仿宋" w:cs="仿宋"/>
          <w:sz w:val="32"/>
        </w:rPr>
        <w:t>(万元)，目标值15.97875，完成值15.9787，分值10，得分10</w:t>
      </w:r>
      <w:r>
        <w:rPr>
          <w:rFonts w:hint="eastAsia" w:ascii="仿宋" w:hAnsi="仿宋" w:eastAsia="仿宋"/>
          <w:sz w:val="32"/>
          <w:szCs w:val="32"/>
        </w:rPr>
        <w:t>。</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sz w:val="32"/>
        </w:rPr>
        <w:t>1)林权档案数量</w:t>
      </w:r>
      <w:r>
        <w:rPr>
          <w:rFonts w:ascii="仿宋" w:hAnsi="仿宋" w:eastAsia="仿宋" w:cs="仿宋"/>
          <w:sz w:val="32"/>
        </w:rPr>
        <w:t>(册)，目标值12783，完成值12793，分值20，得分20</w:t>
      </w:r>
      <w:r>
        <w:rPr>
          <w:rFonts w:hint="eastAsia" w:ascii="仿宋" w:hAnsi="仿宋" w:eastAsia="仿宋"/>
          <w:sz w:val="32"/>
          <w:szCs w:val="32"/>
        </w:rPr>
        <w:t>。</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sz w:val="32"/>
        </w:rPr>
        <w:t>1)电子信息化完成情况</w:t>
      </w:r>
      <w:r>
        <w:rPr>
          <w:rFonts w:ascii="仿宋" w:hAnsi="仿宋" w:eastAsia="仿宋" w:cs="仿宋"/>
          <w:sz w:val="32"/>
        </w:rPr>
        <w:t>(无)，目标值完成，完成值完成，分值10，得分10</w:t>
      </w:r>
      <w:r>
        <w:rPr>
          <w:rFonts w:hint="eastAsia" w:ascii="仿宋" w:hAnsi="仿宋" w:eastAsia="仿宋"/>
          <w:sz w:val="32"/>
          <w:szCs w:val="32"/>
        </w:rPr>
        <w:t>。</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sz w:val="32"/>
        </w:rPr>
        <w:t>1)预算执行率</w:t>
      </w:r>
      <w:r>
        <w:rPr>
          <w:rFonts w:ascii="仿宋" w:hAnsi="仿宋" w:eastAsia="仿宋" w:cs="仿宋"/>
          <w:sz w:val="32"/>
        </w:rPr>
        <w:t>(%)，目标值100，完成值100，分值10，得分10</w:t>
      </w:r>
      <w:r>
        <w:rPr>
          <w:rFonts w:hint="eastAsia" w:ascii="仿宋" w:hAnsi="仿宋" w:eastAsia="仿宋"/>
          <w:sz w:val="32"/>
          <w:szCs w:val="32"/>
        </w:rPr>
        <w:t>。</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sz w:val="32"/>
        </w:rPr>
        <w:t>1)林权信息查询效率提升</w:t>
      </w:r>
      <w:r>
        <w:rPr>
          <w:rFonts w:ascii="仿宋" w:hAnsi="仿宋" w:eastAsia="仿宋" w:cs="仿宋"/>
          <w:sz w:val="32"/>
        </w:rPr>
        <w:t>(无)，目标值明显，完成值明显，分值30，得分30</w:t>
      </w:r>
      <w:r>
        <w:rPr>
          <w:rFonts w:hint="eastAsia" w:ascii="仿宋" w:hAnsi="仿宋" w:eastAsia="仿宋"/>
          <w:sz w:val="32"/>
          <w:szCs w:val="32"/>
        </w:rPr>
        <w:t>。</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8ba63e1a"/>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w:t>
      </w:r>
      <w:r>
        <w:rPr>
          <w:rFonts w:ascii="仿宋" w:hAnsi="仿宋" w:eastAsia="仿宋" w:cs="仿宋"/>
          <w:sz w:val="32"/>
        </w:rPr>
        <w:t>(%)，目标值90，完成值90，分值10，得分10</w:t>
      </w:r>
      <w:r>
        <w:rPr>
          <w:rFonts w:hint="eastAsia" w:ascii="仿宋" w:hAnsi="仿宋" w:eastAsia="仿宋"/>
          <w:sz w:val="32"/>
          <w:szCs w:val="32"/>
        </w:rPr>
        <w:t>。</w:t>
      </w:r>
    </w:p>
    <w:p>
      <w:pPr>
        <w:pStyle w:val="8ba63e1a"/>
        <w:tabs>
          <w:tab w:val="left" w:pos="2244"/>
        </w:tabs>
        <w:spacing w:line="620" w:lineRule="exact"/>
        <w:ind w:left="1890" w:leftChars="900"/>
        <w:rPr>
          <w:rFonts w:ascii="仿宋" w:hAnsi="仿宋" w:eastAsia="仿宋"/>
          <w:b/>
          <w:color w:val="FF0000"/>
          <w:sz w:val="32"/>
          <w:szCs w:val="32"/>
        </w:rPr>
      </w:pPr>
    </w:p>
    <w:p>
      <w:pPr>
        <w:pStyle w:val="8ba63e1a"/>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8ba63e1a"/>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8ba63e1a"/>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8ba63e1a"/>
        <w:ind w:left="840" w:firstLine="420"/>
        <w:sectPr>
          <w:type w:val="continuous"/>
          <w:pgSz w:w="11907" w:h="16840"/>
        </w:sectPr>
      </w:pPr>
    </w:p>
    <w:p>
      <w:pPr>
        <w:pageBreakBefore w:val="true"/>
      </w:pPr>
    </w:p>
    <w:p>
      <w:pPr>
        <w:pStyle w:val="8e358d96"/>
        <w:rPr>
          <w:rFonts w:ascii="仿宋" w:hAnsi="仿宋" w:eastAsia="仿宋"/>
          <w:sz w:val="32"/>
          <w:szCs w:val="32"/>
        </w:rPr>
      </w:pPr>
      <w:bookmarkStart w:id="0" w:name="_GoBack"/>
      <w:bookmarkEnd w:id="0"/>
    </w:p>
    <w:p>
      <w:pPr>
        <w:pStyle w:val="8e358d96"/>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r>
        <w:rPr>
          <w:rFonts w:ascii="宋体" w:hAnsi="宋体" w:eastAsia="宋体" w:cs="宋体"/>
          <w:b/>
          <w:sz w:val="44"/>
        </w:rPr>
        <w:t>报告</w:t>
      </w:r>
    </w:p>
    <w:p>
      <w:pPr>
        <w:pStyle w:val="8e358d96"/>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泉财农指〔2024〕140号，2025年省级财政林业专项资金（林业生态保护——古树名木保护4.5万元）</w:t>
      </w:r>
      <w:r>
        <w:rPr>
          <w:rFonts w:hint="eastAsia" w:ascii="仿宋" w:hAnsi="仿宋" w:eastAsia="仿宋"/>
          <w:sz w:val="32"/>
          <w:szCs w:val="32"/>
        </w:rPr>
        <w:t>）</w:t>
      </w:r>
    </w:p>
    <w:p>
      <w:pPr>
        <w:pStyle w:val="8e358d96"/>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8e358d96"/>
        <w:ind w:firstLine="643" w:firstLineChars="200"/>
        <w:rPr>
          <w:rFonts w:ascii="仿宋" w:hAnsi="仿宋" w:eastAsia="仿宋"/>
          <w:sz w:val="32"/>
          <w:szCs w:val="32"/>
        </w:rPr>
      </w:pPr>
      <w:r>
        <w:rPr>
          <w:rFonts w:hint="eastAsia" w:ascii="仿宋" w:hAnsi="仿宋" w:eastAsia="仿宋"/>
          <w:b/>
          <w:sz w:val="32"/>
          <w:szCs w:val="32"/>
        </w:rPr>
        <w:t>（一）项目概况</w:t>
      </w:r>
    </w:p>
    <w:p>
      <w:pPr>
        <w:pStyle w:val="8e358d96"/>
        <w:ind w:firstLine="1472" w:firstLineChars="460"/>
        <w:rPr>
          <w:rFonts w:ascii="仿宋" w:hAnsi="仿宋" w:eastAsia="仿宋"/>
          <w:sz w:val="32"/>
          <w:szCs w:val="32"/>
        </w:rPr>
      </w:pPr>
      <w:r>
        <w:rPr>
          <w:rFonts w:hint="eastAsia" w:ascii="仿宋" w:hAnsi="仿宋" w:eastAsia="仿宋"/>
          <w:sz w:val="32"/>
          <w:szCs w:val="32"/>
        </w:rPr>
        <w:t>完成古树名木保护1株</w:t>
      </w:r>
      <w:r>
        <w:rPr>
          <w:rFonts w:ascii="仿宋" w:hAnsi="仿宋" w:eastAsia="仿宋" w:cs="仿宋"/>
          <w:sz w:val="32"/>
        </w:rPr>
        <w:t xml:space="preserve"> </w:t>
      </w:r>
    </w:p>
    <w:p>
      <w:pPr>
        <w:pStyle w:val="8e358d96"/>
        <w:ind w:firstLine="643" w:firstLineChars="200"/>
        <w:rPr>
          <w:rFonts w:ascii="仿宋" w:hAnsi="仿宋" w:eastAsia="仿宋"/>
          <w:sz w:val="32"/>
          <w:szCs w:val="32"/>
        </w:rPr>
      </w:pPr>
      <w:r>
        <w:rPr>
          <w:rFonts w:hint="eastAsia" w:ascii="仿宋" w:hAnsi="仿宋" w:eastAsia="仿宋"/>
          <w:b/>
          <w:sz w:val="32"/>
          <w:szCs w:val="32"/>
        </w:rPr>
        <w:t>（二）主要成效</w:t>
      </w:r>
    </w:p>
    <w:p>
      <w:pPr>
        <w:pStyle w:val="8e358d96"/>
        <w:ind w:firstLine="1472" w:firstLineChars="460"/>
        <w:rPr>
          <w:rFonts w:ascii="仿宋" w:hAnsi="仿宋" w:eastAsia="仿宋"/>
          <w:sz w:val="32"/>
          <w:szCs w:val="32"/>
        </w:rPr>
      </w:pPr>
    </w:p>
    <w:p>
      <w:pPr>
        <w:pStyle w:val="8e358d96"/>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8e358d96"/>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90分，等级为优，设置绩效目标8个，实际完成8个，具体情况如下：</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sz w:val="32"/>
        </w:rPr>
        <w:t>1)措施费用</w:t>
      </w:r>
      <w:r>
        <w:rPr>
          <w:rFonts w:ascii="仿宋" w:hAnsi="仿宋" w:eastAsia="仿宋" w:cs="仿宋"/>
          <w:sz w:val="32"/>
        </w:rPr>
        <w:t>(元)，目标值4.5，完成值4.5，分值5，得分5</w:t>
      </w:r>
      <w:r>
        <w:rPr>
          <w:rFonts w:hint="eastAsia" w:ascii="仿宋" w:hAnsi="仿宋" w:eastAsia="仿宋"/>
          <w:sz w:val="32"/>
          <w:szCs w:val="32"/>
        </w:rPr>
        <w:t>。</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sz w:val="32"/>
        </w:rPr>
        <w:t>1)古树生境改善情况</w:t>
      </w:r>
      <w:r>
        <w:rPr>
          <w:rFonts w:ascii="仿宋" w:hAnsi="仿宋" w:eastAsia="仿宋" w:cs="仿宋"/>
          <w:sz w:val="32"/>
        </w:rPr>
        <w:t>(%)，目标值80，完成值80，分值5，得分5</w:t>
      </w:r>
      <w:r>
        <w:rPr>
          <w:rFonts w:hint="eastAsia" w:ascii="仿宋" w:hAnsi="仿宋" w:eastAsia="仿宋"/>
          <w:sz w:val="32"/>
          <w:szCs w:val="32"/>
        </w:rPr>
        <w:t>。</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sz w:val="32"/>
        </w:rPr>
        <w:t>1)保护古树株数</w:t>
      </w:r>
      <w:r>
        <w:rPr>
          <w:rFonts w:ascii="仿宋" w:hAnsi="仿宋" w:eastAsia="仿宋" w:cs="仿宋"/>
          <w:sz w:val="32"/>
        </w:rPr>
        <w:t>(株)，目标值1，完成值1，分值20，得分20</w:t>
      </w:r>
      <w:r>
        <w:rPr>
          <w:rFonts w:hint="eastAsia" w:ascii="仿宋" w:hAnsi="仿宋" w:eastAsia="仿宋"/>
          <w:sz w:val="32"/>
          <w:szCs w:val="32"/>
        </w:rPr>
        <w:t>。</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sz w:val="32"/>
        </w:rPr>
        <w:t>1)保护措施到位</w:t>
      </w:r>
      <w:r>
        <w:rPr>
          <w:rFonts w:ascii="仿宋" w:hAnsi="仿宋" w:eastAsia="仿宋" w:cs="仿宋"/>
          <w:sz w:val="32"/>
        </w:rPr>
        <w:t>(无)，目标值到位，完成值措施到位，分值10，得分10</w:t>
      </w:r>
      <w:r>
        <w:rPr>
          <w:rFonts w:hint="eastAsia" w:ascii="仿宋" w:hAnsi="仿宋" w:eastAsia="仿宋"/>
          <w:sz w:val="32"/>
          <w:szCs w:val="32"/>
        </w:rPr>
        <w:t>。</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sz w:val="32"/>
        </w:rPr>
        <w:t>1)完成时间</w:t>
      </w:r>
      <w:r>
        <w:rPr>
          <w:rFonts w:ascii="仿宋" w:hAnsi="仿宋" w:eastAsia="仿宋" w:cs="仿宋"/>
          <w:sz w:val="32"/>
        </w:rPr>
        <w:t>(月)，目标值12，完成值12，分值10，得分10</w:t>
      </w:r>
      <w:r>
        <w:rPr>
          <w:rFonts w:hint="eastAsia" w:ascii="仿宋" w:hAnsi="仿宋" w:eastAsia="仿宋"/>
          <w:sz w:val="32"/>
          <w:szCs w:val="32"/>
        </w:rPr>
        <w:t>。</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sz w:val="32"/>
        </w:rPr>
        <w:t>1)古树成活率</w:t>
      </w:r>
      <w:r>
        <w:rPr>
          <w:rFonts w:ascii="仿宋" w:hAnsi="仿宋" w:eastAsia="仿宋" w:cs="仿宋"/>
          <w:sz w:val="32"/>
        </w:rPr>
        <w:t>(%)，目标值100，完成值100，分值15，得分15</w:t>
      </w:r>
      <w:r>
        <w:rPr>
          <w:rFonts w:hint="eastAsia" w:ascii="仿宋" w:hAnsi="仿宋" w:eastAsia="仿宋"/>
          <w:sz w:val="32"/>
          <w:szCs w:val="32"/>
        </w:rPr>
        <w:t>。</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sz w:val="32"/>
        </w:rPr>
        <w:t>1)对生态环境可持续影响</w:t>
      </w:r>
      <w:r>
        <w:rPr>
          <w:rFonts w:ascii="仿宋" w:hAnsi="仿宋" w:eastAsia="仿宋" w:cs="仿宋"/>
          <w:sz w:val="32"/>
        </w:rPr>
        <w:t>(无)，目标值明显，完成值明显，分值15，得分15</w:t>
      </w:r>
      <w:r>
        <w:rPr>
          <w:rFonts w:hint="eastAsia" w:ascii="仿宋" w:hAnsi="仿宋" w:eastAsia="仿宋"/>
          <w:sz w:val="32"/>
          <w:szCs w:val="32"/>
        </w:rPr>
        <w:t>。</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8e358d96"/>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(%)，目标值90，完成值90，分值10，得分10</w:t>
      </w:r>
      <w:r>
        <w:rPr>
          <w:rFonts w:hint="eastAsia" w:ascii="仿宋" w:hAnsi="仿宋" w:eastAsia="仿宋"/>
          <w:sz w:val="32"/>
          <w:szCs w:val="32"/>
        </w:rPr>
        <w:t>。</w:t>
      </w:r>
    </w:p>
    <w:p>
      <w:pPr>
        <w:pStyle w:val="8e358d96"/>
        <w:tabs>
          <w:tab w:val="left" w:pos="2244"/>
        </w:tabs>
        <w:spacing w:line="620" w:lineRule="exact"/>
        <w:ind w:left="1890" w:leftChars="900"/>
        <w:rPr>
          <w:rFonts w:ascii="仿宋" w:hAnsi="仿宋" w:eastAsia="仿宋"/>
          <w:b/>
          <w:color w:val="FF0000"/>
          <w:sz w:val="32"/>
          <w:szCs w:val="32"/>
        </w:rPr>
      </w:pPr>
    </w:p>
    <w:p>
      <w:pPr>
        <w:pStyle w:val="8e358d96"/>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8e358d96"/>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8e358d96"/>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8e358d96"/>
        <w:ind w:left="840" w:firstLine="420"/>
        <w:sectPr>
          <w:type w:val="continuous"/>
          <w:pgSz w:w="11907" w:h="16840"/>
        </w:sectPr>
      </w:pPr>
    </w:p>
    <w:p>
      <w:pPr>
        <w:pageBreakBefore w:val="true"/>
      </w:pPr>
    </w:p>
    <w:p>
      <w:pPr>
        <w:pStyle w:val="a31a5033"/>
        <w:rPr>
          <w:rFonts w:ascii="仿宋" w:hAnsi="仿宋" w:eastAsia="仿宋"/>
          <w:sz w:val="32"/>
          <w:szCs w:val="32"/>
        </w:rPr>
      </w:pPr>
    </w:p>
    <w:p>
      <w:pPr>
        <w:pStyle w:val="a31a5033"/>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a31a5033"/>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泉财农指〔2024〕64号，2024年中央财政林业专项资金（市县部分第二批）：全国性森林、草原、湿地、荒漠综合监测</w:t>
      </w:r>
      <w:r>
        <w:rPr>
          <w:rFonts w:hint="eastAsia" w:ascii="仿宋" w:hAnsi="仿宋" w:eastAsia="仿宋"/>
          <w:sz w:val="32"/>
          <w:szCs w:val="32"/>
        </w:rPr>
        <w:t>）</w:t>
      </w:r>
    </w:p>
    <w:p>
      <w:pPr>
        <w:pStyle w:val="a31a5033"/>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a31a5033"/>
        <w:ind w:firstLine="643" w:firstLineChars="200"/>
        <w:rPr>
          <w:rFonts w:ascii="仿宋" w:hAnsi="仿宋" w:eastAsia="仿宋"/>
          <w:sz w:val="32"/>
          <w:szCs w:val="32"/>
        </w:rPr>
      </w:pPr>
      <w:r>
        <w:rPr>
          <w:rFonts w:hint="eastAsia" w:ascii="仿宋" w:hAnsi="仿宋" w:eastAsia="仿宋"/>
          <w:b/>
          <w:sz w:val="32"/>
          <w:szCs w:val="32"/>
        </w:rPr>
        <w:t>（一）项目概况</w:t>
      </w:r>
    </w:p>
    <w:p>
      <w:pPr>
        <w:pStyle w:val="a31a5033"/>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a31a5033"/>
        <w:ind w:firstLine="643" w:firstLineChars="200"/>
        <w:rPr>
          <w:rFonts w:ascii="仿宋" w:hAnsi="仿宋" w:eastAsia="仿宋"/>
          <w:sz w:val="32"/>
          <w:szCs w:val="32"/>
        </w:rPr>
      </w:pPr>
      <w:r>
        <w:rPr>
          <w:rFonts w:hint="eastAsia" w:ascii="仿宋" w:hAnsi="仿宋" w:eastAsia="仿宋"/>
          <w:b/>
          <w:sz w:val="32"/>
          <w:szCs w:val="32"/>
        </w:rPr>
        <w:t>（二）主要成效</w:t>
      </w:r>
    </w:p>
    <w:p>
      <w:pPr>
        <w:pStyle w:val="a31a5033"/>
        <w:ind w:firstLine="1472" w:firstLineChars="460"/>
        <w:rPr>
          <w:rFonts w:ascii="仿宋" w:hAnsi="仿宋" w:eastAsia="仿宋"/>
          <w:sz w:val="32"/>
          <w:szCs w:val="32"/>
        </w:rPr>
      </w:pPr>
    </w:p>
    <w:p>
      <w:pPr>
        <w:pStyle w:val="a31a5033"/>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a31a5033"/>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90分，等级为优，设置绩效目标6个，实际完成6个，具体情况如下：</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sz w:val="32"/>
        </w:rPr>
        <w:t>1)补助资金</w:t>
      </w:r>
      <w:r>
        <w:rPr>
          <w:rFonts w:ascii="仿宋" w:hAnsi="仿宋" w:eastAsia="仿宋" w:cs="仿宋"/>
          <w:sz w:val="32"/>
        </w:rPr>
        <w:t>(万元)，目标值15.6，完成值0，分值10，得分10</w:t>
      </w:r>
      <w:r>
        <w:rPr>
          <w:rFonts w:hint="eastAsia" w:ascii="仿宋" w:hAnsi="仿宋" w:eastAsia="仿宋"/>
          <w:sz w:val="32"/>
          <w:szCs w:val="32"/>
        </w:rPr>
        <w:t>。</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sz w:val="32"/>
        </w:rPr>
        <w:t>1)林草湿鸟类专项监测</w:t>
      </w:r>
      <w:r>
        <w:rPr>
          <w:rFonts w:ascii="仿宋" w:hAnsi="仿宋" w:eastAsia="仿宋" w:cs="仿宋"/>
          <w:sz w:val="32"/>
        </w:rPr>
        <w:t>(种)，目标值156，完成值156，分值20，得分20</w:t>
      </w:r>
      <w:r>
        <w:rPr>
          <w:rFonts w:hint="eastAsia" w:ascii="仿宋" w:hAnsi="仿宋" w:eastAsia="仿宋"/>
          <w:sz w:val="32"/>
          <w:szCs w:val="32"/>
        </w:rPr>
        <w:t>。</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sz w:val="32"/>
        </w:rPr>
        <w:t>1)监测工作成效</w:t>
      </w:r>
      <w:r>
        <w:rPr>
          <w:rFonts w:ascii="仿宋" w:hAnsi="仿宋" w:eastAsia="仿宋" w:cs="仿宋"/>
          <w:sz w:val="32"/>
        </w:rPr>
        <w:t>(无)，目标值明显，完成值明显，分值10，得分10</w:t>
      </w:r>
      <w:r>
        <w:rPr>
          <w:rFonts w:hint="eastAsia" w:ascii="仿宋" w:hAnsi="仿宋" w:eastAsia="仿宋"/>
          <w:sz w:val="32"/>
          <w:szCs w:val="32"/>
        </w:rPr>
        <w:t>。</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sz w:val="32"/>
        </w:rPr>
        <w:t>1)监测时间节点</w:t>
      </w:r>
      <w:r>
        <w:rPr>
          <w:rFonts w:ascii="仿宋" w:hAnsi="仿宋" w:eastAsia="仿宋" w:cs="仿宋"/>
          <w:sz w:val="32"/>
        </w:rPr>
        <w:t>(无)，目标值完成，完成值完成，分值10，得分10</w:t>
      </w:r>
      <w:r>
        <w:rPr>
          <w:rFonts w:hint="eastAsia" w:ascii="仿宋" w:hAnsi="仿宋" w:eastAsia="仿宋"/>
          <w:sz w:val="32"/>
          <w:szCs w:val="32"/>
        </w:rPr>
        <w:t>。</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sz w:val="32"/>
        </w:rPr>
        <w:t>1)森林蓄积变化</w:t>
      </w:r>
      <w:r>
        <w:rPr>
          <w:rFonts w:ascii="仿宋" w:hAnsi="仿宋" w:eastAsia="仿宋" w:cs="仿宋"/>
          <w:sz w:val="32"/>
        </w:rPr>
        <w:t>(无)，目标值增加，完成值增加，分值30，得分30</w:t>
      </w:r>
      <w:r>
        <w:rPr>
          <w:rFonts w:hint="eastAsia" w:ascii="仿宋" w:hAnsi="仿宋" w:eastAsia="仿宋"/>
          <w:sz w:val="32"/>
          <w:szCs w:val="32"/>
        </w:rPr>
        <w:t>。</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a31a5033"/>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(%)，目标值90，完成值90，分值10，得分10</w:t>
      </w:r>
      <w:r>
        <w:rPr>
          <w:rFonts w:hint="eastAsia" w:ascii="仿宋" w:hAnsi="仿宋" w:eastAsia="仿宋"/>
          <w:sz w:val="32"/>
          <w:szCs w:val="32"/>
        </w:rPr>
        <w:t>。</w:t>
      </w:r>
    </w:p>
    <w:p>
      <w:pPr>
        <w:pStyle w:val="a31a5033"/>
        <w:tabs>
          <w:tab w:val="left" w:pos="2244"/>
        </w:tabs>
        <w:spacing w:line="620" w:lineRule="exact"/>
        <w:ind w:left="1890" w:leftChars="900"/>
        <w:rPr>
          <w:rFonts w:ascii="仿宋" w:hAnsi="仿宋" w:eastAsia="仿宋"/>
          <w:b/>
          <w:color w:val="FF0000"/>
          <w:sz w:val="32"/>
          <w:szCs w:val="32"/>
        </w:rPr>
      </w:pPr>
    </w:p>
    <w:p>
      <w:pPr>
        <w:pStyle w:val="a31a5033"/>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a31a5033"/>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a31a5033"/>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a31a5033"/>
        <w:ind w:left="840" w:firstLine="420"/>
        <w:sectPr>
          <w:type w:val="continuous"/>
          <w:pgSz w:w="11907" w:h="16840"/>
        </w:sectPr>
      </w:pPr>
    </w:p>
    <w:p>
      <w:pPr>
        <w:pageBreakBefore w:val="true"/>
      </w:pPr>
    </w:p>
    <w:p>
      <w:pPr>
        <w:pStyle w:val="04ef0294"/>
        <w:rPr>
          <w:rFonts w:ascii="仿宋" w:hAnsi="仿宋" w:eastAsia="仿宋"/>
          <w:sz w:val="32"/>
          <w:szCs w:val="32"/>
        </w:rPr>
      </w:pPr>
      <w:bookmarkStart w:id="0" w:name="_GoBack"/>
      <w:bookmarkEnd w:id="0"/>
    </w:p>
    <w:p>
      <w:pPr>
        <w:pStyle w:val="04ef0294"/>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w:t>
      </w:r>
      <w:r>
        <w:rPr>
          <w:rFonts w:hint="eastAsia" w:ascii="宋体" w:hAnsi="宋体" w:cs="宋体"/>
          <w:b/>
          <w:sz w:val="44"/>
          <w:lang w:eastAsia="zh-CN"/>
        </w:rPr>
        <w:t>评价</w:t>
      </w:r>
      <w:r>
        <w:rPr>
          <w:rFonts w:ascii="宋体" w:hAnsi="宋体" w:eastAsia="宋体" w:cs="宋体"/>
          <w:b/>
          <w:sz w:val="44"/>
        </w:rPr>
        <w:t>报告</w:t>
      </w:r>
    </w:p>
    <w:p>
      <w:pPr>
        <w:pStyle w:val="04ef0294"/>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泉财农指〔2025〕4号，2025年中央财政林业草原改革发展资金：林业草原支撑保障体系支出（林业有害生物防治补助）</w:t>
      </w:r>
      <w:r>
        <w:rPr>
          <w:rFonts w:hint="eastAsia" w:ascii="仿宋" w:hAnsi="仿宋" w:eastAsia="仿宋"/>
          <w:sz w:val="32"/>
          <w:szCs w:val="32"/>
        </w:rPr>
        <w:t>）</w:t>
      </w:r>
    </w:p>
    <w:p>
      <w:pPr>
        <w:pStyle w:val="04ef0294"/>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04ef0294"/>
        <w:ind w:firstLine="643" w:firstLineChars="200"/>
        <w:rPr>
          <w:rFonts w:ascii="仿宋" w:hAnsi="仿宋" w:eastAsia="仿宋"/>
          <w:sz w:val="32"/>
          <w:szCs w:val="32"/>
        </w:rPr>
      </w:pPr>
      <w:r>
        <w:rPr>
          <w:rFonts w:hint="eastAsia" w:ascii="仿宋" w:hAnsi="仿宋" w:eastAsia="仿宋"/>
          <w:b/>
          <w:sz w:val="32"/>
          <w:szCs w:val="32"/>
        </w:rPr>
        <w:t>（一）项目概况</w:t>
      </w:r>
    </w:p>
    <w:p>
      <w:pPr>
        <w:pStyle w:val="04ef0294"/>
        <w:ind w:firstLine="1472" w:firstLineChars="460"/>
        <w:rPr>
          <w:rFonts w:ascii="仿宋" w:hAnsi="仿宋" w:eastAsia="仿宋"/>
          <w:sz w:val="32"/>
          <w:szCs w:val="32"/>
        </w:rPr>
      </w:pPr>
      <w:r>
        <w:rPr>
          <w:rFonts w:hint="eastAsia" w:ascii="仿宋" w:hAnsi="仿宋" w:eastAsia="仿宋"/>
          <w:sz w:val="32"/>
          <w:szCs w:val="32"/>
        </w:rPr>
        <w:t>泉财农指〔2025〕4号，2025年中央财政林业草原改革发展资金：林业草原支撑保障体系支出——林业有害生物防治补助164.58万元（其中：互花米草防治补助8万元）</w:t>
      </w:r>
      <w:r>
        <w:rPr>
          <w:rFonts w:ascii="仿宋" w:hAnsi="仿宋" w:eastAsia="仿宋" w:cs="仿宋"/>
          <w:sz w:val="32"/>
        </w:rPr>
        <w:t xml:space="preserve"> </w:t>
      </w:r>
    </w:p>
    <w:p>
      <w:pPr>
        <w:pStyle w:val="04ef0294"/>
        <w:ind w:firstLine="643" w:firstLineChars="200"/>
        <w:rPr>
          <w:rFonts w:ascii="仿宋" w:hAnsi="仿宋" w:eastAsia="仿宋"/>
          <w:sz w:val="32"/>
          <w:szCs w:val="32"/>
        </w:rPr>
      </w:pPr>
      <w:r>
        <w:rPr>
          <w:rFonts w:hint="eastAsia" w:ascii="仿宋" w:hAnsi="仿宋" w:eastAsia="仿宋"/>
          <w:b/>
          <w:sz w:val="32"/>
          <w:szCs w:val="32"/>
        </w:rPr>
        <w:t>（二）主要成效</w:t>
      </w:r>
    </w:p>
    <w:p>
      <w:pPr>
        <w:pStyle w:val="04ef0294"/>
        <w:ind w:firstLine="1472" w:firstLineChars="460"/>
        <w:rPr>
          <w:rFonts w:ascii="仿宋" w:hAnsi="仿宋" w:eastAsia="仿宋"/>
          <w:sz w:val="32"/>
          <w:szCs w:val="32"/>
        </w:rPr>
      </w:pPr>
    </w:p>
    <w:p>
      <w:pPr>
        <w:pStyle w:val="04ef0294"/>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04ef0294"/>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100分，等级为优，设置绩效目标9个，实际完成9个，具体情况如下：</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sz w:val="32"/>
        </w:rPr>
        <w:t>1)补助资金</w:t>
      </w:r>
      <w:r>
        <w:rPr>
          <w:rFonts w:ascii="仿宋" w:hAnsi="仿宋" w:eastAsia="仿宋" w:cs="仿宋"/>
          <w:sz w:val="32"/>
        </w:rPr>
        <w:t>(万元)，目标值164.58，完成值164.58，分值5，得分5</w:t>
      </w:r>
      <w:r>
        <w:rPr>
          <w:rFonts w:hint="eastAsia" w:ascii="仿宋" w:hAnsi="仿宋" w:eastAsia="仿宋"/>
          <w:sz w:val="32"/>
          <w:szCs w:val="32"/>
        </w:rPr>
        <w:t>。</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sz w:val="32"/>
        </w:rPr>
        <w:t>1)促进社会经济发展</w:t>
      </w:r>
      <w:r>
        <w:rPr>
          <w:rFonts w:ascii="仿宋" w:hAnsi="仿宋" w:eastAsia="仿宋" w:cs="仿宋"/>
          <w:sz w:val="32"/>
        </w:rPr>
        <w:t>(无)，目标值有效促进，完成值有效促进，分值5，得分5</w:t>
      </w:r>
      <w:r>
        <w:rPr>
          <w:rFonts w:hint="eastAsia" w:ascii="仿宋" w:hAnsi="仿宋" w:eastAsia="仿宋"/>
          <w:sz w:val="32"/>
          <w:szCs w:val="32"/>
        </w:rPr>
        <w:t>。</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sz w:val="32"/>
        </w:rPr>
        <w:t>1)防治面积</w:t>
      </w:r>
      <w:r>
        <w:rPr>
          <w:rFonts w:ascii="仿宋" w:hAnsi="仿宋" w:eastAsia="仿宋" w:cs="仿宋"/>
          <w:sz w:val="32"/>
        </w:rPr>
        <w:t>(万亩)，目标值0.0389，完成值0.0389，分值10，得分10</w:t>
      </w:r>
      <w:r>
        <w:rPr>
          <w:rFonts w:hint="eastAsia" w:ascii="仿宋" w:hAnsi="仿宋" w:eastAsia="仿宋"/>
          <w:sz w:val="32"/>
          <w:szCs w:val="32"/>
        </w:rPr>
        <w:t>。</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sz w:val="32"/>
        </w:rPr>
        <w:t>2)防治面积</w:t>
      </w:r>
      <w:r>
        <w:rPr>
          <w:rFonts w:ascii="仿宋" w:hAnsi="仿宋" w:eastAsia="仿宋" w:cs="仿宋"/>
          <w:sz w:val="32"/>
        </w:rPr>
        <w:t>(万亩)，目标值0.85，完成值0.85，分值10，得分10</w:t>
      </w:r>
      <w:r>
        <w:rPr>
          <w:rFonts w:hint="eastAsia" w:ascii="仿宋" w:hAnsi="仿宋" w:eastAsia="仿宋"/>
          <w:sz w:val="32"/>
          <w:szCs w:val="32"/>
        </w:rPr>
        <w:t>。</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sz w:val="32"/>
        </w:rPr>
        <w:t>1)任务完成情况</w:t>
      </w:r>
      <w:r>
        <w:rPr>
          <w:rFonts w:ascii="仿宋" w:hAnsi="仿宋" w:eastAsia="仿宋" w:cs="仿宋"/>
          <w:sz w:val="32"/>
        </w:rPr>
        <w:t>(%)，目标值90，完成值90，分值10，得分10</w:t>
      </w:r>
      <w:r>
        <w:rPr>
          <w:rFonts w:hint="eastAsia" w:ascii="仿宋" w:hAnsi="仿宋" w:eastAsia="仿宋"/>
          <w:sz w:val="32"/>
          <w:szCs w:val="32"/>
        </w:rPr>
        <w:t>。</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sz w:val="32"/>
        </w:rPr>
        <w:t>1)互花米草防治及时完成率</w:t>
      </w:r>
      <w:r>
        <w:rPr>
          <w:rFonts w:ascii="仿宋" w:hAnsi="仿宋" w:eastAsia="仿宋" w:cs="仿宋"/>
          <w:sz w:val="32"/>
        </w:rPr>
        <w:t>(%)，目标值90，完成值90，分值10，得分10</w:t>
      </w:r>
      <w:r>
        <w:rPr>
          <w:rFonts w:hint="eastAsia" w:ascii="仿宋" w:hAnsi="仿宋" w:eastAsia="仿宋"/>
          <w:sz w:val="32"/>
          <w:szCs w:val="32"/>
        </w:rPr>
        <w:t>。</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sz w:val="32"/>
        </w:rPr>
        <w:t>1)加强湿地管护</w:t>
      </w:r>
      <w:r>
        <w:rPr>
          <w:rFonts w:ascii="仿宋" w:hAnsi="仿宋" w:eastAsia="仿宋" w:cs="仿宋"/>
          <w:sz w:val="32"/>
        </w:rPr>
        <w:t>(无)，目标值有效促进，完成值有效促进，分值20，得分20</w:t>
      </w:r>
      <w:r>
        <w:rPr>
          <w:rFonts w:hint="eastAsia" w:ascii="仿宋" w:hAnsi="仿宋" w:eastAsia="仿宋"/>
          <w:sz w:val="32"/>
          <w:szCs w:val="32"/>
        </w:rPr>
        <w:t>。</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sz w:val="32"/>
        </w:rPr>
        <w:t>1)可持续发展</w:t>
      </w:r>
      <w:r>
        <w:rPr>
          <w:rFonts w:ascii="仿宋" w:hAnsi="仿宋" w:eastAsia="仿宋" w:cs="仿宋"/>
          <w:sz w:val="32"/>
        </w:rPr>
        <w:t>(无)，目标值发展良好，完成值发展良好，分值10，得分10</w:t>
      </w:r>
      <w:r>
        <w:rPr>
          <w:rFonts w:hint="eastAsia" w:ascii="仿宋" w:hAnsi="仿宋" w:eastAsia="仿宋"/>
          <w:sz w:val="32"/>
          <w:szCs w:val="32"/>
        </w:rPr>
        <w:t>。</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04ef0294"/>
        <w:spacing w:line="620" w:lineRule="exact"/>
        <w:ind w:left="420" w:leftChars="200"/>
        <w:rPr>
          <w:rFonts w:ascii="仿宋" w:hAnsi="仿宋" w:eastAsia="仿宋"/>
          <w:sz w:val="32"/>
          <w:szCs w:val="32"/>
        </w:rPr>
      </w:pPr>
      <w:r>
        <w:rPr>
          <w:rFonts w:ascii="仿宋_GB2312" w:hAnsi="仿宋_GB2312" w:eastAsia="仿宋_GB2312" w:cs="仿宋_GB2312"/>
          <w:sz w:val="32"/>
        </w:rPr>
        <w:t>1)社会公众满意度</w:t>
      </w:r>
      <w:r>
        <w:rPr>
          <w:rFonts w:ascii="仿宋" w:hAnsi="仿宋" w:eastAsia="仿宋" w:cs="仿宋"/>
          <w:sz w:val="32"/>
        </w:rPr>
        <w:t>(%)，目标值85，完成值85，分值10，得分10</w:t>
      </w:r>
      <w:r>
        <w:rPr>
          <w:rFonts w:hint="eastAsia" w:ascii="仿宋" w:hAnsi="仿宋" w:eastAsia="仿宋"/>
          <w:sz w:val="32"/>
          <w:szCs w:val="32"/>
        </w:rPr>
        <w:t>。</w:t>
      </w:r>
    </w:p>
    <w:p>
      <w:pPr>
        <w:pStyle w:val="04ef0294"/>
        <w:tabs>
          <w:tab w:val="left" w:pos="2244"/>
        </w:tabs>
        <w:spacing w:line="620" w:lineRule="exact"/>
        <w:ind w:left="1890" w:leftChars="900"/>
        <w:rPr>
          <w:rFonts w:ascii="仿宋" w:hAnsi="仿宋" w:eastAsia="仿宋"/>
          <w:b/>
          <w:color w:val="FF0000"/>
          <w:sz w:val="32"/>
          <w:szCs w:val="32"/>
        </w:rPr>
      </w:pPr>
    </w:p>
    <w:p>
      <w:pPr>
        <w:pStyle w:val="04ef0294"/>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04ef0294"/>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04ef0294"/>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04ef0294"/>
        <w:ind w:left="840" w:firstLine="420"/>
        <w:sectPr>
          <w:type w:val="continuous"/>
          <w:pgSz w:w="11907" w:h="16840"/>
        </w:sectPr>
      </w:pPr>
    </w:p>
    <w:p>
      <w:pPr>
        <w:pageBreakBefore w:val="true"/>
      </w:pPr>
    </w:p>
    <w:p>
      <w:pPr>
        <w:pStyle w:val="84ee7f65"/>
        <w:rPr>
          <w:rFonts w:ascii="仿宋" w:hAnsi="仿宋" w:eastAsia="仿宋"/>
          <w:sz w:val="32"/>
          <w:szCs w:val="32"/>
        </w:rPr>
      </w:pPr>
      <w:bookmarkStart w:id="0" w:name="_GoBack"/>
      <w:bookmarkEnd w:id="0"/>
    </w:p>
    <w:p>
      <w:pPr>
        <w:pStyle w:val="84ee7f65"/>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r>
        <w:rPr>
          <w:rFonts w:ascii="宋体" w:hAnsi="宋体" w:eastAsia="宋体" w:cs="宋体"/>
          <w:b/>
          <w:sz w:val="44"/>
        </w:rPr>
        <w:t>报告</w:t>
      </w:r>
    </w:p>
    <w:p>
      <w:pPr>
        <w:pStyle w:val="84ee7f65"/>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泉财农指〔2024〕147号，2025年省级财政林业生态补偿补助资金</w:t>
      </w:r>
      <w:r>
        <w:rPr>
          <w:rFonts w:hint="eastAsia" w:ascii="仿宋" w:hAnsi="仿宋" w:eastAsia="仿宋"/>
          <w:sz w:val="32"/>
          <w:szCs w:val="32"/>
        </w:rPr>
        <w:t>）</w:t>
      </w:r>
    </w:p>
    <w:p>
      <w:pPr>
        <w:pStyle w:val="84ee7f65"/>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84ee7f65"/>
        <w:ind w:firstLine="643" w:firstLineChars="200"/>
        <w:rPr>
          <w:rFonts w:ascii="仿宋" w:hAnsi="仿宋" w:eastAsia="仿宋"/>
          <w:sz w:val="32"/>
          <w:szCs w:val="32"/>
        </w:rPr>
      </w:pPr>
      <w:r>
        <w:rPr>
          <w:rFonts w:hint="eastAsia" w:ascii="仿宋" w:hAnsi="仿宋" w:eastAsia="仿宋"/>
          <w:b/>
          <w:sz w:val="32"/>
          <w:szCs w:val="32"/>
        </w:rPr>
        <w:t>（一）项目概况</w:t>
      </w:r>
    </w:p>
    <w:p>
      <w:pPr>
        <w:pStyle w:val="84ee7f65"/>
        <w:ind w:firstLine="1472" w:firstLineChars="460"/>
        <w:rPr>
          <w:rFonts w:ascii="仿宋" w:hAnsi="仿宋" w:eastAsia="仿宋"/>
          <w:sz w:val="32"/>
          <w:szCs w:val="32"/>
        </w:rPr>
      </w:pPr>
      <w:r>
        <w:rPr>
          <w:rFonts w:hint="eastAsia" w:ascii="仿宋" w:hAnsi="仿宋" w:eastAsia="仿宋"/>
          <w:sz w:val="32"/>
          <w:szCs w:val="32"/>
        </w:rPr>
        <w:t>省级财政林业生态补偿资金3.91万元用于补偿自然保护地所有者</w:t>
      </w:r>
      <w:r>
        <w:rPr>
          <w:rFonts w:ascii="仿宋" w:hAnsi="仿宋" w:eastAsia="仿宋" w:cs="仿宋"/>
          <w:sz w:val="32"/>
        </w:rPr>
        <w:t xml:space="preserve"> </w:t>
      </w:r>
    </w:p>
    <w:p>
      <w:pPr>
        <w:pStyle w:val="84ee7f65"/>
        <w:ind w:firstLine="643" w:firstLineChars="200"/>
        <w:rPr>
          <w:rFonts w:ascii="仿宋" w:hAnsi="仿宋" w:eastAsia="仿宋"/>
          <w:sz w:val="32"/>
          <w:szCs w:val="32"/>
        </w:rPr>
      </w:pPr>
      <w:r>
        <w:rPr>
          <w:rFonts w:hint="eastAsia" w:ascii="仿宋" w:hAnsi="仿宋" w:eastAsia="仿宋"/>
          <w:b/>
          <w:sz w:val="32"/>
          <w:szCs w:val="32"/>
        </w:rPr>
        <w:t>（二）主要成效</w:t>
      </w:r>
    </w:p>
    <w:p>
      <w:pPr>
        <w:pStyle w:val="84ee7f65"/>
        <w:ind w:firstLine="1472" w:firstLineChars="460"/>
        <w:rPr>
          <w:rFonts w:ascii="仿宋" w:hAnsi="仿宋" w:eastAsia="仿宋"/>
          <w:sz w:val="32"/>
          <w:szCs w:val="32"/>
        </w:rPr>
      </w:pPr>
    </w:p>
    <w:p>
      <w:pPr>
        <w:pStyle w:val="84ee7f65"/>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84ee7f65"/>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85分，等级为良，设置绩效目标8个，实际完成7个，具体情况如下：</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sz w:val="32"/>
        </w:rPr>
        <w:t>1)省级以上自然保护地林权所有者补助（元/亩）</w:t>
      </w:r>
      <w:r>
        <w:rPr>
          <w:rFonts w:ascii="仿宋" w:hAnsi="仿宋" w:eastAsia="仿宋" w:cs="仿宋"/>
          <w:sz w:val="32"/>
        </w:rPr>
        <w:t>(（元/亩）)，目标值3，完成值3，分值3，得分3</w:t>
      </w:r>
      <w:r>
        <w:rPr>
          <w:rFonts w:hint="eastAsia" w:ascii="仿宋" w:hAnsi="仿宋" w:eastAsia="仿宋"/>
          <w:sz w:val="32"/>
          <w:szCs w:val="32"/>
        </w:rPr>
        <w:t>。</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sz w:val="32"/>
        </w:rPr>
        <w:t>1)财政投入资金</w:t>
      </w:r>
      <w:r>
        <w:rPr>
          <w:rFonts w:ascii="仿宋" w:hAnsi="仿宋" w:eastAsia="仿宋" w:cs="仿宋"/>
          <w:sz w:val="32"/>
        </w:rPr>
        <w:t>(万元)，目标值3.91，完成值3.91，分值5，得分5</w:t>
      </w:r>
      <w:r>
        <w:rPr>
          <w:rFonts w:hint="eastAsia" w:ascii="仿宋" w:hAnsi="仿宋" w:eastAsia="仿宋"/>
          <w:sz w:val="32"/>
          <w:szCs w:val="32"/>
        </w:rPr>
        <w:t>。</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sz w:val="32"/>
        </w:rPr>
        <w:t>1)促进生态保护情况</w:t>
      </w:r>
      <w:r>
        <w:rPr>
          <w:rFonts w:ascii="仿宋" w:hAnsi="仿宋" w:eastAsia="仿宋" w:cs="仿宋"/>
          <w:sz w:val="32"/>
        </w:rPr>
        <w:t>(无)，目标值有效促进，完成值有效促进，分值2，得分2</w:t>
      </w:r>
      <w:r>
        <w:rPr>
          <w:rFonts w:hint="eastAsia" w:ascii="仿宋" w:hAnsi="仿宋" w:eastAsia="仿宋"/>
          <w:sz w:val="32"/>
          <w:szCs w:val="32"/>
        </w:rPr>
        <w:t>。</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sz w:val="32"/>
        </w:rPr>
        <w:t>1)省级以上自然保护地林权所有者补助面积（万亩）</w:t>
      </w:r>
      <w:r>
        <w:rPr>
          <w:rFonts w:ascii="仿宋" w:hAnsi="仿宋" w:eastAsia="仿宋" w:cs="仿宋"/>
          <w:sz w:val="32"/>
        </w:rPr>
        <w:t>(万亩)，目标值1.31，完成值1.31，分值20，得分20</w:t>
      </w:r>
      <w:r>
        <w:rPr>
          <w:rFonts w:hint="eastAsia" w:ascii="仿宋" w:hAnsi="仿宋" w:eastAsia="仿宋"/>
          <w:sz w:val="32"/>
          <w:szCs w:val="32"/>
        </w:rPr>
        <w:t>。</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sz w:val="32"/>
        </w:rPr>
        <w:t>1)省级以上自然地林权所有者补助面积变化（%）</w:t>
      </w:r>
      <w:r>
        <w:rPr>
          <w:rFonts w:ascii="仿宋" w:hAnsi="仿宋" w:eastAsia="仿宋" w:cs="仿宋"/>
          <w:sz w:val="32"/>
        </w:rPr>
        <w:t>(%)，目标值100，完成值100，分值15，得分15</w:t>
      </w:r>
      <w:r>
        <w:rPr>
          <w:rFonts w:hint="eastAsia" w:ascii="仿宋" w:hAnsi="仿宋" w:eastAsia="仿宋"/>
          <w:sz w:val="32"/>
          <w:szCs w:val="32"/>
        </w:rPr>
        <w:t>。</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sz w:val="32"/>
        </w:rPr>
        <w:t>1)省级以上自然地林权所有者补助任务完成率（%）</w:t>
      </w:r>
      <w:r>
        <w:rPr>
          <w:rFonts w:ascii="仿宋" w:hAnsi="仿宋" w:eastAsia="仿宋" w:cs="仿宋"/>
          <w:sz w:val="32"/>
        </w:rPr>
        <w:t>(%)，目标值90，完成值0，分值5，得分0</w:t>
      </w:r>
      <w:r>
        <w:rPr>
          <w:rFonts w:hint="eastAsia" w:ascii="仿宋" w:hAnsi="仿宋" w:eastAsia="仿宋"/>
          <w:sz w:val="32"/>
          <w:szCs w:val="32"/>
        </w:rPr>
        <w:t>。</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sz w:val="32"/>
        </w:rPr>
        <w:t>1)省级以上自然保护地生态效益</w:t>
      </w:r>
      <w:r>
        <w:rPr>
          <w:rFonts w:ascii="仿宋" w:hAnsi="仿宋" w:eastAsia="仿宋" w:cs="仿宋"/>
          <w:sz w:val="32"/>
        </w:rPr>
        <w:t>(无)，目标值有效促进，完成值有效促进，分值30，得分30</w:t>
      </w:r>
      <w:r>
        <w:rPr>
          <w:rFonts w:hint="eastAsia" w:ascii="仿宋" w:hAnsi="仿宋" w:eastAsia="仿宋"/>
          <w:sz w:val="32"/>
          <w:szCs w:val="32"/>
        </w:rPr>
        <w:t>。</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84ee7f65"/>
        <w:spacing w:line="620" w:lineRule="exact"/>
        <w:ind w:left="420" w:leftChars="200"/>
        <w:rPr>
          <w:rFonts w:ascii="仿宋" w:hAnsi="仿宋" w:eastAsia="仿宋"/>
          <w:sz w:val="32"/>
          <w:szCs w:val="32"/>
        </w:rPr>
      </w:pPr>
      <w:r>
        <w:rPr>
          <w:rFonts w:ascii="仿宋_GB2312" w:hAnsi="仿宋_GB2312" w:eastAsia="仿宋_GB2312" w:cs="仿宋_GB2312"/>
          <w:sz w:val="32"/>
        </w:rPr>
        <w:t>1)反映省级以上自然保护地林权所有者满意度</w:t>
      </w:r>
      <w:r>
        <w:rPr>
          <w:rFonts w:ascii="仿宋" w:hAnsi="仿宋" w:eastAsia="仿宋" w:cs="仿宋"/>
          <w:sz w:val="32"/>
        </w:rPr>
        <w:t>(%)，目标值90，完成值90，分值10，得分10</w:t>
      </w:r>
      <w:r>
        <w:rPr>
          <w:rFonts w:hint="eastAsia" w:ascii="仿宋" w:hAnsi="仿宋" w:eastAsia="仿宋"/>
          <w:sz w:val="32"/>
          <w:szCs w:val="32"/>
        </w:rPr>
        <w:t>。</w:t>
      </w:r>
    </w:p>
    <w:p>
      <w:pPr>
        <w:pStyle w:val="84ee7f65"/>
        <w:tabs>
          <w:tab w:val="left" w:pos="2244"/>
        </w:tabs>
        <w:spacing w:line="620" w:lineRule="exact"/>
        <w:ind w:left="1890" w:leftChars="900"/>
        <w:rPr>
          <w:rFonts w:ascii="仿宋" w:hAnsi="仿宋" w:eastAsia="仿宋"/>
          <w:b/>
          <w:color w:val="FF0000"/>
          <w:sz w:val="32"/>
          <w:szCs w:val="32"/>
        </w:rPr>
      </w:pPr>
    </w:p>
    <w:p>
      <w:pPr>
        <w:pStyle w:val="84ee7f65"/>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84ee7f65"/>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84ee7f65"/>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自然保护地补偿标准不高，忽略实际损失，补偿方式单一，缺乏长效发展机制。宣传不到位。</w:t>
      </w:r>
    </w:p>
    <w:p>
      <w:pPr>
        <w:pStyle w:val="84ee7f65"/>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84ee7f65"/>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建议结合实际，提高自然保护地补偿标准。充分制定长效发展机制。加大宣传力度，提高影响力。</w:t>
      </w:r>
    </w:p>
    <w:p>
      <w:pPr>
        <w:pStyle w:val="84ee7f65"/>
        <w:ind w:left="840" w:firstLine="420"/>
        <w:sectPr>
          <w:type w:val="continuous"/>
          <w:pgSz w:w="11907" w:h="16840"/>
        </w:sectPr>
      </w:pPr>
    </w:p>
    <w:p>
      <w:pPr>
        <w:pageBreakBefore w:val="true"/>
      </w:pPr>
    </w:p>
    <w:p>
      <w:pPr>
        <w:pStyle w:val="bd8da5c0"/>
        <w:rPr>
          <w:rFonts w:ascii="仿宋" w:hAnsi="仿宋" w:eastAsia="仿宋"/>
          <w:sz w:val="32"/>
          <w:szCs w:val="32"/>
        </w:rPr>
      </w:pPr>
    </w:p>
    <w:p>
      <w:pPr>
        <w:pStyle w:val="bd8da5c0"/>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bd8da5c0"/>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泉财指标〔2023〕1243号--林业有害生物防治资金补助</w:t>
      </w:r>
      <w:r>
        <w:rPr>
          <w:rFonts w:hint="eastAsia" w:ascii="仿宋" w:hAnsi="仿宋" w:eastAsia="仿宋"/>
          <w:sz w:val="32"/>
          <w:szCs w:val="32"/>
        </w:rPr>
        <w:t>）</w:t>
      </w:r>
    </w:p>
    <w:p>
      <w:pPr>
        <w:pStyle w:val="bd8da5c0"/>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bd8da5c0"/>
        <w:ind w:firstLine="643" w:firstLineChars="200"/>
        <w:rPr>
          <w:rFonts w:ascii="仿宋" w:hAnsi="仿宋" w:eastAsia="仿宋"/>
          <w:sz w:val="32"/>
          <w:szCs w:val="32"/>
        </w:rPr>
      </w:pPr>
      <w:r>
        <w:rPr>
          <w:rFonts w:hint="eastAsia" w:ascii="仿宋" w:hAnsi="仿宋" w:eastAsia="仿宋"/>
          <w:b/>
          <w:sz w:val="32"/>
          <w:szCs w:val="32"/>
        </w:rPr>
        <w:t>（一）项目概况</w:t>
      </w:r>
    </w:p>
    <w:p>
      <w:pPr>
        <w:pStyle w:val="bd8da5c0"/>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bd8da5c0"/>
        <w:ind w:firstLine="643" w:firstLineChars="200"/>
        <w:rPr>
          <w:rFonts w:ascii="仿宋" w:hAnsi="仿宋" w:eastAsia="仿宋"/>
          <w:sz w:val="32"/>
          <w:szCs w:val="32"/>
        </w:rPr>
      </w:pPr>
      <w:r>
        <w:rPr>
          <w:rFonts w:hint="eastAsia" w:ascii="仿宋" w:hAnsi="仿宋" w:eastAsia="仿宋"/>
          <w:b/>
          <w:sz w:val="32"/>
          <w:szCs w:val="32"/>
        </w:rPr>
        <w:t>（二）主要成效</w:t>
      </w:r>
    </w:p>
    <w:p>
      <w:pPr>
        <w:pStyle w:val="bd8da5c0"/>
        <w:ind w:firstLine="1472" w:firstLineChars="460"/>
        <w:rPr>
          <w:rFonts w:ascii="仿宋" w:hAnsi="仿宋" w:eastAsia="仿宋"/>
          <w:sz w:val="32"/>
          <w:szCs w:val="32"/>
        </w:rPr>
      </w:pPr>
    </w:p>
    <w:p>
      <w:pPr>
        <w:pStyle w:val="bd8da5c0"/>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bd8da5c0"/>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sz w:val="32"/>
        </w:rPr>
        <w:t>1)补助资金</w:t>
      </w:r>
      <w:r>
        <w:rPr>
          <w:rFonts w:ascii="仿宋" w:hAnsi="仿宋" w:eastAsia="仿宋" w:cs="仿宋"/>
          <w:sz w:val="32"/>
        </w:rPr>
        <w:t>(万元)，目标值111，完成值111，分值10，得分10</w:t>
      </w:r>
      <w:r>
        <w:rPr>
          <w:rFonts w:hint="eastAsia" w:ascii="仿宋" w:hAnsi="仿宋" w:eastAsia="仿宋"/>
          <w:sz w:val="32"/>
          <w:szCs w:val="32"/>
        </w:rPr>
        <w:t>。</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sz w:val="32"/>
        </w:rPr>
        <w:t>1)防治任务完成率</w:t>
      </w:r>
      <w:r>
        <w:rPr>
          <w:rFonts w:ascii="仿宋" w:hAnsi="仿宋" w:eastAsia="仿宋" w:cs="仿宋"/>
          <w:sz w:val="32"/>
        </w:rPr>
        <w:t>(%)，目标值100，完成值100，分值20，得分20</w:t>
      </w:r>
      <w:r>
        <w:rPr>
          <w:rFonts w:hint="eastAsia" w:ascii="仿宋" w:hAnsi="仿宋" w:eastAsia="仿宋"/>
          <w:sz w:val="32"/>
          <w:szCs w:val="32"/>
        </w:rPr>
        <w:t>。</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sz w:val="32"/>
        </w:rPr>
        <w:t>1)松材线虫病防控目标完成率（%）</w:t>
      </w:r>
      <w:r>
        <w:rPr>
          <w:rFonts w:ascii="仿宋" w:hAnsi="仿宋" w:eastAsia="仿宋" w:cs="仿宋"/>
          <w:sz w:val="32"/>
        </w:rPr>
        <w:t>(%)，目标值40，完成值40，分值10，得分10</w:t>
      </w:r>
      <w:r>
        <w:rPr>
          <w:rFonts w:hint="eastAsia" w:ascii="仿宋" w:hAnsi="仿宋" w:eastAsia="仿宋"/>
          <w:sz w:val="32"/>
          <w:szCs w:val="32"/>
        </w:rPr>
        <w:t>。</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sz w:val="32"/>
        </w:rPr>
        <w:t>1)可持续影响</w:t>
      </w:r>
      <w:r>
        <w:rPr>
          <w:rFonts w:ascii="仿宋" w:hAnsi="仿宋" w:eastAsia="仿宋" w:cs="仿宋"/>
          <w:sz w:val="32"/>
        </w:rPr>
        <w:t>(无)，目标值明显，完成值明显，分值10，得分10</w:t>
      </w:r>
      <w:r>
        <w:rPr>
          <w:rFonts w:hint="eastAsia" w:ascii="仿宋" w:hAnsi="仿宋" w:eastAsia="仿宋"/>
          <w:sz w:val="32"/>
          <w:szCs w:val="32"/>
        </w:rPr>
        <w:t>。</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sz w:val="32"/>
        </w:rPr>
        <w:t>1)林业草原有害生物元公害防治成效</w:t>
      </w:r>
      <w:r>
        <w:rPr>
          <w:rFonts w:ascii="仿宋" w:hAnsi="仿宋" w:eastAsia="仿宋" w:cs="仿宋"/>
          <w:sz w:val="32"/>
        </w:rPr>
        <w:t>(无)，目标值明显，完成值明显，分值30，得分30</w:t>
      </w:r>
      <w:r>
        <w:rPr>
          <w:rFonts w:hint="eastAsia" w:ascii="仿宋" w:hAnsi="仿宋" w:eastAsia="仿宋"/>
          <w:sz w:val="32"/>
          <w:szCs w:val="32"/>
        </w:rPr>
        <w:t>。</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bd8da5c0"/>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(%)，目标值90，完成值90，分值10，得分10</w:t>
      </w:r>
      <w:r>
        <w:rPr>
          <w:rFonts w:hint="eastAsia" w:ascii="仿宋" w:hAnsi="仿宋" w:eastAsia="仿宋"/>
          <w:sz w:val="32"/>
          <w:szCs w:val="32"/>
        </w:rPr>
        <w:t>。</w:t>
      </w:r>
    </w:p>
    <w:p>
      <w:pPr>
        <w:pStyle w:val="bd8da5c0"/>
        <w:tabs>
          <w:tab w:val="left" w:pos="2244"/>
        </w:tabs>
        <w:spacing w:line="620" w:lineRule="exact"/>
        <w:ind w:left="1890" w:leftChars="900"/>
        <w:rPr>
          <w:rFonts w:ascii="仿宋" w:hAnsi="仿宋" w:eastAsia="仿宋"/>
          <w:b/>
          <w:color w:val="FF0000"/>
          <w:sz w:val="32"/>
          <w:szCs w:val="32"/>
        </w:rPr>
      </w:pPr>
    </w:p>
    <w:p>
      <w:pPr>
        <w:pStyle w:val="bd8da5c0"/>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bd8da5c0"/>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bd8da5c0"/>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bd8da5c0"/>
        <w:ind w:left="840" w:firstLine="420"/>
        <w:sectPr>
          <w:type w:val="continuous"/>
          <w:pgSz w:w="11907" w:h="16840"/>
        </w:sectPr>
      </w:pPr>
    </w:p>
    <w:p>
      <w:pPr>
        <w:pageBreakBefore w:val="true"/>
      </w:pPr>
    </w:p>
    <w:p>
      <w:pPr>
        <w:pStyle w:val="c66dcb7f"/>
        <w:rPr>
          <w:rFonts w:ascii="仿宋" w:hAnsi="仿宋" w:eastAsia="仿宋"/>
          <w:sz w:val="32"/>
          <w:szCs w:val="32"/>
        </w:rPr>
      </w:pPr>
      <w:bookmarkStart w:id="0" w:name="_GoBack"/>
      <w:bookmarkEnd w:id="0"/>
    </w:p>
    <w:p>
      <w:pPr>
        <w:pStyle w:val="c66dcb7f"/>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r>
        <w:rPr>
          <w:rFonts w:ascii="宋体" w:hAnsi="宋体" w:eastAsia="宋体" w:cs="宋体"/>
          <w:b/>
          <w:sz w:val="44"/>
        </w:rPr>
        <w:t>报告</w:t>
      </w:r>
    </w:p>
    <w:p>
      <w:pPr>
        <w:pStyle w:val="c66dcb7f"/>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2025年森林生态效益补偿本级配套资金</w:t>
      </w:r>
      <w:r>
        <w:rPr>
          <w:rFonts w:hint="eastAsia" w:ascii="仿宋" w:hAnsi="仿宋" w:eastAsia="仿宋"/>
          <w:sz w:val="32"/>
          <w:szCs w:val="32"/>
        </w:rPr>
        <w:t>）</w:t>
      </w:r>
    </w:p>
    <w:p>
      <w:pPr>
        <w:pStyle w:val="c66dcb7f"/>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c66dcb7f"/>
        <w:ind w:firstLine="643" w:firstLineChars="200"/>
        <w:rPr>
          <w:rFonts w:ascii="仿宋" w:hAnsi="仿宋" w:eastAsia="仿宋"/>
          <w:sz w:val="32"/>
          <w:szCs w:val="32"/>
        </w:rPr>
      </w:pPr>
      <w:r>
        <w:rPr>
          <w:rFonts w:hint="eastAsia" w:ascii="仿宋" w:hAnsi="仿宋" w:eastAsia="仿宋"/>
          <w:b/>
          <w:sz w:val="32"/>
          <w:szCs w:val="32"/>
        </w:rPr>
        <w:t>（一）项目概况</w:t>
      </w:r>
    </w:p>
    <w:p>
      <w:pPr>
        <w:pStyle w:val="c66dcb7f"/>
        <w:ind w:firstLine="1472" w:firstLineChars="460"/>
        <w:rPr>
          <w:rFonts w:ascii="仿宋" w:hAnsi="仿宋" w:eastAsia="仿宋"/>
          <w:sz w:val="32"/>
          <w:szCs w:val="32"/>
        </w:rPr>
      </w:pPr>
      <w:r>
        <w:rPr>
          <w:rFonts w:hint="eastAsia" w:ascii="仿宋" w:hAnsi="仿宋" w:eastAsia="仿宋"/>
          <w:sz w:val="32"/>
          <w:szCs w:val="32"/>
        </w:rPr>
        <w:t>2025年生态效益补偿南安本级配套资金</w:t>
      </w:r>
      <w:r>
        <w:rPr>
          <w:rFonts w:ascii="仿宋" w:hAnsi="仿宋" w:eastAsia="仿宋" w:cs="仿宋"/>
          <w:sz w:val="32"/>
        </w:rPr>
        <w:t xml:space="preserve"> </w:t>
      </w:r>
    </w:p>
    <w:p>
      <w:pPr>
        <w:pStyle w:val="c66dcb7f"/>
        <w:ind w:firstLine="643" w:firstLineChars="200"/>
        <w:rPr>
          <w:rFonts w:ascii="仿宋" w:hAnsi="仿宋" w:eastAsia="仿宋"/>
          <w:sz w:val="32"/>
          <w:szCs w:val="32"/>
        </w:rPr>
      </w:pPr>
      <w:r>
        <w:rPr>
          <w:rFonts w:hint="eastAsia" w:ascii="仿宋" w:hAnsi="仿宋" w:eastAsia="仿宋"/>
          <w:b/>
          <w:sz w:val="32"/>
          <w:szCs w:val="32"/>
        </w:rPr>
        <w:t>（二）主要成效</w:t>
      </w:r>
    </w:p>
    <w:p>
      <w:pPr>
        <w:pStyle w:val="c66dcb7f"/>
        <w:ind w:firstLine="1472" w:firstLineChars="460"/>
        <w:rPr>
          <w:rFonts w:ascii="仿宋" w:hAnsi="仿宋" w:eastAsia="仿宋"/>
          <w:sz w:val="32"/>
          <w:szCs w:val="32"/>
        </w:rPr>
      </w:pPr>
    </w:p>
    <w:p>
      <w:pPr>
        <w:pStyle w:val="c66dcb7f"/>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c66dcb7f"/>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sz w:val="32"/>
        </w:rPr>
        <w:t>1)每亩生态林乔木和其他林提高的补偿标准（元/亩）</w:t>
      </w:r>
      <w:r>
        <w:rPr>
          <w:rFonts w:ascii="仿宋" w:hAnsi="仿宋" w:eastAsia="仿宋" w:cs="仿宋"/>
          <w:sz w:val="32"/>
        </w:rPr>
        <w:t>(（元/亩）)，目标值1，完成值1，分值10，得分10</w:t>
      </w:r>
      <w:r>
        <w:rPr>
          <w:rFonts w:hint="eastAsia" w:ascii="仿宋" w:hAnsi="仿宋" w:eastAsia="仿宋"/>
          <w:sz w:val="32"/>
          <w:szCs w:val="32"/>
        </w:rPr>
        <w:t>。</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sz w:val="32"/>
        </w:rPr>
        <w:t>1)生态林乔木和其他林管护面积</w:t>
      </w:r>
      <w:r>
        <w:rPr>
          <w:rFonts w:ascii="仿宋" w:hAnsi="仿宋" w:eastAsia="仿宋" w:cs="仿宋"/>
          <w:sz w:val="32"/>
        </w:rPr>
        <w:t>(万亩)，目标值49.9323，完成值49.9332，分值20，得分20</w:t>
      </w:r>
      <w:r>
        <w:rPr>
          <w:rFonts w:hint="eastAsia" w:ascii="仿宋" w:hAnsi="仿宋" w:eastAsia="仿宋"/>
          <w:sz w:val="32"/>
          <w:szCs w:val="32"/>
        </w:rPr>
        <w:t>。</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sz w:val="32"/>
        </w:rPr>
        <w:t>1)森林资源管护责任落实率%</w:t>
      </w:r>
      <w:r>
        <w:rPr>
          <w:rFonts w:ascii="仿宋" w:hAnsi="仿宋" w:eastAsia="仿宋" w:cs="仿宋"/>
          <w:sz w:val="32"/>
        </w:rPr>
        <w:t>(%)，目标值100，完成值100，分值10，得分10</w:t>
      </w:r>
      <w:r>
        <w:rPr>
          <w:rFonts w:hint="eastAsia" w:ascii="仿宋" w:hAnsi="仿宋" w:eastAsia="仿宋"/>
          <w:sz w:val="32"/>
          <w:szCs w:val="32"/>
        </w:rPr>
        <w:t>。</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sz w:val="32"/>
        </w:rPr>
        <w:t>1)预算执行率%</w:t>
      </w:r>
      <w:r>
        <w:rPr>
          <w:rFonts w:ascii="仿宋" w:hAnsi="仿宋" w:eastAsia="仿宋" w:cs="仿宋"/>
          <w:sz w:val="32"/>
        </w:rPr>
        <w:t>(%)，目标值100，完成值100，分值10，得分10</w:t>
      </w:r>
      <w:r>
        <w:rPr>
          <w:rFonts w:hint="eastAsia" w:ascii="仿宋" w:hAnsi="仿宋" w:eastAsia="仿宋"/>
          <w:sz w:val="32"/>
          <w:szCs w:val="32"/>
        </w:rPr>
        <w:t>。</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sz w:val="32"/>
        </w:rPr>
        <w:t>1)持续发挥生态作用</w:t>
      </w:r>
      <w:r>
        <w:rPr>
          <w:rFonts w:ascii="仿宋" w:hAnsi="仿宋" w:eastAsia="仿宋" w:cs="仿宋"/>
          <w:sz w:val="32"/>
        </w:rPr>
        <w:t>(%)，目标值100，完成值100，分值30，得分30</w:t>
      </w:r>
      <w:r>
        <w:rPr>
          <w:rFonts w:hint="eastAsia" w:ascii="仿宋" w:hAnsi="仿宋" w:eastAsia="仿宋"/>
          <w:sz w:val="32"/>
          <w:szCs w:val="32"/>
        </w:rPr>
        <w:t>。</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c66dcb7f"/>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1)服务对象满意度度</w:t>
      </w:r>
      <w:r>
        <w:rPr>
          <w:rFonts w:ascii="仿宋" w:hAnsi="仿宋" w:eastAsia="仿宋" w:cs="仿宋"/>
          <w:sz w:val="32"/>
        </w:rPr>
        <w:t>(%)，目标值90，完成值90，分值10，得分10</w:t>
      </w:r>
      <w:r>
        <w:rPr>
          <w:rFonts w:hint="eastAsia" w:ascii="仿宋" w:hAnsi="仿宋" w:eastAsia="仿宋"/>
          <w:sz w:val="32"/>
          <w:szCs w:val="32"/>
        </w:rPr>
        <w:t>。</w:t>
      </w:r>
    </w:p>
    <w:p>
      <w:pPr>
        <w:pStyle w:val="c66dcb7f"/>
        <w:tabs>
          <w:tab w:val="left" w:pos="2244"/>
        </w:tabs>
        <w:spacing w:line="620" w:lineRule="exact"/>
        <w:ind w:left="1890" w:leftChars="900"/>
        <w:rPr>
          <w:rFonts w:ascii="仿宋" w:hAnsi="仿宋" w:eastAsia="仿宋"/>
          <w:b/>
          <w:color w:val="FF0000"/>
          <w:sz w:val="32"/>
          <w:szCs w:val="32"/>
        </w:rPr>
      </w:pPr>
    </w:p>
    <w:p>
      <w:pPr>
        <w:pStyle w:val="c66dcb7f"/>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c66dcb7f"/>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c66dcb7f"/>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c66dcb7f"/>
        <w:ind w:left="840" w:firstLine="420"/>
        <w:sectPr>
          <w:type w:val="continuous"/>
          <w:pgSz w:w="11907" w:h="16840"/>
        </w:sectPr>
      </w:pPr>
    </w:p>
    <w:p>
      <w:pPr>
        <w:pageBreakBefore w:val="true"/>
      </w:pPr>
    </w:p>
    <w:p>
      <w:pPr>
        <w:pStyle w:val="4e7fadad"/>
        <w:rPr>
          <w:rFonts w:ascii="仿宋" w:hAnsi="仿宋" w:eastAsia="仿宋"/>
          <w:sz w:val="32"/>
          <w:szCs w:val="32"/>
        </w:rPr>
      </w:pPr>
      <w:bookmarkStart w:id="0" w:name="_GoBack"/>
      <w:bookmarkEnd w:id="0"/>
    </w:p>
    <w:p>
      <w:pPr>
        <w:pStyle w:val="4e7fadad"/>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r>
        <w:rPr>
          <w:rFonts w:ascii="宋体" w:hAnsi="宋体" w:eastAsia="宋体" w:cs="宋体"/>
          <w:b/>
          <w:sz w:val="44"/>
        </w:rPr>
        <w:t>报告</w:t>
      </w:r>
    </w:p>
    <w:p>
      <w:pPr>
        <w:pStyle w:val="4e7fadad"/>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泉财农指〔2024〕64号，2024年中央财政林业专项资金（市县部分第二批）：林业有害生物防治</w:t>
      </w:r>
      <w:r>
        <w:rPr>
          <w:rFonts w:hint="eastAsia" w:ascii="仿宋" w:hAnsi="仿宋" w:eastAsia="仿宋"/>
          <w:sz w:val="32"/>
          <w:szCs w:val="32"/>
        </w:rPr>
        <w:t>）</w:t>
      </w:r>
    </w:p>
    <w:p>
      <w:pPr>
        <w:pStyle w:val="4e7fadad"/>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4e7fadad"/>
        <w:ind w:firstLine="643" w:firstLineChars="200"/>
        <w:rPr>
          <w:rFonts w:ascii="仿宋" w:hAnsi="仿宋" w:eastAsia="仿宋"/>
          <w:sz w:val="32"/>
          <w:szCs w:val="32"/>
        </w:rPr>
      </w:pPr>
      <w:r>
        <w:rPr>
          <w:rFonts w:hint="eastAsia" w:ascii="仿宋" w:hAnsi="仿宋" w:eastAsia="仿宋"/>
          <w:b/>
          <w:sz w:val="32"/>
          <w:szCs w:val="32"/>
        </w:rPr>
        <w:t>（一）项目概况</w:t>
      </w:r>
    </w:p>
    <w:p>
      <w:pPr>
        <w:pStyle w:val="4e7fadad"/>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4e7fadad"/>
        <w:ind w:firstLine="643" w:firstLineChars="200"/>
        <w:rPr>
          <w:rFonts w:ascii="仿宋" w:hAnsi="仿宋" w:eastAsia="仿宋"/>
          <w:sz w:val="32"/>
          <w:szCs w:val="32"/>
        </w:rPr>
      </w:pPr>
      <w:r>
        <w:rPr>
          <w:rFonts w:hint="eastAsia" w:ascii="仿宋" w:hAnsi="仿宋" w:eastAsia="仿宋"/>
          <w:b/>
          <w:sz w:val="32"/>
          <w:szCs w:val="32"/>
        </w:rPr>
        <w:t>（二）主要成效</w:t>
      </w:r>
    </w:p>
    <w:p>
      <w:pPr>
        <w:pStyle w:val="4e7fadad"/>
        <w:ind w:firstLine="1472" w:firstLineChars="460"/>
        <w:rPr>
          <w:rFonts w:ascii="仿宋" w:hAnsi="仿宋" w:eastAsia="仿宋"/>
          <w:sz w:val="32"/>
          <w:szCs w:val="32"/>
        </w:rPr>
      </w:pPr>
    </w:p>
    <w:p>
      <w:pPr>
        <w:pStyle w:val="4e7fadad"/>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4e7fadad"/>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100分，等级为优，设置绩效目标6个，实际完成6个，具体情况如下：</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sz w:val="32"/>
        </w:rPr>
        <w:t>1)补助资金</w:t>
      </w:r>
      <w:r>
        <w:rPr>
          <w:rFonts w:ascii="仿宋" w:hAnsi="仿宋" w:eastAsia="仿宋" w:cs="仿宋"/>
          <w:sz w:val="32"/>
        </w:rPr>
        <w:t>(万元)，目标值39.9，完成值39.9000，分值10，得分10</w:t>
      </w:r>
      <w:r>
        <w:rPr>
          <w:rFonts w:hint="eastAsia" w:ascii="仿宋" w:hAnsi="仿宋" w:eastAsia="仿宋"/>
          <w:sz w:val="32"/>
          <w:szCs w:val="32"/>
        </w:rPr>
        <w:t>。</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sz w:val="32"/>
        </w:rPr>
        <w:t>1)松材线虫防治面积（万亩）</w:t>
      </w:r>
      <w:r>
        <w:rPr>
          <w:rFonts w:ascii="仿宋" w:hAnsi="仿宋" w:eastAsia="仿宋" w:cs="仿宋"/>
          <w:sz w:val="32"/>
        </w:rPr>
        <w:t>(万亩)，目标值0.71，完成值0.71，分值20，得分20</w:t>
      </w:r>
      <w:r>
        <w:rPr>
          <w:rFonts w:hint="eastAsia" w:ascii="仿宋" w:hAnsi="仿宋" w:eastAsia="仿宋"/>
          <w:sz w:val="32"/>
          <w:szCs w:val="32"/>
        </w:rPr>
        <w:t>。</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sz w:val="32"/>
        </w:rPr>
        <w:t>1)松材线虫防治目标任务完成率</w:t>
      </w:r>
      <w:r>
        <w:rPr>
          <w:rFonts w:ascii="仿宋" w:hAnsi="仿宋" w:eastAsia="仿宋" w:cs="仿宋"/>
          <w:sz w:val="32"/>
        </w:rPr>
        <w:t>(%)，目标值127.76，完成值127.76，分值10，得分10</w:t>
      </w:r>
      <w:r>
        <w:rPr>
          <w:rFonts w:hint="eastAsia" w:ascii="仿宋" w:hAnsi="仿宋" w:eastAsia="仿宋"/>
          <w:sz w:val="32"/>
          <w:szCs w:val="32"/>
        </w:rPr>
        <w:t>。</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sz w:val="32"/>
        </w:rPr>
        <w:t>1)松材线虫病防控目标任务完成率</w:t>
      </w:r>
      <w:r>
        <w:rPr>
          <w:rFonts w:ascii="仿宋" w:hAnsi="仿宋" w:eastAsia="仿宋" w:cs="仿宋"/>
          <w:sz w:val="32"/>
        </w:rPr>
        <w:t>(%)，目标值40，完成值40，分值10，得分10</w:t>
      </w:r>
      <w:r>
        <w:rPr>
          <w:rFonts w:hint="eastAsia" w:ascii="仿宋" w:hAnsi="仿宋" w:eastAsia="仿宋"/>
          <w:sz w:val="32"/>
          <w:szCs w:val="32"/>
        </w:rPr>
        <w:t>。</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sz w:val="32"/>
        </w:rPr>
        <w:t>1)林业草原有害生物无公害防治成效</w:t>
      </w:r>
      <w:r>
        <w:rPr>
          <w:rFonts w:ascii="仿宋" w:hAnsi="仿宋" w:eastAsia="仿宋" w:cs="仿宋"/>
          <w:sz w:val="32"/>
        </w:rPr>
        <w:t>(无)，目标值明显，完成值明显，分值30，得分30</w:t>
      </w:r>
      <w:r>
        <w:rPr>
          <w:rFonts w:hint="eastAsia" w:ascii="仿宋" w:hAnsi="仿宋" w:eastAsia="仿宋"/>
          <w:sz w:val="32"/>
          <w:szCs w:val="32"/>
        </w:rPr>
        <w:t>。</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4e7fadad"/>
        <w:spacing w:line="620" w:lineRule="exact"/>
        <w:ind w:left="420" w:leftChars="200"/>
        <w:rPr>
          <w:rFonts w:ascii="仿宋" w:hAnsi="仿宋" w:eastAsia="仿宋"/>
          <w:sz w:val="32"/>
          <w:szCs w:val="32"/>
        </w:rPr>
      </w:pPr>
      <w:r>
        <w:rPr>
          <w:rFonts w:ascii="仿宋_GB2312" w:hAnsi="仿宋_GB2312" w:eastAsia="仿宋_GB2312" w:cs="仿宋_GB2312"/>
          <w:sz w:val="32"/>
        </w:rPr>
        <w:t>1)群众满意度</w:t>
      </w:r>
      <w:r>
        <w:rPr>
          <w:rFonts w:ascii="仿宋" w:hAnsi="仿宋" w:eastAsia="仿宋" w:cs="仿宋"/>
          <w:sz w:val="32"/>
        </w:rPr>
        <w:t>(%)，目标值85，完成值85，分值10，得分10</w:t>
      </w:r>
      <w:r>
        <w:rPr>
          <w:rFonts w:hint="eastAsia" w:ascii="仿宋" w:hAnsi="仿宋" w:eastAsia="仿宋"/>
          <w:sz w:val="32"/>
          <w:szCs w:val="32"/>
        </w:rPr>
        <w:t>。</w:t>
      </w:r>
    </w:p>
    <w:p>
      <w:pPr>
        <w:pStyle w:val="4e7fadad"/>
        <w:tabs>
          <w:tab w:val="left" w:pos="2244"/>
        </w:tabs>
        <w:spacing w:line="620" w:lineRule="exact"/>
        <w:ind w:left="1890" w:leftChars="900"/>
        <w:rPr>
          <w:rFonts w:ascii="仿宋" w:hAnsi="仿宋" w:eastAsia="仿宋"/>
          <w:b/>
          <w:color w:val="FF0000"/>
          <w:sz w:val="32"/>
          <w:szCs w:val="32"/>
        </w:rPr>
      </w:pPr>
    </w:p>
    <w:p>
      <w:pPr>
        <w:pStyle w:val="4e7fadad"/>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4e7fadad"/>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4e7fadad"/>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4e7fadad"/>
        <w:ind w:left="840" w:firstLine="420"/>
        <w:sectPr>
          <w:type w:val="continuous"/>
          <w:pgSz w:w="11907" w:h="16840"/>
        </w:sectPr>
      </w:pPr>
    </w:p>
    <w:p>
      <w:pPr>
        <w:pageBreakBefore w:val="true"/>
      </w:pPr>
    </w:p>
    <w:p>
      <w:pPr>
        <w:pStyle w:val="4c04a69c"/>
        <w:rPr>
          <w:rFonts w:ascii="仿宋" w:hAnsi="仿宋" w:eastAsia="仿宋"/>
          <w:sz w:val="32"/>
          <w:szCs w:val="32"/>
        </w:rPr>
      </w:pPr>
    </w:p>
    <w:p>
      <w:pPr>
        <w:pStyle w:val="4c04a69c"/>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bookmarkStart w:id="0" w:name="_GoBack"/>
      <w:bookmarkEnd w:id="0"/>
      <w:r>
        <w:rPr>
          <w:rFonts w:ascii="宋体" w:hAnsi="宋体" w:eastAsia="宋体" w:cs="宋体"/>
          <w:b/>
          <w:sz w:val="44"/>
        </w:rPr>
        <w:t>报告</w:t>
      </w:r>
    </w:p>
    <w:p>
      <w:pPr>
        <w:pStyle w:val="4c04a69c"/>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泉财指标〔2023〕880号，2023年泉州市级财政森林资源培育与管护专项资金（第二批）：造林绿化——中央财政国土绿化试点示范项目配套37.37万元</w:t>
      </w:r>
      <w:r>
        <w:rPr>
          <w:rFonts w:hint="eastAsia" w:ascii="仿宋" w:hAnsi="仿宋" w:eastAsia="仿宋"/>
          <w:sz w:val="32"/>
          <w:szCs w:val="32"/>
        </w:rPr>
        <w:t>）</w:t>
      </w:r>
    </w:p>
    <w:p>
      <w:pPr>
        <w:pStyle w:val="4c04a69c"/>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4c04a69c"/>
        <w:ind w:firstLine="643" w:firstLineChars="200"/>
        <w:rPr>
          <w:rFonts w:ascii="仿宋" w:hAnsi="仿宋" w:eastAsia="仿宋"/>
          <w:sz w:val="32"/>
          <w:szCs w:val="32"/>
        </w:rPr>
      </w:pPr>
      <w:r>
        <w:rPr>
          <w:rFonts w:hint="eastAsia" w:ascii="仿宋" w:hAnsi="仿宋" w:eastAsia="仿宋"/>
          <w:b/>
          <w:sz w:val="32"/>
          <w:szCs w:val="32"/>
        </w:rPr>
        <w:t>（一）项目概况</w:t>
      </w:r>
    </w:p>
    <w:p>
      <w:pPr>
        <w:pStyle w:val="4c04a69c"/>
        <w:ind w:firstLine="1472" w:firstLineChars="460"/>
        <w:rPr>
          <w:rFonts w:ascii="仿宋" w:hAnsi="仿宋" w:eastAsia="仿宋"/>
          <w:sz w:val="32"/>
          <w:szCs w:val="32"/>
        </w:rPr>
      </w:pPr>
      <w:r>
        <w:rPr>
          <w:rFonts w:hint="eastAsia" w:ascii="仿宋" w:hAnsi="仿宋" w:eastAsia="仿宋"/>
          <w:sz w:val="32"/>
          <w:szCs w:val="32"/>
        </w:rPr>
        <w:t>年终结转结余</w:t>
      </w:r>
      <w:r>
        <w:rPr>
          <w:rFonts w:ascii="仿宋" w:hAnsi="仿宋" w:eastAsia="仿宋" w:cs="仿宋"/>
          <w:sz w:val="32"/>
        </w:rPr>
        <w:t xml:space="preserve"> </w:t>
      </w:r>
    </w:p>
    <w:p>
      <w:pPr>
        <w:pStyle w:val="4c04a69c"/>
        <w:ind w:firstLine="643" w:firstLineChars="200"/>
        <w:rPr>
          <w:rFonts w:ascii="仿宋" w:hAnsi="仿宋" w:eastAsia="仿宋"/>
          <w:sz w:val="32"/>
          <w:szCs w:val="32"/>
        </w:rPr>
      </w:pPr>
      <w:r>
        <w:rPr>
          <w:rFonts w:hint="eastAsia" w:ascii="仿宋" w:hAnsi="仿宋" w:eastAsia="仿宋"/>
          <w:b/>
          <w:sz w:val="32"/>
          <w:szCs w:val="32"/>
        </w:rPr>
        <w:t>（二）主要成效</w:t>
      </w:r>
    </w:p>
    <w:p>
      <w:pPr>
        <w:pStyle w:val="4c04a69c"/>
        <w:ind w:firstLine="1472" w:firstLineChars="460"/>
        <w:rPr>
          <w:rFonts w:ascii="仿宋" w:hAnsi="仿宋" w:eastAsia="仿宋"/>
          <w:sz w:val="32"/>
          <w:szCs w:val="32"/>
        </w:rPr>
      </w:pPr>
    </w:p>
    <w:p>
      <w:pPr>
        <w:pStyle w:val="4c04a69c"/>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4c04a69c"/>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80分，等级为良，设置绩效目标6个，实际完成5个，具体情况如下：</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sz w:val="32"/>
        </w:rPr>
        <w:t>1)财政投入资金</w:t>
      </w:r>
      <w:r>
        <w:rPr>
          <w:rFonts w:ascii="仿宋" w:hAnsi="仿宋" w:eastAsia="仿宋" w:cs="仿宋"/>
          <w:sz w:val="32"/>
        </w:rPr>
        <w:t>(万元)，目标值37.37，完成值0，分值10，得分0</w:t>
      </w:r>
      <w:r>
        <w:rPr>
          <w:rFonts w:hint="eastAsia" w:ascii="仿宋" w:hAnsi="仿宋" w:eastAsia="仿宋"/>
          <w:sz w:val="32"/>
          <w:szCs w:val="32"/>
        </w:rPr>
        <w:t>。</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sz w:val="32"/>
        </w:rPr>
        <w:t>1)作业设计区域</w:t>
      </w:r>
      <w:r>
        <w:rPr>
          <w:rFonts w:ascii="仿宋" w:hAnsi="仿宋" w:eastAsia="仿宋" w:cs="仿宋"/>
          <w:sz w:val="32"/>
        </w:rPr>
        <w:t>(无)，目标值是，完成值是，分值20，得分20</w:t>
      </w:r>
      <w:r>
        <w:rPr>
          <w:rFonts w:hint="eastAsia" w:ascii="仿宋" w:hAnsi="仿宋" w:eastAsia="仿宋"/>
          <w:sz w:val="32"/>
          <w:szCs w:val="32"/>
        </w:rPr>
        <w:t>。</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sz w:val="32"/>
        </w:rPr>
        <w:t>1)完成2024年国土绿化试点作业设计</w:t>
      </w:r>
      <w:r>
        <w:rPr>
          <w:rFonts w:ascii="仿宋" w:hAnsi="仿宋" w:eastAsia="仿宋" w:cs="仿宋"/>
          <w:sz w:val="32"/>
        </w:rPr>
        <w:t>(无)，目标值是，完成值完成，分值10，得分10</w:t>
      </w:r>
      <w:r>
        <w:rPr>
          <w:rFonts w:hint="eastAsia" w:ascii="仿宋" w:hAnsi="仿宋" w:eastAsia="仿宋"/>
          <w:sz w:val="32"/>
          <w:szCs w:val="32"/>
        </w:rPr>
        <w:t>。</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sz w:val="32"/>
        </w:rPr>
        <w:t>1)作业设计完成率</w:t>
      </w:r>
      <w:r>
        <w:rPr>
          <w:rFonts w:ascii="仿宋" w:hAnsi="仿宋" w:eastAsia="仿宋" w:cs="仿宋"/>
          <w:sz w:val="32"/>
        </w:rPr>
        <w:t>(无)，目标值完成，完成值完成，分值10，得分10</w:t>
      </w:r>
      <w:r>
        <w:rPr>
          <w:rFonts w:hint="eastAsia" w:ascii="仿宋" w:hAnsi="仿宋" w:eastAsia="仿宋"/>
          <w:sz w:val="32"/>
          <w:szCs w:val="32"/>
        </w:rPr>
        <w:t>。</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sz w:val="32"/>
        </w:rPr>
        <w:t>1)森林生态效益发挥</w:t>
      </w:r>
      <w:r>
        <w:rPr>
          <w:rFonts w:ascii="仿宋" w:hAnsi="仿宋" w:eastAsia="仿宋" w:cs="仿宋"/>
          <w:sz w:val="32"/>
        </w:rPr>
        <w:t>(无)，目标值持续发挥，完成值持续发挥，分值30，得分30</w:t>
      </w:r>
      <w:r>
        <w:rPr>
          <w:rFonts w:hint="eastAsia" w:ascii="仿宋" w:hAnsi="仿宋" w:eastAsia="仿宋"/>
          <w:sz w:val="32"/>
          <w:szCs w:val="32"/>
        </w:rPr>
        <w:t>。</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4c04a69c"/>
        <w:spacing w:line="620" w:lineRule="exact"/>
        <w:ind w:left="420" w:leftChars="200"/>
        <w:rPr>
          <w:rFonts w:ascii="仿宋" w:hAnsi="仿宋" w:eastAsia="仿宋"/>
          <w:sz w:val="32"/>
          <w:szCs w:val="32"/>
        </w:rPr>
      </w:pPr>
      <w:r>
        <w:rPr>
          <w:rFonts w:ascii="仿宋_GB2312" w:hAnsi="仿宋_GB2312" w:eastAsia="仿宋_GB2312" w:cs="仿宋_GB2312"/>
          <w:sz w:val="32"/>
        </w:rPr>
        <w:t>1)</w:t>
      </w:r>
      <w:r>
        <w:rPr>
          <w:rFonts w:ascii="仿宋_GB2312" w:hAnsi="仿宋_GB2312" w:eastAsia="仿宋_GB2312" w:cs="仿宋_GB2312"/>
          <w:sz w:val="32"/>
        </w:rPr>
        <w:tab/>
      </w:r>
      <w:r>
        <w:rPr>
          <w:rFonts w:ascii="仿宋_GB2312" w:hAnsi="仿宋_GB2312" w:eastAsia="仿宋_GB2312" w:cs="仿宋_GB2312"/>
          <w:sz w:val="32"/>
        </w:rPr>
        <w:cr/>
      </w:r>
      <w:r>
        <w:rPr>
          <w:rFonts w:ascii="仿宋_GB2312" w:hAnsi="仿宋_GB2312" w:eastAsia="仿宋_GB2312" w:cs="仿宋_GB2312"/>
          <w:sz w:val="32"/>
        </w:rPr>
        <w:t>服务对象满意度</w:t>
      </w:r>
      <w:r>
        <w:rPr>
          <w:rFonts w:ascii="仿宋" w:hAnsi="仿宋" w:eastAsia="仿宋" w:cs="仿宋"/>
          <w:sz w:val="32"/>
        </w:rPr>
        <w:t>(%)，目标值90，完成值90，分值10，得分10</w:t>
      </w:r>
      <w:r>
        <w:rPr>
          <w:rFonts w:hint="eastAsia" w:ascii="仿宋" w:hAnsi="仿宋" w:eastAsia="仿宋"/>
          <w:sz w:val="32"/>
          <w:szCs w:val="32"/>
        </w:rPr>
        <w:t>。</w:t>
      </w:r>
    </w:p>
    <w:p>
      <w:pPr>
        <w:pStyle w:val="4c04a69c"/>
        <w:tabs>
          <w:tab w:val="left" w:pos="2244"/>
        </w:tabs>
        <w:spacing w:line="620" w:lineRule="exact"/>
        <w:ind w:left="1890" w:leftChars="900"/>
        <w:rPr>
          <w:rFonts w:ascii="仿宋" w:hAnsi="仿宋" w:eastAsia="仿宋"/>
          <w:b/>
          <w:color w:val="FF0000"/>
          <w:sz w:val="32"/>
          <w:szCs w:val="32"/>
        </w:rPr>
      </w:pPr>
    </w:p>
    <w:p>
      <w:pPr>
        <w:pStyle w:val="4c04a69c"/>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4c04a69c"/>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4c04a69c"/>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一是个别地块仍不够深入，后期需要开展设计变更。二是市财政紧张，一直未能拨付合同进度款。</w:t>
      </w:r>
    </w:p>
    <w:p>
      <w:pPr>
        <w:pStyle w:val="4c04a69c"/>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4c04a69c"/>
        <w:spacing w:line="620" w:lineRule="exact"/>
        <w:ind w:left="840" w:leftChars="400" w:firstLine="420"/>
        <w:rPr>
          <w:rFonts w:ascii="仿宋" w:hAnsi="仿宋" w:eastAsia="仿宋"/>
          <w:sz w:val="32"/>
          <w:szCs w:val="32"/>
        </w:rPr>
      </w:pPr>
      <w:r>
        <w:rPr>
          <w:rFonts w:hint="eastAsia" w:ascii="仿宋" w:hAnsi="仿宋" w:eastAsia="仿宋"/>
          <w:sz w:val="32"/>
          <w:szCs w:val="32"/>
        </w:rPr>
        <w:t>1</w:t>
      </w:r>
      <w:r>
        <w:rPr>
          <w:rFonts w:ascii="仿宋" w:hAnsi="仿宋" w:eastAsia="仿宋" w:cs="仿宋"/>
          <w:sz w:val="32"/>
        </w:rPr>
        <w:t>. 加大检查力度，对个别地块仍开展后期设计变更。二是加大与财政局沟通力度，根据工作进程序拨付相合同款。</w:t>
      </w:r>
    </w:p>
    <w:p>
      <w:pPr>
        <w:pStyle w:val="4c04a69c"/>
        <w:ind w:left="840" w:firstLine="420"/>
        <w:sectPr>
          <w:type w:val="continuous"/>
          <w:pgSz w:w="11907" w:h="16840"/>
        </w:sectPr>
      </w:pPr>
    </w:p>
    <w:p>
      <w:pPr>
        <w:pageBreakBefore w:val="true"/>
      </w:pPr>
    </w:p>
    <w:p>
      <w:pPr>
        <w:pStyle w:val="740ed9b3"/>
        <w:rPr>
          <w:rFonts w:ascii="仿宋" w:hAnsi="仿宋" w:eastAsia="仿宋"/>
          <w:sz w:val="32"/>
          <w:szCs w:val="32"/>
        </w:rPr>
      </w:pPr>
      <w:bookmarkStart w:id="0" w:name="_GoBack"/>
      <w:bookmarkEnd w:id="0"/>
    </w:p>
    <w:p>
      <w:pPr>
        <w:pStyle w:val="740ed9b3"/>
        <w:ind w:firstLine="420"/>
        <w:jc w:val="center"/>
        <w:rPr>
          <w:rFonts w:ascii="宋体" w:hAnsi="宋体" w:cs="仿宋"/>
          <w:b/>
          <w:sz w:val="44"/>
          <w:szCs w:val="44"/>
        </w:rPr>
      </w:pPr>
      <w:r>
        <w:rPr>
          <w:rFonts w:hint="eastAsia" w:ascii="宋体" w:hAnsi="宋体" w:cs="仿宋"/>
          <w:b/>
          <w:sz w:val="44"/>
          <w:szCs w:val="44"/>
        </w:rPr>
        <w:t>2025年度</w:t>
      </w:r>
      <w:r>
        <w:rPr>
          <w:rFonts w:ascii="宋体" w:hAnsi="宋体" w:eastAsia="宋体" w:cs="宋体"/>
          <w:b/>
          <w:sz w:val="44"/>
        </w:rPr>
        <w:t>市级预算项目绩效评</w:t>
      </w:r>
      <w:r>
        <w:rPr>
          <w:rFonts w:hint="eastAsia" w:ascii="宋体" w:hAnsi="宋体" w:cs="宋体"/>
          <w:b/>
          <w:sz w:val="44"/>
          <w:lang w:eastAsia="zh-CN"/>
        </w:rPr>
        <w:t>价</w:t>
      </w:r>
      <w:r>
        <w:rPr>
          <w:rFonts w:ascii="宋体" w:hAnsi="宋体" w:eastAsia="宋体" w:cs="宋体"/>
          <w:b/>
          <w:sz w:val="44"/>
        </w:rPr>
        <w:t>报告</w:t>
      </w:r>
    </w:p>
    <w:p>
      <w:pPr>
        <w:pStyle w:val="740ed9b3"/>
        <w:ind w:firstLine="640" w:firstLineChars="200"/>
        <w:jc w:val="center"/>
        <w:rPr>
          <w:rFonts w:ascii="仿宋" w:hAnsi="仿宋" w:eastAsia="仿宋"/>
          <w:sz w:val="32"/>
          <w:szCs w:val="32"/>
        </w:rPr>
      </w:pPr>
      <w:r>
        <w:rPr>
          <w:rFonts w:hint="eastAsia" w:ascii="仿宋" w:hAnsi="仿宋" w:eastAsia="仿宋"/>
          <w:sz w:val="32"/>
          <w:szCs w:val="32"/>
        </w:rPr>
        <w:t>（</w:t>
      </w:r>
      <w:r>
        <w:rPr>
          <w:rFonts w:hint="eastAsia" w:ascii="仿宋" w:hAnsi="仿宋" w:eastAsia="仿宋" w:cs="仿宋"/>
          <w:sz w:val="32"/>
          <w:szCs w:val="32"/>
        </w:rPr>
        <w:t>闽财资环指〔2024〕50号， 2025年天然商品林停伐管护补助及生态效益补偿资金</w:t>
      </w:r>
      <w:r>
        <w:rPr>
          <w:rFonts w:hint="eastAsia" w:ascii="仿宋" w:hAnsi="仿宋" w:eastAsia="仿宋"/>
          <w:sz w:val="32"/>
          <w:szCs w:val="32"/>
        </w:rPr>
        <w:t>）</w:t>
      </w:r>
    </w:p>
    <w:p>
      <w:pPr>
        <w:pStyle w:val="740ed9b3"/>
        <w:ind w:firstLine="627" w:firstLineChars="196"/>
        <w:rPr>
          <w:rFonts w:ascii="黑体" w:hAnsi="黑体" w:eastAsia="黑体"/>
          <w:sz w:val="32"/>
          <w:szCs w:val="32"/>
        </w:rPr>
      </w:pPr>
      <w:r>
        <w:rPr>
          <w:rFonts w:hint="eastAsia" w:ascii="黑体" w:hAnsi="黑体" w:eastAsia="黑体" w:cs="仿宋"/>
          <w:kern w:val="0"/>
          <w:sz w:val="32"/>
          <w:szCs w:val="32"/>
        </w:rPr>
        <w:t>一、</w:t>
      </w:r>
      <w:r>
        <w:rPr>
          <w:rFonts w:hint="eastAsia" w:ascii="黑体" w:hAnsi="黑体" w:eastAsia="黑体"/>
          <w:sz w:val="32"/>
          <w:szCs w:val="32"/>
        </w:rPr>
        <w:t>项目基本情况</w:t>
      </w:r>
    </w:p>
    <w:p>
      <w:pPr>
        <w:pStyle w:val="740ed9b3"/>
        <w:ind w:firstLine="643" w:firstLineChars="200"/>
        <w:rPr>
          <w:rFonts w:ascii="仿宋" w:hAnsi="仿宋" w:eastAsia="仿宋"/>
          <w:sz w:val="32"/>
          <w:szCs w:val="32"/>
        </w:rPr>
      </w:pPr>
      <w:r>
        <w:rPr>
          <w:rFonts w:hint="eastAsia" w:ascii="仿宋" w:hAnsi="仿宋" w:eastAsia="仿宋"/>
          <w:b/>
          <w:sz w:val="32"/>
          <w:szCs w:val="32"/>
        </w:rPr>
        <w:t>（一）项目概况</w:t>
      </w:r>
    </w:p>
    <w:p>
      <w:pPr>
        <w:pStyle w:val="740ed9b3"/>
        <w:ind w:firstLine="1472" w:firstLineChars="460"/>
        <w:rPr>
          <w:rFonts w:ascii="仿宋" w:hAnsi="仿宋" w:eastAsia="仿宋"/>
          <w:sz w:val="32"/>
          <w:szCs w:val="32"/>
        </w:rPr>
      </w:pPr>
      <w:r>
        <w:rPr>
          <w:rFonts w:hint="eastAsia" w:ascii="仿宋" w:hAnsi="仿宋" w:eastAsia="仿宋"/>
          <w:sz w:val="32"/>
          <w:szCs w:val="32"/>
        </w:rPr>
        <w:t>天然商品林停伐管护补助资金616619元，森林生态效益补偿资金176636元。</w:t>
      </w:r>
      <w:r>
        <w:rPr>
          <w:rFonts w:ascii="仿宋" w:hAnsi="仿宋" w:eastAsia="仿宋" w:cs="仿宋"/>
          <w:sz w:val="32"/>
        </w:rPr>
        <w:t xml:space="preserve"> </w:t>
      </w:r>
    </w:p>
    <w:p>
      <w:pPr>
        <w:pStyle w:val="740ed9b3"/>
        <w:ind w:firstLine="643" w:firstLineChars="200"/>
        <w:rPr>
          <w:rFonts w:ascii="仿宋" w:hAnsi="仿宋" w:eastAsia="仿宋"/>
          <w:sz w:val="32"/>
          <w:szCs w:val="32"/>
        </w:rPr>
      </w:pPr>
      <w:r>
        <w:rPr>
          <w:rFonts w:hint="eastAsia" w:ascii="仿宋" w:hAnsi="仿宋" w:eastAsia="仿宋"/>
          <w:b/>
          <w:sz w:val="32"/>
          <w:szCs w:val="32"/>
        </w:rPr>
        <w:t>（二）主要成效</w:t>
      </w:r>
    </w:p>
    <w:p>
      <w:pPr>
        <w:pStyle w:val="740ed9b3"/>
        <w:ind w:firstLine="1472" w:firstLineChars="460"/>
        <w:rPr>
          <w:rFonts w:ascii="仿宋" w:hAnsi="仿宋" w:eastAsia="仿宋"/>
          <w:sz w:val="32"/>
          <w:szCs w:val="32"/>
        </w:rPr>
      </w:pPr>
    </w:p>
    <w:p>
      <w:pPr>
        <w:pStyle w:val="740ed9b3"/>
        <w:ind w:firstLine="627" w:firstLineChars="196"/>
        <w:rPr>
          <w:rFonts w:ascii="黑体" w:hAnsi="黑体" w:eastAsia="黑体" w:cs="仿宋"/>
          <w:kern w:val="0"/>
          <w:sz w:val="32"/>
          <w:szCs w:val="32"/>
        </w:rPr>
      </w:pPr>
      <w:r>
        <w:rPr>
          <w:rFonts w:hint="eastAsia" w:ascii="黑体" w:hAnsi="黑体" w:eastAsia="黑体" w:cs="仿宋"/>
          <w:kern w:val="0"/>
          <w:sz w:val="32"/>
          <w:szCs w:val="32"/>
        </w:rPr>
        <w:t>二、绩效分析</w:t>
      </w:r>
    </w:p>
    <w:p>
      <w:pPr>
        <w:pStyle w:val="740ed9b3"/>
        <w:spacing w:line="620" w:lineRule="exact"/>
        <w:ind w:firstLine="640"/>
        <w:rPr>
          <w:rFonts w:ascii="仿宋_GB2312" w:hAnsi="仿宋_GB2312" w:eastAsia="仿宋_GB2312"/>
          <w:sz w:val="32"/>
          <w:szCs w:val="32"/>
        </w:rPr>
      </w:pPr>
      <w:r>
        <w:rPr>
          <w:rFonts w:hint="eastAsia" w:ascii="仿宋_GB2312" w:hAnsi="仿宋_GB2312" w:eastAsia="仿宋_GB2312"/>
          <w:sz w:val="32"/>
          <w:szCs w:val="32"/>
        </w:rPr>
        <w:t>本项目绩效自评得分</w:t>
      </w:r>
      <w:r>
        <w:rPr>
          <w:rFonts w:ascii="仿宋_GB2312" w:hAnsi="仿宋_GB2312" w:eastAsia="仿宋_GB2312" w:cs="仿宋_GB2312"/>
          <w:sz w:val="32"/>
        </w:rPr>
        <w:t>100分，等级为优，设置绩效目标7个，实际完成7个，具体情况如下：</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b/>
          <w:sz w:val="32"/>
        </w:rPr>
        <w:t>(二) 成本指标</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b/>
          <w:sz w:val="32"/>
        </w:rPr>
        <w:t>1、经济成本指标</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sz w:val="32"/>
        </w:rPr>
        <w:t>1)生态林补偿标准（元/亩）</w:t>
      </w:r>
      <w:r>
        <w:rPr>
          <w:rFonts w:ascii="仿宋" w:hAnsi="仿宋" w:eastAsia="仿宋" w:cs="仿宋"/>
          <w:sz w:val="32"/>
        </w:rPr>
        <w:t>(每亩/元)，目标值23，完成值23，分值5，得分5</w:t>
      </w:r>
      <w:r>
        <w:rPr>
          <w:rFonts w:hint="eastAsia" w:ascii="仿宋" w:hAnsi="仿宋" w:eastAsia="仿宋"/>
          <w:sz w:val="32"/>
          <w:szCs w:val="32"/>
        </w:rPr>
        <w:t>。</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b/>
          <w:sz w:val="32"/>
        </w:rPr>
        <w:t>2、社会成本指标</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sz w:val="32"/>
        </w:rPr>
        <w:t>1)已落实管护责任的天然商品林</w:t>
      </w:r>
      <w:r>
        <w:rPr>
          <w:rFonts w:ascii="仿宋" w:hAnsi="仿宋" w:eastAsia="仿宋" w:cs="仿宋"/>
          <w:sz w:val="32"/>
        </w:rPr>
        <w:t>(%)，目标值100，完成值100，分值5，得分5</w:t>
      </w:r>
      <w:r>
        <w:rPr>
          <w:rFonts w:hint="eastAsia" w:ascii="仿宋" w:hAnsi="仿宋" w:eastAsia="仿宋"/>
          <w:sz w:val="32"/>
          <w:szCs w:val="32"/>
        </w:rPr>
        <w:t>。</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b/>
          <w:sz w:val="32"/>
        </w:rPr>
        <w:t>3、生态环境成本指标</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b/>
          <w:sz w:val="32"/>
        </w:rPr>
        <w:t>(一) 产出指标</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b/>
          <w:sz w:val="32"/>
        </w:rPr>
        <w:t>1、数量指标</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sz w:val="32"/>
        </w:rPr>
        <w:t>1)天然商品林管护面积</w:t>
      </w:r>
      <w:r>
        <w:rPr>
          <w:rFonts w:ascii="仿宋" w:hAnsi="仿宋" w:eastAsia="仿宋" w:cs="仿宋"/>
          <w:sz w:val="32"/>
        </w:rPr>
        <w:t>(万亩)，目标值12.9623，完成值12.9623，分值20，得分20</w:t>
      </w:r>
      <w:r>
        <w:rPr>
          <w:rFonts w:hint="eastAsia" w:ascii="仿宋" w:hAnsi="仿宋" w:eastAsia="仿宋"/>
          <w:sz w:val="32"/>
          <w:szCs w:val="32"/>
        </w:rPr>
        <w:t>。</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b/>
          <w:sz w:val="32"/>
        </w:rPr>
        <w:t>2、质量指标</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sz w:val="32"/>
        </w:rPr>
        <w:t>1)森林资源管护责任落实率%</w:t>
      </w:r>
      <w:r>
        <w:rPr>
          <w:rFonts w:ascii="仿宋" w:hAnsi="仿宋" w:eastAsia="仿宋" w:cs="仿宋"/>
          <w:sz w:val="32"/>
        </w:rPr>
        <w:t>(%)，目标值100，完成值100，分值10，得分10</w:t>
      </w:r>
      <w:r>
        <w:rPr>
          <w:rFonts w:hint="eastAsia" w:ascii="仿宋" w:hAnsi="仿宋" w:eastAsia="仿宋"/>
          <w:sz w:val="32"/>
          <w:szCs w:val="32"/>
        </w:rPr>
        <w:t>。</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b/>
          <w:sz w:val="32"/>
        </w:rPr>
        <w:t>3、时效指标</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sz w:val="32"/>
        </w:rPr>
        <w:t>1)天然商品林和生态保护当期任务完成率%</w:t>
      </w:r>
      <w:r>
        <w:rPr>
          <w:rFonts w:ascii="仿宋" w:hAnsi="仿宋" w:eastAsia="仿宋" w:cs="仿宋"/>
          <w:sz w:val="32"/>
        </w:rPr>
        <w:t>(%)，目标值100，完成值100，分值10，得分10</w:t>
      </w:r>
      <w:r>
        <w:rPr>
          <w:rFonts w:hint="eastAsia" w:ascii="仿宋" w:hAnsi="仿宋" w:eastAsia="仿宋"/>
          <w:sz w:val="32"/>
          <w:szCs w:val="32"/>
        </w:rPr>
        <w:t>。</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b/>
          <w:sz w:val="32"/>
        </w:rPr>
        <w:t>(三) 效益指标</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b/>
          <w:sz w:val="32"/>
        </w:rPr>
        <w:t>1、经济效益指标</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b/>
          <w:sz w:val="32"/>
        </w:rPr>
        <w:t>2、社会效益指标</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b/>
          <w:sz w:val="32"/>
        </w:rPr>
        <w:t>3、生态效益指标</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sz w:val="32"/>
        </w:rPr>
        <w:t>1)持续发挥生态作用</w:t>
      </w:r>
      <w:r>
        <w:rPr>
          <w:rFonts w:ascii="仿宋" w:hAnsi="仿宋" w:eastAsia="仿宋" w:cs="仿宋"/>
          <w:sz w:val="32"/>
        </w:rPr>
        <w:t>(%)，目标值100，完成值100，分值30，得分30</w:t>
      </w:r>
      <w:r>
        <w:rPr>
          <w:rFonts w:hint="eastAsia" w:ascii="仿宋" w:hAnsi="仿宋" w:eastAsia="仿宋"/>
          <w:sz w:val="32"/>
          <w:szCs w:val="32"/>
        </w:rPr>
        <w:t>。</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b/>
          <w:sz w:val="32"/>
        </w:rPr>
        <w:t>(四) 满意度指标</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b/>
          <w:sz w:val="32"/>
        </w:rPr>
        <w:t>1、服务对象满意度指标</w:t>
      </w:r>
    </w:p>
    <w:p>
      <w:pPr>
        <w:pStyle w:val="740ed9b3"/>
        <w:spacing w:line="620" w:lineRule="exact"/>
        <w:ind w:left="420" w:leftChars="200"/>
        <w:rPr>
          <w:rFonts w:ascii="仿宋" w:hAnsi="仿宋" w:eastAsia="仿宋"/>
          <w:sz w:val="32"/>
          <w:szCs w:val="32"/>
        </w:rPr>
      </w:pPr>
      <w:r>
        <w:rPr>
          <w:rFonts w:ascii="仿宋_GB2312" w:hAnsi="仿宋_GB2312" w:eastAsia="仿宋_GB2312" w:cs="仿宋_GB2312"/>
          <w:sz w:val="32"/>
        </w:rPr>
        <w:t>1)服务对象满意度度</w:t>
      </w:r>
      <w:r>
        <w:rPr>
          <w:rFonts w:ascii="仿宋" w:hAnsi="仿宋" w:eastAsia="仿宋" w:cs="仿宋"/>
          <w:sz w:val="32"/>
        </w:rPr>
        <w:t>(%)，目标值90，完成值90，分值10，得分10</w:t>
      </w:r>
      <w:r>
        <w:rPr>
          <w:rFonts w:hint="eastAsia" w:ascii="仿宋" w:hAnsi="仿宋" w:eastAsia="仿宋"/>
          <w:sz w:val="32"/>
          <w:szCs w:val="32"/>
        </w:rPr>
        <w:t>。</w:t>
      </w:r>
    </w:p>
    <w:p>
      <w:pPr>
        <w:pStyle w:val="740ed9b3"/>
        <w:tabs>
          <w:tab w:val="left" w:pos="2244"/>
        </w:tabs>
        <w:spacing w:line="620" w:lineRule="exact"/>
        <w:ind w:left="1890" w:leftChars="900"/>
        <w:rPr>
          <w:rFonts w:ascii="仿宋" w:hAnsi="仿宋" w:eastAsia="仿宋"/>
          <w:b/>
          <w:color w:val="FF0000"/>
          <w:sz w:val="32"/>
          <w:szCs w:val="32"/>
        </w:rPr>
      </w:pPr>
    </w:p>
    <w:p>
      <w:pPr>
        <w:pStyle w:val="740ed9b3"/>
        <w:ind w:firstLine="627" w:firstLineChars="196"/>
        <w:rPr>
          <w:rFonts w:ascii="黑体" w:hAnsi="黑体" w:eastAsia="黑体" w:cs="仿宋"/>
          <w:kern w:val="0"/>
          <w:sz w:val="32"/>
          <w:szCs w:val="32"/>
        </w:rPr>
      </w:pPr>
      <w:r>
        <w:rPr>
          <w:rFonts w:hint="eastAsia" w:ascii="黑体" w:hAnsi="黑体" w:eastAsia="黑体" w:cs="仿宋"/>
          <w:kern w:val="0"/>
          <w:sz w:val="32"/>
          <w:szCs w:val="32"/>
        </w:rPr>
        <w:t>三、存在的主要问题及改进措施</w:t>
      </w:r>
    </w:p>
    <w:p>
      <w:pPr>
        <w:pStyle w:val="740ed9b3"/>
        <w:ind w:firstLine="630" w:firstLineChars="196"/>
        <w:rPr>
          <w:rFonts w:ascii="黑体" w:hAnsi="黑体" w:eastAsia="黑体" w:cs="仿宋"/>
          <w:kern w:val="0"/>
          <w:sz w:val="32"/>
          <w:szCs w:val="32"/>
        </w:rPr>
      </w:pPr>
      <w:r>
        <w:rPr>
          <w:rFonts w:hint="eastAsia" w:ascii="仿宋" w:hAnsi="仿宋" w:eastAsia="仿宋"/>
          <w:b/>
          <w:sz w:val="32"/>
          <w:szCs w:val="32"/>
        </w:rPr>
        <w:t>（一）主要问题</w:t>
      </w:r>
    </w:p>
    <w:p>
      <w:pPr>
        <w:pStyle w:val="740ed9b3"/>
        <w:ind w:firstLine="630" w:firstLineChars="196"/>
        <w:rPr>
          <w:rFonts w:ascii="黑体" w:hAnsi="黑体" w:eastAsia="黑体" w:cs="仿宋"/>
          <w:kern w:val="0"/>
          <w:sz w:val="32"/>
          <w:szCs w:val="32"/>
        </w:rPr>
      </w:pPr>
      <w:r>
        <w:rPr>
          <w:rFonts w:hint="eastAsia" w:ascii="仿宋" w:hAnsi="仿宋" w:eastAsia="仿宋"/>
          <w:b/>
          <w:sz w:val="32"/>
          <w:szCs w:val="32"/>
        </w:rPr>
        <w:t>（二）改进措施</w:t>
      </w:r>
    </w:p>
    <w:p>
      <w:pPr>
        <w:pStyle w:val="740ed9b3"/>
        <w:ind w:left="840" w:firstLine="420"/>
        <w:sectPr>
          <w:type w:val="continuous"/>
          <w:pgSz w:w="11907" w:h="16840"/>
        </w:sectPr>
      </w:pPr>
    </w:p>
    <w:p>
      <w:pPr>
        <w:spacing w:line="240" w:lineRule="auto" w:before="260" w:after="260"/>
        <w:jc w:val="left"/>
      </w:pPr>
      <w:r>
        <w:rPr>
          <w:rFonts w:ascii="黑体" w:hAnsi="黑体" w:cs="黑体" w:eastAsia="黑体"/>
          <w:sz w:val="32"/>
        </w:rPr>
        <w:t>三、部门整体支出绩效自评表</w:t>
      </w:r>
    </w:p>
    <w:tbl>
      <w:tblPr>
        <w:tblW w:w="20300" w:type="dxa"/>
        <w:tblBorders>
          <w:top w:val="single"/>
          <w:left w:val="single"/>
          <w:bottom w:val="single"/>
          <w:right w:val="single"/>
          <w:insideH w:val="single"/>
          <w:insideV w:val="single"/>
        </w:tblBorders>
      </w:tblPr>
      <w:tr>
        <w:tc>
          <w:tcPr>
            <w:hMerge w:val="restart"/>
            <w:vAlign w:val="center"/>
          </w:tcPr>
          <w:tcPr>
            <w:tcW w:type="dxa" w:w="1450"/>
          </w:tcPr>
          <w:p>
            <w:pPr>
              <w:jc w:val="center"/>
            </w:pPr>
            <w:r>
              <w:rPr>
                <w:rFonts w:ascii="宋体" w:hAnsi="宋体" w:cs="宋体" w:eastAsia="宋体"/>
                <w:b w:val="true"/>
                <w:i w:val="false"/>
                <w:sz w:val="36"/>
              </w:rPr>
              <w:t>部门整体绩效自评表</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hMerge w:val="continue"/>
            <w:vAlign w:val="center"/>
          </w:tcPr>
          <w:tcPr>
            <w:tcW w:type="dxa" w:w="1450"/>
          </w:tcPr>
          <w:p>
            <w:pPr>
              <w:jc w:val="center"/>
            </w:pPr>
            <w:r>
              <w:rPr>
                <w:rFonts w:ascii="宋体" w:hAnsi="宋体" w:cs="宋体" w:eastAsia="宋体"/>
                <w:b w:val="true"/>
                <w:i w:val="false"/>
                <w:sz w:val="36"/>
              </w:rPr>
              <w:t/>
            </w:r>
          </w:p>
        </w:tc>
        <w:tc>
          <w:tcPr>
            <w:vAlign w:val="center"/>
          </w:tcPr>
          <w:tcPr>
            <w:tcW w:type="dxa" w:w="1450"/>
          </w:tcPr>
          <w:p>
            <w:pPr>
              <w:jc w:val="right"/>
            </w:pPr>
            <w:r>
              <w:rPr>
                <w:rFonts w:ascii="宋体" w:hAnsi="宋体" w:cs="宋体" w:eastAsia="宋体"/>
                <w:b w:val="false"/>
                <w:i w:val="false"/>
                <w:sz w:val="22"/>
              </w:rPr>
              <w:t/>
            </w:r>
          </w:p>
        </w:tc>
        <w:tc>
          <w:tcPr>
            <w:vAlign w:val="center"/>
          </w:tcPr>
          <w:tcPr>
            <w:tcW w:type="dxa" w:w="1450"/>
          </w:tcPr>
          <w:p>
            <w:pPr>
              <w:jc w:val="right"/>
            </w:pPr>
            <w:r>
              <w:rPr>
                <w:rFonts w:ascii="宋体" w:hAnsi="宋体" w:cs="宋体" w:eastAsia="宋体"/>
                <w:b w:val="false"/>
                <w:i w:val="false"/>
                <w:sz w:val="22"/>
              </w:rPr>
              <w:t/>
            </w:r>
          </w:p>
        </w:tc>
      </w:tr>
      <w:tr>
        <w:tc>
          <w:tcPr>
            <w:hMerge w:val="restart"/>
            <w:vAlign w:val="center"/>
          </w:tcPr>
          <w:tcPr>
            <w:tcW w:type="dxa" w:w="1450"/>
          </w:tcPr>
          <w:p>
            <w:pPr>
              <w:jc w:val="center"/>
            </w:pPr>
            <w:r>
              <w:rPr>
                <w:rFonts w:ascii="宋体" w:hAnsi="宋体" w:cs="宋体" w:eastAsia="宋体"/>
                <w:b w:val="false"/>
                <w:i w:val="false"/>
                <w:sz w:val="24"/>
              </w:rPr>
              <w:t>（2025年度）</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2"/>
              </w:rPr>
              <w:t/>
            </w:r>
          </w:p>
        </w:tc>
        <w:tc>
          <w:tcPr>
            <w:vAlign w:val="center"/>
          </w:tcPr>
          <w:tcPr>
            <w:tcW w:type="dxa" w:w="1450"/>
          </w:tcPr>
          <w:p>
            <w:pPr>
              <w:jc w:val="right"/>
            </w:pPr>
            <w:r>
              <w:rPr>
                <w:rFonts w:ascii="宋体" w:hAnsi="宋体" w:cs="宋体" w:eastAsia="宋体"/>
                <w:b w:val="false"/>
                <w:i w:val="false"/>
                <w:sz w:val="22"/>
              </w:rPr>
              <w:t/>
            </w:r>
          </w:p>
        </w:tc>
      </w:tr>
      <w:tr>
        <w:tc>
          <w:tcPr>
            <w:hMerge w:val="restart"/>
            <w:vAlign w:val="center"/>
          </w:tcPr>
          <w:tcPr>
            <w:tcW w:type="dxa" w:w="1450"/>
          </w:tcPr>
          <w:p>
            <w:pPr>
              <w:jc w:val="center"/>
            </w:pPr>
            <w:r>
              <w:rPr>
                <w:rFonts w:ascii="宋体" w:hAnsi="宋体" w:cs="宋体" w:eastAsia="宋体"/>
                <w:b w:val="false"/>
                <w:i w:val="false"/>
                <w:sz w:val="24"/>
              </w:rPr>
              <w:t>专项名称</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402部门整体</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2"/>
              </w:rPr>
              <w:t/>
            </w:r>
          </w:p>
        </w:tc>
        <w:tc>
          <w:tcPr>
            <w:vAlign w:val="center"/>
          </w:tcPr>
          <w:tcPr>
            <w:tcW w:type="dxa" w:w="1450"/>
          </w:tcPr>
          <w:p>
            <w:pPr>
              <w:jc w:val="right"/>
            </w:pPr>
            <w:r>
              <w:rPr>
                <w:rFonts w:ascii="宋体" w:hAnsi="宋体" w:cs="宋体" w:eastAsia="宋体"/>
                <w:b w:val="false"/>
                <w:i w:val="false"/>
                <w:sz w:val="22"/>
              </w:rPr>
              <w:t/>
            </w:r>
          </w:p>
        </w:tc>
      </w:tr>
      <w:tr>
        <w:tc>
          <w:tcPr>
            <w:hMerge w:val="restart"/>
            <w:vAlign w:val="center"/>
          </w:tcPr>
          <w:tcPr>
            <w:tcW w:type="dxa" w:w="1450"/>
          </w:tcPr>
          <w:p>
            <w:pPr>
              <w:jc w:val="center"/>
            </w:pPr>
            <w:r>
              <w:rPr>
                <w:rFonts w:ascii="宋体" w:hAnsi="宋体" w:cs="宋体" w:eastAsia="宋体"/>
                <w:b w:val="false"/>
                <w:i w:val="false"/>
                <w:sz w:val="24"/>
              </w:rPr>
              <w:t>部门（单位）名称</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南安市林业局</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部门预算编码</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402</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2"/>
              </w:rPr>
              <w:t/>
            </w:r>
          </w:p>
        </w:tc>
        <w:tc>
          <w:tcPr>
            <w:vAlign w:val="center"/>
          </w:tcPr>
          <w:tcPr>
            <w:tcW w:type="dxa" w:w="1450"/>
          </w:tcPr>
          <w:p>
            <w:pPr>
              <w:jc w:val="right"/>
            </w:pPr>
            <w:r>
              <w:rPr>
                <w:rFonts w:ascii="宋体" w:hAnsi="宋体" w:cs="宋体" w:eastAsia="宋体"/>
                <w:b w:val="false"/>
                <w:i w:val="false"/>
                <w:sz w:val="22"/>
              </w:rPr>
              <w:t/>
            </w:r>
          </w:p>
        </w:tc>
      </w:tr>
      <w:tr>
        <w:tc>
          <w:tcPr>
            <w:hMerge w:val="restart"/>
            <w:vMerge w:val="restart"/>
            <w:vAlign w:val="center"/>
          </w:tcPr>
          <w:tcPr>
            <w:tcW w:type="dxa" w:w="1450"/>
          </w:tcPr>
          <w:p>
            <w:pPr>
              <w:jc w:val="center"/>
            </w:pPr>
            <w:r>
              <w:rPr>
                <w:rFonts w:ascii="宋体" w:hAnsi="宋体" w:cs="宋体" w:eastAsia="宋体"/>
                <w:b w:val="false"/>
                <w:i w:val="false"/>
                <w:sz w:val="24"/>
              </w:rPr>
              <w:t>财政资金安排和使用情况</w:t>
            </w:r>
          </w:p>
        </w:tc>
        <w:tc>
          <w:tcPr>
            <w:hMerge w:val="restart"/>
            <w:vMerge w:val="restart"/>
            <w:vAlign w:val="center"/>
          </w:tcPr>
          <w:tcPr>
            <w:tcW w:type="dxa" w:w="1450"/>
          </w:tcPr>
          <w:p>
            <w:pPr>
              <w:jc w:val="center"/>
            </w:pPr>
            <w:r>
              <w:rPr>
                <w:rFonts w:ascii="宋体" w:hAnsi="宋体" w:cs="宋体" w:eastAsia="宋体"/>
                <w:b w:val="false"/>
                <w:i w:val="false"/>
                <w:sz w:val="24"/>
              </w:rPr>
              <w:t/>
            </w:r>
          </w:p>
        </w:tc>
        <w:tc>
          <w:tcPr>
            <w:hMerge w:val="continue"/>
            <w:vMerge w:val="restart"/>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预算安排</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拨付情况</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结余情况</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Merge w:val="restart"/>
            <w:vAlign w:val="center"/>
          </w:tcPr>
          <w:tcPr>
            <w:tcW w:type="dxa" w:w="1450"/>
          </w:tcPr>
          <w:p>
            <w:pPr>
              <w:jc w:val="center"/>
            </w:pPr>
            <w:r>
              <w:rPr>
                <w:rFonts w:ascii="宋体" w:hAnsi="宋体" w:cs="宋体" w:eastAsia="宋体"/>
                <w:b w:val="false"/>
                <w:i w:val="false"/>
                <w:sz w:val="22"/>
              </w:rPr>
              <w:t>分值</w:t>
            </w:r>
          </w:p>
        </w:tc>
        <w:tc>
          <w:tcPr>
            <w:hMerge w:val="restart"/>
            <w:vMerge w:val="restart"/>
            <w:vAlign w:val="center"/>
          </w:tcPr>
          <w:tcPr>
            <w:tcW w:type="dxa" w:w="1450"/>
          </w:tcPr>
          <w:p>
            <w:pPr>
              <w:jc w:val="center"/>
            </w:pPr>
            <w:r>
              <w:rPr>
                <w:rFonts w:ascii="宋体" w:hAnsi="宋体" w:cs="宋体" w:eastAsia="宋体"/>
                <w:b w:val="false"/>
                <w:i w:val="false"/>
                <w:sz w:val="22"/>
              </w:rPr>
              <w:t>得分</w:t>
            </w:r>
          </w:p>
        </w:tc>
      </w:tr>
      <w:tr>
        <w:tc>
          <w:tcPr>
            <w:hMerge w:val="restart"/>
            <w:vMerge w:val="continue"/>
            <w:vAlign w:val="center"/>
          </w:tcPr>
          <w:tcPr>
            <w:tcW w:type="dxa" w:w="1450"/>
          </w:tcPr>
          <w:p>
            <w:pPr>
              <w:jc w:val="center"/>
            </w:pPr>
            <w:r>
              <w:rPr>
                <w:rFonts w:ascii="宋体" w:hAnsi="宋体" w:cs="宋体" w:eastAsia="宋体"/>
                <w:b w:val="false"/>
                <w:i w:val="false"/>
                <w:sz w:val="24"/>
              </w:rPr>
              <w:t/>
            </w:r>
          </w:p>
        </w:tc>
        <w:tc>
          <w:tcPr>
            <w:hMerge w:val="restart"/>
            <w:vMerge w:val="continue"/>
            <w:vAlign w:val="center"/>
          </w:tcPr>
          <w:tcPr>
            <w:tcW w:type="dxa" w:w="1450"/>
          </w:tcPr>
          <w:p>
            <w:pPr>
              <w:jc w:val="center"/>
            </w:pPr>
            <w:r>
              <w:rPr>
                <w:rFonts w:ascii="宋体" w:hAnsi="宋体" w:cs="宋体" w:eastAsia="宋体"/>
                <w:b w:val="false"/>
                <w:i w:val="false"/>
                <w:sz w:val="24"/>
              </w:rPr>
              <w:t/>
            </w:r>
          </w:p>
        </w:tc>
        <w:tc>
          <w:tcPr>
            <w:hMerge w:val="continue"/>
            <w:v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年初部门预算安排金额（含历年结余结转）①</w:t>
            </w:r>
          </w:p>
        </w:tc>
        <w:tc>
          <w:tcPr>
            <w:vAlign w:val="center"/>
          </w:tcPr>
          <w:tcPr>
            <w:tcW w:type="dxa" w:w="1450"/>
          </w:tcPr>
          <w:p>
            <w:pPr>
              <w:jc w:val="right"/>
            </w:pPr>
            <w:r>
              <w:rPr>
                <w:rFonts w:ascii="宋体" w:hAnsi="宋体" w:cs="宋体" w:eastAsia="宋体"/>
                <w:b w:val="false"/>
                <w:i w:val="false"/>
                <w:sz w:val="24"/>
              </w:rPr>
              <w:t>年中调整金额②</w:t>
            </w:r>
          </w:p>
        </w:tc>
        <w:tc>
          <w:tcPr>
            <w:vAlign w:val="center"/>
          </w:tcPr>
          <w:tcPr>
            <w:tcW w:type="dxa" w:w="1450"/>
          </w:tcPr>
          <w:p>
            <w:pPr>
              <w:jc w:val="right"/>
            </w:pPr>
            <w:r>
              <w:rPr>
                <w:rFonts w:ascii="宋体" w:hAnsi="宋体" w:cs="宋体" w:eastAsia="宋体"/>
                <w:b w:val="false"/>
                <w:i w:val="false"/>
                <w:sz w:val="24"/>
              </w:rPr>
              <w:t>小计 ③ = ①+②</w:t>
            </w:r>
          </w:p>
        </w:tc>
        <w:tc>
          <w:tcPr>
            <w:vAlign w:val="center"/>
          </w:tcPr>
          <w:tcPr>
            <w:tcW w:type="dxa" w:w="1450"/>
          </w:tcPr>
          <w:p>
            <w:pPr>
              <w:jc w:val="center"/>
            </w:pPr>
            <w:r>
              <w:rPr>
                <w:rFonts w:ascii="宋体" w:hAnsi="宋体" w:cs="宋体" w:eastAsia="宋体"/>
                <w:b w:val="false"/>
                <w:i w:val="false"/>
                <w:sz w:val="24"/>
              </w:rPr>
              <w:t>年度拨付金额 ④</w:t>
            </w:r>
          </w:p>
        </w:tc>
        <w:tc>
          <w:tcPr>
            <w:vAlign w:val="center"/>
          </w:tcPr>
          <w:tcPr>
            <w:tcW w:type="dxa" w:w="1450"/>
          </w:tcPr>
          <w:p>
            <w:pPr>
              <w:jc w:val="center"/>
            </w:pPr>
            <w:r>
              <w:rPr>
                <w:rFonts w:ascii="宋体" w:hAnsi="宋体" w:cs="宋体" w:eastAsia="宋体"/>
                <w:b w:val="false"/>
                <w:i w:val="false"/>
                <w:sz w:val="24"/>
              </w:rPr>
              <w:t>支出实现率(%) ⑤=④/③</w:t>
            </w:r>
          </w:p>
        </w:tc>
        <w:tc>
          <w:tcPr>
            <w:hMerge w:val="restart"/>
            <w:vAlign w:val="center"/>
          </w:tcPr>
          <w:tcPr>
            <w:tcW w:type="dxa" w:w="1450"/>
          </w:tcPr>
          <w:p>
            <w:pPr>
              <w:jc w:val="center"/>
            </w:pPr>
            <w:r>
              <w:rPr>
                <w:rFonts w:ascii="宋体" w:hAnsi="宋体" w:cs="宋体" w:eastAsia="宋体"/>
                <w:b w:val="false"/>
                <w:i w:val="false"/>
                <w:sz w:val="24"/>
              </w:rPr>
              <w:t>本年度结余金额⑥=③-④</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资金结余率(%) ⑦=⑥/③</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Merge w:val="continue"/>
            <w:vAlign w:val="center"/>
          </w:tcPr>
          <w:tcPr>
            <w:tcW w:type="dxa" w:w="1450"/>
          </w:tcPr>
          <w:p>
            <w:pPr>
              <w:jc w:val="center"/>
            </w:pPr>
            <w:r>
              <w:rPr>
                <w:rFonts w:ascii="宋体" w:hAnsi="宋体" w:cs="宋体" w:eastAsia="宋体"/>
                <w:b w:val="false"/>
                <w:i w:val="false"/>
                <w:sz w:val="22"/>
              </w:rPr>
              <w:t/>
            </w:r>
          </w:p>
        </w:tc>
        <w:tc>
          <w:tcPr>
            <w:hMerge w:val="restart"/>
            <w:vMerge w:val="continue"/>
            <w:vAlign w:val="center"/>
          </w:tcPr>
          <w:tcPr>
            <w:tcW w:type="dxa" w:w="1450"/>
          </w:tcPr>
          <w:p>
            <w:pPr>
              <w:jc w:val="center"/>
            </w:pPr>
            <w:r>
              <w:rPr>
                <w:rFonts w:ascii="宋体" w:hAnsi="宋体" w:cs="宋体" w:eastAsia="宋体"/>
                <w:b w:val="false"/>
                <w:i w:val="false"/>
                <w:sz w:val="22"/>
              </w:rPr>
              <w:t/>
            </w:r>
          </w:p>
        </w:tc>
      </w:tr>
      <w:tr>
        <w:tc>
          <w:tcPr>
            <w:hMerge w:val="restart"/>
            <w:v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合计</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center"/>
            </w:pPr>
            <w:r>
              <w:rPr>
                <w:rFonts w:ascii="宋体" w:hAnsi="宋体" w:cs="宋体" w:eastAsia="宋体"/>
                <w:b w:val="false"/>
                <w:i w:val="false"/>
                <w:sz w:val="24"/>
              </w:rPr>
              <w:t>1433.67</w:t>
            </w:r>
          </w:p>
        </w:tc>
        <w:tc>
          <w:tcPr>
            <w:vAlign w:val="center"/>
          </w:tcPr>
          <w:tcPr>
            <w:tcW w:type="dxa" w:w="1450"/>
          </w:tcPr>
          <w:p>
            <w:pPr>
              <w:jc w:val="right"/>
            </w:pPr>
            <w:r>
              <w:rPr>
                <w:rFonts w:ascii="宋体" w:hAnsi="宋体" w:cs="宋体" w:eastAsia="宋体"/>
                <w:b w:val="false"/>
                <w:i w:val="false"/>
                <w:sz w:val="24"/>
              </w:rPr>
              <w:t>3033.59</w:t>
            </w:r>
          </w:p>
        </w:tc>
        <w:tc>
          <w:tcPr>
            <w:vAlign w:val="center"/>
          </w:tcPr>
          <w:tcPr>
            <w:tcW w:type="dxa" w:w="1450"/>
          </w:tcPr>
          <w:p>
            <w:pPr>
              <w:jc w:val="right"/>
            </w:pPr>
            <w:r>
              <w:rPr>
                <w:rFonts w:ascii="宋体" w:hAnsi="宋体" w:cs="宋体" w:eastAsia="宋体"/>
                <w:b w:val="false"/>
                <w:i w:val="false"/>
                <w:sz w:val="24"/>
              </w:rPr>
              <w:t>4467.26</w:t>
            </w:r>
          </w:p>
        </w:tc>
        <w:tc>
          <w:tcPr>
            <w:vAlign w:val="center"/>
          </w:tcPr>
          <w:tcPr>
            <w:tcW w:type="dxa" w:w="1450"/>
          </w:tcPr>
          <w:p>
            <w:pPr>
              <w:jc w:val="center"/>
            </w:pPr>
            <w:r>
              <w:rPr>
                <w:rFonts w:ascii="宋体" w:hAnsi="宋体" w:cs="宋体" w:eastAsia="宋体"/>
                <w:b w:val="false"/>
                <w:i w:val="false"/>
                <w:sz w:val="24"/>
              </w:rPr>
              <w:t>3680.75</w:t>
            </w:r>
          </w:p>
        </w:tc>
        <w:tc>
          <w:tcPr>
            <w:vAlign w:val="center"/>
          </w:tcPr>
          <w:tcPr>
            <w:tcW w:type="dxa" w:w="1450"/>
          </w:tcPr>
          <w:p>
            <w:pPr>
              <w:jc w:val="center"/>
            </w:pPr>
            <w:r>
              <w:rPr>
                <w:rFonts w:ascii="宋体" w:hAnsi="宋体" w:cs="宋体" w:eastAsia="宋体"/>
                <w:b w:val="false"/>
                <w:i w:val="false"/>
                <w:sz w:val="24"/>
              </w:rPr>
              <w:t>82.39</w:t>
            </w:r>
          </w:p>
        </w:tc>
        <w:tc>
          <w:tcPr>
            <w:hMerge w:val="restart"/>
            <w:vAlign w:val="center"/>
          </w:tcPr>
          <w:tcPr>
            <w:tcW w:type="dxa" w:w="1450"/>
          </w:tcPr>
          <w:p>
            <w:pPr>
              <w:jc w:val="center"/>
            </w:pPr>
            <w:r>
              <w:rPr>
                <w:rFonts w:ascii="宋体" w:hAnsi="宋体" w:cs="宋体" w:eastAsia="宋体"/>
                <w:b w:val="false"/>
                <w:i w:val="false"/>
                <w:sz w:val="24"/>
              </w:rPr>
              <w:t>786.51</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17.6100</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center"/>
            </w:pPr>
            <w:r>
              <w:rPr>
                <w:rFonts w:ascii="宋体" w:hAnsi="宋体" w:cs="宋体" w:eastAsia="宋体"/>
                <w:b w:val="false"/>
                <w:i w:val="false"/>
                <w:sz w:val="22"/>
              </w:rPr>
              <w:t>10</w:t>
            </w:r>
          </w:p>
        </w:tc>
        <w:tc>
          <w:tcPr>
            <w:vAlign w:val="center"/>
          </w:tcPr>
          <w:tcPr>
            <w:tcW w:type="dxa" w:w="1450"/>
          </w:tcPr>
          <w:p>
            <w:pPr>
              <w:jc w:val="center"/>
            </w:pPr>
            <w:r>
              <w:rPr>
                <w:rFonts w:ascii="宋体" w:hAnsi="宋体" w:cs="宋体" w:eastAsia="宋体"/>
                <w:b w:val="false"/>
                <w:i w:val="false"/>
                <w:sz w:val="22"/>
              </w:rPr>
              <w:t>10</w:t>
            </w:r>
          </w:p>
        </w:tc>
      </w:tr>
      <w:tr>
        <w:tc>
          <w:tcPr>
            <w:hMerge w:val="restart"/>
            <w:v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left"/>
            </w:pPr>
            <w:r>
              <w:rPr>
                <w:rFonts w:ascii="宋体" w:hAnsi="宋体" w:cs="宋体" w:eastAsia="宋体"/>
                <w:b w:val="false"/>
                <w:i w:val="false"/>
                <w:sz w:val="24"/>
              </w:rPr>
              <w:t>财政资金小计</w:t>
            </w:r>
          </w:p>
        </w:tc>
        <w:tc>
          <w:tcPr>
            <w:hMerge w:val="continue"/>
            <w:vAlign w:val="center"/>
          </w:tcPr>
          <w:tcPr>
            <w:tcW w:type="dxa" w:w="1450"/>
          </w:tcPr>
          <w:p>
            <w:pPr>
              <w:jc w:val="left"/>
            </w:pPr>
            <w:r>
              <w:rPr>
                <w:rFonts w:ascii="宋体" w:hAnsi="宋体" w:cs="宋体" w:eastAsia="宋体"/>
                <w:b w:val="false"/>
                <w:i w:val="false"/>
                <w:sz w:val="24"/>
              </w:rPr>
              <w:t/>
            </w:r>
          </w:p>
        </w:tc>
        <w:tc>
          <w:tcPr>
            <w:vAlign w:val="center"/>
          </w:tcPr>
          <w:tcPr>
            <w:tcW w:type="dxa" w:w="1450"/>
          </w:tcPr>
          <w:p>
            <w:pPr>
              <w:jc w:val="center"/>
            </w:pPr>
            <w:r>
              <w:rPr>
                <w:rFonts w:ascii="宋体" w:hAnsi="宋体" w:cs="宋体" w:eastAsia="宋体"/>
                <w:b w:val="false"/>
                <w:i w:val="false"/>
                <w:sz w:val="24"/>
              </w:rPr>
              <w:t>1433.67</w:t>
            </w:r>
          </w:p>
        </w:tc>
        <w:tc>
          <w:tcPr>
            <w:vAlign w:val="center"/>
          </w:tcPr>
          <w:tcPr>
            <w:tcW w:type="dxa" w:w="1450"/>
          </w:tcPr>
          <w:p>
            <w:pPr>
              <w:jc w:val="right"/>
            </w:pPr>
            <w:r>
              <w:rPr>
                <w:rFonts w:ascii="宋体" w:hAnsi="宋体" w:cs="宋体" w:eastAsia="宋体"/>
                <w:b w:val="false"/>
                <w:i w:val="false"/>
                <w:sz w:val="24"/>
              </w:rPr>
              <w:t>3033.59</w:t>
            </w:r>
          </w:p>
        </w:tc>
        <w:tc>
          <w:tcPr>
            <w:vAlign w:val="center"/>
          </w:tcPr>
          <w:tcPr>
            <w:tcW w:type="dxa" w:w="1450"/>
          </w:tcPr>
          <w:p>
            <w:pPr>
              <w:jc w:val="right"/>
            </w:pPr>
            <w:r>
              <w:rPr>
                <w:rFonts w:ascii="宋体" w:hAnsi="宋体" w:cs="宋体" w:eastAsia="宋体"/>
                <w:b w:val="false"/>
                <w:i w:val="false"/>
                <w:sz w:val="24"/>
              </w:rPr>
              <w:t>4467.26</w:t>
            </w:r>
          </w:p>
        </w:tc>
        <w:tc>
          <w:tcPr>
            <w:vAlign w:val="center"/>
          </w:tcPr>
          <w:tcPr>
            <w:tcW w:type="dxa" w:w="1450"/>
          </w:tcPr>
          <w:p>
            <w:pPr>
              <w:jc w:val="center"/>
            </w:pPr>
            <w:r>
              <w:rPr>
                <w:rFonts w:ascii="宋体" w:hAnsi="宋体" w:cs="宋体" w:eastAsia="宋体"/>
                <w:b w:val="false"/>
                <w:i w:val="false"/>
                <w:sz w:val="24"/>
              </w:rPr>
              <w:t>3680.75</w:t>
            </w:r>
          </w:p>
        </w:tc>
        <w:tc>
          <w:tcPr>
            <w:vAlign w:val="center"/>
          </w:tcPr>
          <w:tcPr>
            <w:tcW w:type="dxa" w:w="1450"/>
          </w:tcPr>
          <w:p>
            <w:pPr>
              <w:jc w:val="center"/>
            </w:pPr>
            <w:r>
              <w:rPr>
                <w:rFonts w:ascii="宋体" w:hAnsi="宋体" w:cs="宋体" w:eastAsia="宋体"/>
                <w:b w:val="false"/>
                <w:i w:val="false"/>
                <w:sz w:val="24"/>
              </w:rPr>
              <w:t>82.39</w:t>
            </w:r>
          </w:p>
        </w:tc>
        <w:tc>
          <w:tcPr>
            <w:hMerge w:val="restart"/>
            <w:vAlign w:val="center"/>
          </w:tcPr>
          <w:tcPr>
            <w:tcW w:type="dxa" w:w="1450"/>
          </w:tcPr>
          <w:p>
            <w:pPr>
              <w:jc w:val="center"/>
            </w:pPr>
            <w:r>
              <w:rPr>
                <w:rFonts w:ascii="宋体" w:hAnsi="宋体" w:cs="宋体" w:eastAsia="宋体"/>
                <w:b w:val="false"/>
                <w:i w:val="false"/>
                <w:sz w:val="24"/>
              </w:rPr>
              <w:t>786.51</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17.6100</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2"/>
              </w:rPr>
              <w:t/>
            </w:r>
          </w:p>
        </w:tc>
        <w:tc>
          <w:tcPr>
            <w:vAlign w:val="center"/>
          </w:tcPr>
          <w:tcPr>
            <w:tcW w:type="dxa" w:w="1450"/>
          </w:tcPr>
          <w:p>
            <w:pPr>
              <w:jc w:val="right"/>
            </w:pPr>
            <w:r>
              <w:rPr>
                <w:rFonts w:ascii="宋体" w:hAnsi="宋体" w:cs="宋体" w:eastAsia="宋体"/>
                <w:b w:val="false"/>
                <w:i w:val="false"/>
                <w:sz w:val="22"/>
              </w:rPr>
              <w:t/>
            </w:r>
          </w:p>
        </w:tc>
      </w:tr>
      <w:tr>
        <w:tc>
          <w:tcPr>
            <w:hMerge w:val="restart"/>
            <w:v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left"/>
            </w:pPr>
            <w:r>
              <w:rPr>
                <w:rFonts w:ascii="宋体" w:hAnsi="宋体" w:cs="宋体" w:eastAsia="宋体"/>
                <w:b w:val="false"/>
                <w:i w:val="false"/>
                <w:sz w:val="24"/>
              </w:rPr>
              <w:t>①中央财政资金</w:t>
            </w:r>
          </w:p>
        </w:tc>
        <w:tc>
          <w:tcPr>
            <w:hMerge w:val="continue"/>
            <w:vAlign w:val="center"/>
          </w:tcPr>
          <w:tcPr>
            <w:tcW w:type="dxa" w:w="1450"/>
          </w:tcPr>
          <w:p>
            <w:pPr>
              <w:jc w:val="left"/>
            </w:pPr>
            <w:r>
              <w:rPr>
                <w:rFonts w:ascii="宋体" w:hAnsi="宋体" w:cs="宋体" w:eastAsia="宋体"/>
                <w:b w:val="false"/>
                <w:i w:val="false"/>
                <w:sz w:val="24"/>
              </w:rPr>
              <w:t/>
            </w:r>
          </w:p>
        </w:tc>
        <w:tc>
          <w:tcPr>
            <w:vAlign w:val="center"/>
          </w:tcPr>
          <w:tcPr>
            <w:tcW w:type="dxa" w:w="1450"/>
          </w:tcPr>
          <w:p>
            <w:pPr>
              <w:jc w:val="center"/>
            </w:pPr>
            <w:r>
              <w:rPr>
                <w:rFonts w:ascii="宋体" w:hAnsi="宋体" w:cs="宋体" w:eastAsia="宋体"/>
                <w:b w:val="false"/>
                <w:i w:val="false"/>
                <w:sz w:val="24"/>
              </w:rPr>
              <w:t>0.00</w:t>
            </w:r>
          </w:p>
        </w:tc>
        <w:tc>
          <w:tcPr>
            <w:vAlign w:val="center"/>
          </w:tcPr>
          <w:tcPr>
            <w:tcW w:type="dxa" w:w="1450"/>
          </w:tcPr>
          <w:p>
            <w:pPr>
              <w:jc w:val="right"/>
            </w:pPr>
            <w:r>
              <w:rPr>
                <w:rFonts w:ascii="宋体" w:hAnsi="宋体" w:cs="宋体" w:eastAsia="宋体"/>
                <w:b w:val="false"/>
                <w:i w:val="false"/>
                <w:sz w:val="24"/>
              </w:rPr>
              <w:t>0.00</w:t>
            </w:r>
          </w:p>
        </w:tc>
        <w:tc>
          <w:tcPr>
            <w:vAlign w:val="center"/>
          </w:tcPr>
          <w:tcPr>
            <w:tcW w:type="dxa" w:w="1450"/>
          </w:tcPr>
          <w:p>
            <w:pPr>
              <w:jc w:val="right"/>
            </w:pPr>
            <w:r>
              <w:rPr>
                <w:rFonts w:ascii="宋体" w:hAnsi="宋体" w:cs="宋体" w:eastAsia="宋体"/>
                <w:b w:val="false"/>
                <w:i w:val="false"/>
                <w:sz w:val="24"/>
              </w:rPr>
              <w:t>0.00</w:t>
            </w:r>
          </w:p>
        </w:tc>
        <w:tc>
          <w:tcPr>
            <w:vAlign w:val="center"/>
          </w:tcPr>
          <w:tcPr>
            <w:tcW w:type="dxa" w:w="1450"/>
          </w:tcPr>
          <w:p>
            <w:pPr>
              <w:jc w:val="center"/>
            </w:pPr>
            <w:r>
              <w:rPr>
                <w:rFonts w:ascii="宋体" w:hAnsi="宋体" w:cs="宋体" w:eastAsia="宋体"/>
                <w:b w:val="false"/>
                <w:i w:val="false"/>
                <w:sz w:val="24"/>
              </w:rPr>
              <w:t>0.00</w:t>
            </w:r>
          </w:p>
        </w:tc>
        <w:tc>
          <w:tcPr>
            <w:vAlign w:val="center"/>
          </w:tcPr>
          <w:tcPr>
            <w:tcW w:type="dxa" w:w="1450"/>
          </w:tcPr>
          <w:p>
            <w:pPr>
              <w:jc w:val="center"/>
            </w:pPr>
            <w:r>
              <w:rPr>
                <w:rFonts w:ascii="宋体" w:hAnsi="宋体" w:cs="宋体" w:eastAsia="宋体"/>
                <w:b w:val="false"/>
                <w:i w:val="false"/>
                <w:sz w:val="24"/>
              </w:rPr>
              <w:t>0.00</w:t>
            </w:r>
          </w:p>
        </w:tc>
        <w:tc>
          <w:tcPr>
            <w:hMerge w:val="restart"/>
            <w:vAlign w:val="center"/>
          </w:tcPr>
          <w:tcPr>
            <w:tcW w:type="dxa" w:w="1450"/>
          </w:tcPr>
          <w:p>
            <w:pPr>
              <w:jc w:val="center"/>
            </w:pPr>
            <w:r>
              <w:rPr>
                <w:rFonts w:ascii="宋体" w:hAnsi="宋体" w:cs="宋体" w:eastAsia="宋体"/>
                <w:b w:val="false"/>
                <w:i w:val="false"/>
                <w:sz w:val="24"/>
              </w:rPr>
              <w:t>0.00</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0.00</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2"/>
              </w:rPr>
              <w:t/>
            </w:r>
          </w:p>
        </w:tc>
        <w:tc>
          <w:tcPr>
            <w:vAlign w:val="center"/>
          </w:tcPr>
          <w:tcPr>
            <w:tcW w:type="dxa" w:w="1450"/>
          </w:tcPr>
          <w:p>
            <w:pPr>
              <w:jc w:val="right"/>
            </w:pPr>
            <w:r>
              <w:rPr>
                <w:rFonts w:ascii="宋体" w:hAnsi="宋体" w:cs="宋体" w:eastAsia="宋体"/>
                <w:b w:val="false"/>
                <w:i w:val="false"/>
                <w:sz w:val="22"/>
              </w:rPr>
              <w:t/>
            </w:r>
          </w:p>
        </w:tc>
      </w:tr>
      <w:tr>
        <w:tc>
          <w:tcPr>
            <w:hMerge w:val="restart"/>
            <w:v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left"/>
            </w:pPr>
            <w:r>
              <w:rPr>
                <w:rFonts w:ascii="宋体" w:hAnsi="宋体" w:cs="宋体" w:eastAsia="宋体"/>
                <w:b w:val="false"/>
                <w:i w:val="false"/>
                <w:sz w:val="24"/>
              </w:rPr>
              <w:t>②省级财政资金</w:t>
            </w:r>
          </w:p>
        </w:tc>
        <w:tc>
          <w:tcPr>
            <w:hMerge w:val="continue"/>
            <w:vAlign w:val="center"/>
          </w:tcPr>
          <w:tcPr>
            <w:tcW w:type="dxa" w:w="1450"/>
          </w:tcPr>
          <w:p>
            <w:pPr>
              <w:jc w:val="left"/>
            </w:pPr>
            <w:r>
              <w:rPr>
                <w:rFonts w:ascii="宋体" w:hAnsi="宋体" w:cs="宋体" w:eastAsia="宋体"/>
                <w:b w:val="false"/>
                <w:i w:val="false"/>
                <w:sz w:val="24"/>
              </w:rPr>
              <w:t/>
            </w:r>
          </w:p>
        </w:tc>
        <w:tc>
          <w:tcPr>
            <w:vAlign w:val="center"/>
          </w:tcPr>
          <w:tcPr>
            <w:tcW w:type="dxa" w:w="1450"/>
          </w:tcPr>
          <w:p>
            <w:pPr>
              <w:jc w:val="center"/>
            </w:pPr>
            <w:r>
              <w:rPr>
                <w:rFonts w:ascii="宋体" w:hAnsi="宋体" w:cs="宋体" w:eastAsia="宋体"/>
                <w:b w:val="false"/>
                <w:i w:val="false"/>
                <w:sz w:val="24"/>
              </w:rPr>
              <w:t>0.00</w:t>
            </w:r>
          </w:p>
        </w:tc>
        <w:tc>
          <w:tcPr>
            <w:vAlign w:val="center"/>
          </w:tcPr>
          <w:tcPr>
            <w:tcW w:type="dxa" w:w="1450"/>
          </w:tcPr>
          <w:p>
            <w:pPr>
              <w:jc w:val="right"/>
            </w:pPr>
            <w:r>
              <w:rPr>
                <w:rFonts w:ascii="宋体" w:hAnsi="宋体" w:cs="宋体" w:eastAsia="宋体"/>
                <w:b w:val="false"/>
                <w:i w:val="false"/>
                <w:sz w:val="24"/>
              </w:rPr>
              <w:t>0.00</w:t>
            </w:r>
          </w:p>
        </w:tc>
        <w:tc>
          <w:tcPr>
            <w:vAlign w:val="center"/>
          </w:tcPr>
          <w:tcPr>
            <w:tcW w:type="dxa" w:w="1450"/>
          </w:tcPr>
          <w:p>
            <w:pPr>
              <w:jc w:val="right"/>
            </w:pPr>
            <w:r>
              <w:rPr>
                <w:rFonts w:ascii="宋体" w:hAnsi="宋体" w:cs="宋体" w:eastAsia="宋体"/>
                <w:b w:val="false"/>
                <w:i w:val="false"/>
                <w:sz w:val="24"/>
              </w:rPr>
              <w:t>0.00</w:t>
            </w:r>
          </w:p>
        </w:tc>
        <w:tc>
          <w:tcPr>
            <w:vAlign w:val="center"/>
          </w:tcPr>
          <w:tcPr>
            <w:tcW w:type="dxa" w:w="1450"/>
          </w:tcPr>
          <w:p>
            <w:pPr>
              <w:jc w:val="center"/>
            </w:pPr>
            <w:r>
              <w:rPr>
                <w:rFonts w:ascii="宋体" w:hAnsi="宋体" w:cs="宋体" w:eastAsia="宋体"/>
                <w:b w:val="false"/>
                <w:i w:val="false"/>
                <w:sz w:val="24"/>
              </w:rPr>
              <w:t>0.00</w:t>
            </w:r>
          </w:p>
        </w:tc>
        <w:tc>
          <w:tcPr>
            <w:vAlign w:val="center"/>
          </w:tcPr>
          <w:tcPr>
            <w:tcW w:type="dxa" w:w="1450"/>
          </w:tcPr>
          <w:p>
            <w:pPr>
              <w:jc w:val="center"/>
            </w:pPr>
            <w:r>
              <w:rPr>
                <w:rFonts w:ascii="宋体" w:hAnsi="宋体" w:cs="宋体" w:eastAsia="宋体"/>
                <w:b w:val="false"/>
                <w:i w:val="false"/>
                <w:sz w:val="24"/>
              </w:rPr>
              <w:t>0.00</w:t>
            </w:r>
          </w:p>
        </w:tc>
        <w:tc>
          <w:tcPr>
            <w:hMerge w:val="restart"/>
            <w:vAlign w:val="center"/>
          </w:tcPr>
          <w:tcPr>
            <w:tcW w:type="dxa" w:w="1450"/>
          </w:tcPr>
          <w:p>
            <w:pPr>
              <w:jc w:val="center"/>
            </w:pPr>
            <w:r>
              <w:rPr>
                <w:rFonts w:ascii="宋体" w:hAnsi="宋体" w:cs="宋体" w:eastAsia="宋体"/>
                <w:b w:val="false"/>
                <w:i w:val="false"/>
                <w:sz w:val="24"/>
              </w:rPr>
              <w:t>0.00</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0.00</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2"/>
              </w:rPr>
              <w:t/>
            </w:r>
          </w:p>
        </w:tc>
        <w:tc>
          <w:tcPr>
            <w:vAlign w:val="center"/>
          </w:tcPr>
          <w:tcPr>
            <w:tcW w:type="dxa" w:w="1450"/>
          </w:tcPr>
          <w:p>
            <w:pPr>
              <w:jc w:val="right"/>
            </w:pPr>
            <w:r>
              <w:rPr>
                <w:rFonts w:ascii="宋体" w:hAnsi="宋体" w:cs="宋体" w:eastAsia="宋体"/>
                <w:b w:val="false"/>
                <w:i w:val="false"/>
                <w:sz w:val="22"/>
              </w:rPr>
              <w:t/>
            </w:r>
          </w:p>
        </w:tc>
      </w:tr>
      <w:tr>
        <w:tc>
          <w:tcPr>
            <w:hMerge w:val="restart"/>
            <w:v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left"/>
            </w:pPr>
            <w:r>
              <w:rPr>
                <w:rFonts w:ascii="宋体" w:hAnsi="宋体" w:cs="宋体" w:eastAsia="宋体"/>
                <w:b w:val="false"/>
                <w:i w:val="false"/>
                <w:sz w:val="24"/>
              </w:rPr>
              <w:t>③地方财政资金</w:t>
            </w:r>
          </w:p>
        </w:tc>
        <w:tc>
          <w:tcPr>
            <w:hMerge w:val="continue"/>
            <w:vAlign w:val="center"/>
          </w:tcPr>
          <w:tcPr>
            <w:tcW w:type="dxa" w:w="1450"/>
          </w:tcPr>
          <w:p>
            <w:pPr>
              <w:jc w:val="left"/>
            </w:pPr>
            <w:r>
              <w:rPr>
                <w:rFonts w:ascii="宋体" w:hAnsi="宋体" w:cs="宋体" w:eastAsia="宋体"/>
                <w:b w:val="false"/>
                <w:i w:val="false"/>
                <w:sz w:val="24"/>
              </w:rPr>
              <w:t/>
            </w:r>
          </w:p>
        </w:tc>
        <w:tc>
          <w:tcPr>
            <w:vAlign w:val="center"/>
          </w:tcPr>
          <w:tcPr>
            <w:tcW w:type="dxa" w:w="1450"/>
          </w:tcPr>
          <w:p>
            <w:pPr>
              <w:jc w:val="center"/>
            </w:pPr>
            <w:r>
              <w:rPr>
                <w:rFonts w:ascii="宋体" w:hAnsi="宋体" w:cs="宋体" w:eastAsia="宋体"/>
                <w:b w:val="false"/>
                <w:i w:val="false"/>
                <w:sz w:val="24"/>
              </w:rPr>
              <w:t>1433.67</w:t>
            </w:r>
          </w:p>
        </w:tc>
        <w:tc>
          <w:tcPr>
            <w:vAlign w:val="center"/>
          </w:tcPr>
          <w:tcPr>
            <w:tcW w:type="dxa" w:w="1450"/>
          </w:tcPr>
          <w:p>
            <w:pPr>
              <w:jc w:val="right"/>
            </w:pPr>
            <w:r>
              <w:rPr>
                <w:rFonts w:ascii="宋体" w:hAnsi="宋体" w:cs="宋体" w:eastAsia="宋体"/>
                <w:b w:val="false"/>
                <w:i w:val="false"/>
                <w:sz w:val="24"/>
              </w:rPr>
              <w:t>3033.59</w:t>
            </w:r>
          </w:p>
        </w:tc>
        <w:tc>
          <w:tcPr>
            <w:vAlign w:val="center"/>
          </w:tcPr>
          <w:tcPr>
            <w:tcW w:type="dxa" w:w="1450"/>
          </w:tcPr>
          <w:p>
            <w:pPr>
              <w:jc w:val="right"/>
            </w:pPr>
            <w:r>
              <w:rPr>
                <w:rFonts w:ascii="宋体" w:hAnsi="宋体" w:cs="宋体" w:eastAsia="宋体"/>
                <w:b w:val="false"/>
                <w:i w:val="false"/>
                <w:sz w:val="24"/>
              </w:rPr>
              <w:t>4467.26</w:t>
            </w:r>
          </w:p>
        </w:tc>
        <w:tc>
          <w:tcPr>
            <w:vAlign w:val="center"/>
          </w:tcPr>
          <w:tcPr>
            <w:tcW w:type="dxa" w:w="1450"/>
          </w:tcPr>
          <w:p>
            <w:pPr>
              <w:jc w:val="center"/>
            </w:pPr>
            <w:r>
              <w:rPr>
                <w:rFonts w:ascii="宋体" w:hAnsi="宋体" w:cs="宋体" w:eastAsia="宋体"/>
                <w:b w:val="false"/>
                <w:i w:val="false"/>
                <w:sz w:val="24"/>
              </w:rPr>
              <w:t>3680.75</w:t>
            </w:r>
          </w:p>
        </w:tc>
        <w:tc>
          <w:tcPr>
            <w:vAlign w:val="center"/>
          </w:tcPr>
          <w:tcPr>
            <w:tcW w:type="dxa" w:w="1450"/>
          </w:tcPr>
          <w:p>
            <w:pPr>
              <w:jc w:val="center"/>
            </w:pPr>
            <w:r>
              <w:rPr>
                <w:rFonts w:ascii="宋体" w:hAnsi="宋体" w:cs="宋体" w:eastAsia="宋体"/>
                <w:b w:val="false"/>
                <w:i w:val="false"/>
                <w:sz w:val="24"/>
              </w:rPr>
              <w:t>82.39</w:t>
            </w:r>
          </w:p>
        </w:tc>
        <w:tc>
          <w:tcPr>
            <w:hMerge w:val="restart"/>
            <w:vAlign w:val="center"/>
          </w:tcPr>
          <w:tcPr>
            <w:tcW w:type="dxa" w:w="1450"/>
          </w:tcPr>
          <w:p>
            <w:pPr>
              <w:jc w:val="center"/>
            </w:pPr>
            <w:r>
              <w:rPr>
                <w:rFonts w:ascii="宋体" w:hAnsi="宋体" w:cs="宋体" w:eastAsia="宋体"/>
                <w:b w:val="false"/>
                <w:i w:val="false"/>
                <w:sz w:val="24"/>
              </w:rPr>
              <w:t>786.51</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17.6100</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2"/>
              </w:rPr>
              <w:t/>
            </w:r>
          </w:p>
        </w:tc>
        <w:tc>
          <w:tcPr>
            <w:vAlign w:val="center"/>
          </w:tcPr>
          <w:tcPr>
            <w:tcW w:type="dxa" w:w="1450"/>
          </w:tcPr>
          <w:p>
            <w:pPr>
              <w:jc w:val="right"/>
            </w:pPr>
            <w:r>
              <w:rPr>
                <w:rFonts w:ascii="宋体" w:hAnsi="宋体" w:cs="宋体" w:eastAsia="宋体"/>
                <w:b w:val="false"/>
                <w:i w:val="false"/>
                <w:sz w:val="22"/>
              </w:rPr>
              <w:t/>
            </w:r>
          </w:p>
        </w:tc>
      </w:tr>
      <w:tr>
        <w:tc>
          <w:tcPr>
            <w:hMerge w:val="restart"/>
            <w:v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其他资金小计</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center"/>
            </w:pPr>
            <w:r>
              <w:rPr>
                <w:rFonts w:ascii="宋体" w:hAnsi="宋体" w:cs="宋体" w:eastAsia="宋体"/>
                <w:b w:val="false"/>
                <w:i w:val="false"/>
                <w:sz w:val="24"/>
              </w:rPr>
              <w:t>0.00</w:t>
            </w:r>
          </w:p>
        </w:tc>
        <w:tc>
          <w:tcPr>
            <w:vAlign w:val="center"/>
          </w:tcPr>
          <w:tcPr>
            <w:tcW w:type="dxa" w:w="1450"/>
          </w:tcPr>
          <w:p>
            <w:pPr>
              <w:jc w:val="right"/>
            </w:pPr>
            <w:r>
              <w:rPr>
                <w:rFonts w:ascii="宋体" w:hAnsi="宋体" w:cs="宋体" w:eastAsia="宋体"/>
                <w:b w:val="false"/>
                <w:i w:val="false"/>
                <w:sz w:val="24"/>
              </w:rPr>
              <w:t>0.00</w:t>
            </w:r>
          </w:p>
        </w:tc>
        <w:tc>
          <w:tcPr>
            <w:vAlign w:val="center"/>
          </w:tcPr>
          <w:tcPr>
            <w:tcW w:type="dxa" w:w="1450"/>
          </w:tcPr>
          <w:p>
            <w:pPr>
              <w:jc w:val="right"/>
            </w:pPr>
            <w:r>
              <w:rPr>
                <w:rFonts w:ascii="宋体" w:hAnsi="宋体" w:cs="宋体" w:eastAsia="宋体"/>
                <w:b w:val="false"/>
                <w:i w:val="false"/>
                <w:sz w:val="24"/>
              </w:rPr>
              <w:t>0.00</w:t>
            </w:r>
          </w:p>
        </w:tc>
        <w:tc>
          <w:tcPr>
            <w:vAlign w:val="center"/>
          </w:tcPr>
          <w:tcPr>
            <w:tcW w:type="dxa" w:w="1450"/>
          </w:tcPr>
          <w:p>
            <w:pPr>
              <w:jc w:val="center"/>
            </w:pPr>
            <w:r>
              <w:rPr>
                <w:rFonts w:ascii="宋体" w:hAnsi="宋体" w:cs="宋体" w:eastAsia="宋体"/>
                <w:b w:val="false"/>
                <w:i w:val="false"/>
                <w:sz w:val="24"/>
              </w:rPr>
              <w:t>0.00</w:t>
            </w:r>
          </w:p>
        </w:tc>
        <w:tc>
          <w:tcPr>
            <w:vAlign w:val="center"/>
          </w:tcPr>
          <w:tcPr>
            <w:tcW w:type="dxa" w:w="1450"/>
          </w:tcPr>
          <w:p>
            <w:pPr>
              <w:jc w:val="center"/>
            </w:pPr>
            <w:r>
              <w:rPr>
                <w:rFonts w:ascii="宋体" w:hAnsi="宋体" w:cs="宋体" w:eastAsia="宋体"/>
                <w:b w:val="false"/>
                <w:i w:val="false"/>
                <w:sz w:val="24"/>
              </w:rPr>
              <w:t>0.00</w:t>
            </w:r>
          </w:p>
        </w:tc>
        <w:tc>
          <w:tcPr>
            <w:hMerge w:val="restart"/>
            <w:vAlign w:val="center"/>
          </w:tcPr>
          <w:tcPr>
            <w:tcW w:type="dxa" w:w="1450"/>
          </w:tcPr>
          <w:p>
            <w:pPr>
              <w:jc w:val="center"/>
            </w:pPr>
            <w:r>
              <w:rPr>
                <w:rFonts w:ascii="宋体" w:hAnsi="宋体" w:cs="宋体" w:eastAsia="宋体"/>
                <w:b w:val="false"/>
                <w:i w:val="false"/>
                <w:sz w:val="24"/>
              </w:rPr>
              <w:t>0.00</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0.00</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2"/>
              </w:rPr>
              <w:t/>
            </w:r>
          </w:p>
        </w:tc>
        <w:tc>
          <w:tcPr>
            <w:vAlign w:val="center"/>
          </w:tcPr>
          <w:tcPr>
            <w:tcW w:type="dxa" w:w="1450"/>
          </w:tcPr>
          <w:p>
            <w:pPr>
              <w:jc w:val="right"/>
            </w:pPr>
            <w:r>
              <w:rPr>
                <w:rFonts w:ascii="宋体" w:hAnsi="宋体" w:cs="宋体" w:eastAsia="宋体"/>
                <w:b w:val="false"/>
                <w:i w:val="false"/>
                <w:sz w:val="22"/>
              </w:rPr>
              <w:t/>
            </w:r>
          </w:p>
        </w:tc>
      </w:tr>
      <w:tr>
        <w:tc>
          <w:tcPr>
            <w:hMerge w:val="restart"/>
            <w:vMerge w:val="restart"/>
            <w:vAlign w:val="center"/>
          </w:tcPr>
          <w:tcPr>
            <w:tcW w:type="dxa" w:w="1450"/>
          </w:tcPr>
          <w:p>
            <w:pPr>
              <w:jc w:val="center"/>
            </w:pPr>
            <w:r>
              <w:rPr>
                <w:rFonts w:ascii="宋体" w:hAnsi="宋体" w:cs="宋体" w:eastAsia="宋体"/>
                <w:b w:val="false"/>
                <w:i w:val="false"/>
                <w:sz w:val="24"/>
              </w:rPr>
              <w:t>年度总体目标</w:t>
            </w:r>
          </w:p>
        </w:tc>
        <w:tc>
          <w:tcPr>
            <w:hMerge w:val="restart"/>
            <w:vAlign w:val="center"/>
          </w:tcPr>
          <w:tcPr>
            <w:tcW w:type="dxa" w:w="1450"/>
          </w:tcPr>
          <w:p>
            <w:pPr>
              <w:jc w:val="center"/>
            </w:pPr>
            <w:r>
              <w:rPr>
                <w:rFonts w:ascii="宋体" w:hAnsi="宋体" w:cs="宋体" w:eastAsia="宋体"/>
                <w:b w:val="false"/>
                <w:i w:val="false"/>
                <w:sz w:val="24"/>
              </w:rPr>
              <w:t>预期目标</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目标实际完成情况</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以提升森林质量为根本，以重点项目谋划、实施为引擎，以绿色生态建设、林业经济发展等为工作重点环节，坚持依法治林，继续深化林业改革，努力构建森林生态安全体系，全面推进现代林业建设发展。</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以提升森林质量为根本，完成植树造林1.47万亩、森林抚育2.92万亩、封山育林1.43万亩。以重点项目谋划、实施为引擎，以绿色生态建设、林业经济发展等为工作重点环节，坚持依法治林，继续深化林业改革，努力构建森林生态安全体系，全面推进现代林业建设发展。</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restart"/>
            <w:vAlign w:val="center"/>
          </w:tcPr>
          <w:tcPr>
            <w:tcW w:type="dxa" w:w="1450"/>
          </w:tcPr>
          <w:p>
            <w:pPr>
              <w:jc w:val="right"/>
            </w:pPr>
            <w:r>
              <w:rPr>
                <w:rFonts w:ascii="宋体" w:hAnsi="宋体" w:cs="宋体" w:eastAsia="宋体"/>
                <w:b w:val="false"/>
                <w:i w:val="false"/>
                <w:sz w:val="24"/>
              </w:rPr>
              <w:t>绩效
指标</w:t>
            </w:r>
          </w:p>
        </w:tc>
        <w:tc>
          <w:tcPr>
            <w:vAlign w:val="center"/>
          </w:tcPr>
          <w:tcPr>
            <w:tcW w:type="dxa" w:w="1450"/>
          </w:tcPr>
          <w:p>
            <w:pPr>
              <w:jc w:val="right"/>
            </w:pPr>
            <w:r>
              <w:rPr>
                <w:rFonts w:ascii="宋体" w:hAnsi="宋体" w:cs="宋体" w:eastAsia="宋体"/>
                <w:b w:val="false"/>
                <w:i w:val="false"/>
                <w:sz w:val="24"/>
              </w:rPr>
              <w:t>一级指标</w:t>
            </w:r>
          </w:p>
        </w:tc>
        <w:tc>
          <w:tcPr>
            <w:vAlign w:val="center"/>
          </w:tcPr>
          <w:tcPr>
            <w:tcW w:type="dxa" w:w="1450"/>
          </w:tcPr>
          <w:p>
            <w:pPr>
              <w:jc w:val="right"/>
            </w:pPr>
            <w:r>
              <w:rPr>
                <w:rFonts w:ascii="宋体" w:hAnsi="宋体" w:cs="宋体" w:eastAsia="宋体"/>
                <w:b w:val="false"/>
                <w:i w:val="false"/>
                <w:sz w:val="24"/>
              </w:rPr>
              <w:t>二级指标</w:t>
            </w:r>
          </w:p>
        </w:tc>
        <w:tc>
          <w:tcPr>
            <w:hMerge w:val="restart"/>
            <w:vAlign w:val="center"/>
          </w:tcPr>
          <w:tcPr>
            <w:tcW w:type="dxa" w:w="1450"/>
          </w:tcPr>
          <w:p>
            <w:pPr>
              <w:jc w:val="center"/>
            </w:pPr>
            <w:r>
              <w:rPr>
                <w:rFonts w:ascii="宋体" w:hAnsi="宋体" w:cs="宋体" w:eastAsia="宋体"/>
                <w:b w:val="false"/>
                <w:i w:val="false"/>
                <w:sz w:val="24"/>
              </w:rPr>
              <w:t>三级指标</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年度指标值</w:t>
            </w:r>
          </w:p>
        </w:tc>
        <w:tc>
          <w:tcPr>
            <w:hMerge w:val="continue"/>
            <w:vAlign w:val="center"/>
          </w:tcPr>
          <w:tcPr>
            <w:tcW w:type="dxa" w:w="1450"/>
          </w:tcPr>
          <w:p>
            <w:pPr>
              <w:jc w:val="center"/>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实际完成值</w:t>
            </w:r>
          </w:p>
        </w:tc>
        <w:tc>
          <w:tcPr>
            <w:vAlign w:val="center"/>
          </w:tcPr>
          <w:tcPr>
            <w:tcW w:type="dxa" w:w="1450"/>
          </w:tcPr>
          <w:p>
            <w:pPr>
              <w:jc w:val="right"/>
            </w:pPr>
            <w:r>
              <w:rPr>
                <w:rFonts w:ascii="宋体" w:hAnsi="宋体" w:cs="宋体" w:eastAsia="宋体"/>
                <w:b w:val="false"/>
                <w:i w:val="false"/>
                <w:sz w:val="24"/>
              </w:rPr>
              <w:t>指标分值</w:t>
            </w:r>
          </w:p>
        </w:tc>
        <w:tc>
          <w:tcPr>
            <w:vAlign w:val="center"/>
          </w:tcPr>
          <w:tcPr>
            <w:tcW w:type="dxa" w:w="1450"/>
          </w:tcPr>
          <w:p>
            <w:pPr>
              <w:jc w:val="right"/>
            </w:pPr>
            <w:r>
              <w:rPr>
                <w:rFonts w:ascii="宋体" w:hAnsi="宋体" w:cs="宋体" w:eastAsia="宋体"/>
                <w:b w:val="false"/>
                <w:i w:val="false"/>
                <w:sz w:val="24"/>
              </w:rPr>
              <w:t>自评得分</w:t>
            </w:r>
          </w:p>
        </w:tc>
        <w:tc>
          <w:tcPr>
            <w:hMerge w:val="restart"/>
            <w:vAlign w:val="center"/>
          </w:tcPr>
          <w:tcPr>
            <w:tcW w:type="dxa" w:w="1450"/>
          </w:tcPr>
          <w:p>
            <w:pPr>
              <w:jc w:val="center"/>
            </w:pPr>
            <w:r>
              <w:rPr>
                <w:rFonts w:ascii="宋体" w:hAnsi="宋体" w:cs="宋体" w:eastAsia="宋体"/>
                <w:b w:val="false"/>
                <w:i w:val="false"/>
                <w:sz w:val="24"/>
              </w:rPr>
              <w:t>偏差原因分析及改进措施</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continue"/>
            <w:vAlign w:val="center"/>
          </w:tcPr>
          <w:tcPr>
            <w:tcW w:type="dxa" w:w="1450"/>
          </w:tcPr>
          <w:p>
            <w:pPr>
              <w:jc w:val="center"/>
            </w:pPr>
            <w:r>
              <w:rPr>
                <w:rFonts w:ascii="宋体" w:hAnsi="宋体" w:cs="宋体" w:eastAsia="宋体"/>
                <w:b w:val="false"/>
                <w:i w:val="false"/>
                <w:sz w:val="22"/>
              </w:rPr>
              <w:t>绩效
指标</w:t>
            </w:r>
          </w:p>
        </w:tc>
        <w:tc>
          <w:tcPr>
            <w:hMerge w:val="restart"/>
            <w:vMerge w:val="restart"/>
            <w:vAlign w:val="center"/>
          </w:tcPr>
          <w:tcPr>
            <w:tcW w:type="dxa" w:w="1450"/>
          </w:tcPr>
          <w:p>
            <w:pPr>
              <w:jc w:val="right"/>
            </w:pPr>
            <w:r>
              <w:rPr>
                <w:rFonts w:ascii="宋体" w:hAnsi="宋体" w:cs="宋体" w:eastAsia="宋体"/>
                <w:b w:val="false"/>
                <w:i w:val="false"/>
                <w:sz w:val="22"/>
              </w:rPr>
              <w:t>一般性支出情况</w:t>
            </w:r>
          </w:p>
        </w:tc>
        <w:tc>
          <w:tcPr>
            <w:hMerge w:val="restart"/>
            <w:vMerge w:val="restart"/>
            <w:vAlign w:val="center"/>
          </w:tcPr>
          <w:tcPr>
            <w:tcW w:type="dxa" w:w="1450"/>
          </w:tcPr>
          <w:p>
            <w:pPr>
              <w:jc w:val="right"/>
            </w:pPr>
            <w:r>
              <w:rPr>
                <w:rFonts w:ascii="宋体" w:hAnsi="宋体" w:cs="宋体" w:eastAsia="宋体"/>
                <w:b w:val="false"/>
                <w:i w:val="false"/>
                <w:sz w:val="22"/>
              </w:rPr>
              <w:t>一般性支出情况</w:t>
            </w:r>
          </w:p>
        </w:tc>
        <w:tc>
          <w:tcPr>
            <w:hMerge w:val="restart"/>
            <w:vAlign w:val="center"/>
          </w:tcPr>
          <w:tcPr>
            <w:tcW w:type="dxa" w:w="1450"/>
          </w:tcPr>
          <w:p>
            <w:pPr>
              <w:jc w:val="right"/>
            </w:pPr>
            <w:r>
              <w:rPr>
                <w:rFonts w:ascii="宋体" w:hAnsi="宋体" w:cs="宋体" w:eastAsia="宋体"/>
                <w:b w:val="false"/>
                <w:i w:val="false"/>
                <w:sz w:val="22"/>
              </w:rPr>
              <w:t>“三公”经费控制率</w:t>
            </w:r>
          </w:p>
        </w:tc>
        <w:tc>
          <w:tcPr>
            <w:hMerge w:val="continue"/>
            <w:vAlign w:val="center"/>
          </w:tcPr>
          <w:tcPr>
            <w:tcW w:type="dxa" w:w="1450"/>
          </w:tcPr>
          <w:p>
            <w:pPr>
              <w:jc w:val="right"/>
            </w:pPr>
            <w:r>
              <w:rPr>
                <w:rFonts w:ascii="宋体" w:hAnsi="宋体" w:cs="宋体" w:eastAsia="宋体"/>
                <w:b w:val="false"/>
                <w:i w:val="false"/>
                <w:sz w:val="24"/>
              </w:rPr>
              <w:t/>
            </w:r>
          </w:p>
        </w:tc>
        <w:tc>
          <w:tcPr>
            <w:hMerge w:val="restart"/>
            <w:vAlign w:val="center"/>
          </w:tcPr>
          <w:tcPr>
            <w:tcW w:type="dxa" w:w="1450"/>
          </w:tcPr>
          <w:p>
            <w:pPr>
              <w:jc w:val="right"/>
            </w:pPr>
            <w:r>
              <w:rPr>
                <w:rFonts w:ascii="宋体" w:hAnsi="宋体" w:cs="宋体" w:eastAsia="宋体"/>
                <w:b w:val="false"/>
                <w:i w:val="false"/>
                <w:sz w:val="24"/>
              </w:rPr>
              <w:t>≤100%</w:t>
            </w:r>
          </w:p>
        </w:tc>
        <w:tc>
          <w:tcPr>
            <w:hMerge w:val="continue"/>
            <w:vAlign w:val="center"/>
          </w:tcPr>
          <w:tcPr>
            <w:tcW w:type="dxa" w:w="1450"/>
          </w:tcPr>
          <w:p>
            <w:pPr>
              <w:jc w:val="right"/>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100</w:t>
            </w:r>
          </w:p>
        </w:tc>
        <w:tc>
          <w:tcPr>
            <w:vAlign w:val="center"/>
          </w:tcPr>
          <w:tcPr>
            <w:tcW w:type="dxa" w:w="1450"/>
          </w:tcPr>
          <w:p>
            <w:pPr>
              <w:jc w:val="right"/>
            </w:pPr>
            <w:r>
              <w:rPr>
                <w:rFonts w:ascii="宋体" w:hAnsi="宋体" w:cs="宋体" w:eastAsia="宋体"/>
                <w:b w:val="false"/>
                <w:i w:val="false"/>
                <w:sz w:val="24"/>
              </w:rPr>
              <w:t>2</w:t>
            </w:r>
          </w:p>
        </w:tc>
        <w:tc>
          <w:tcPr>
            <w:vAlign w:val="center"/>
          </w:tcPr>
          <w:tcPr>
            <w:tcW w:type="dxa" w:w="1450"/>
          </w:tcPr>
          <w:p>
            <w:pPr>
              <w:jc w:val="right"/>
            </w:pPr>
            <w:r>
              <w:rPr>
                <w:rFonts w:ascii="宋体" w:hAnsi="宋体" w:cs="宋体" w:eastAsia="宋体"/>
                <w:b w:val="false"/>
                <w:i w:val="false"/>
                <w:sz w:val="24"/>
              </w:rPr>
              <w:t>2</w:t>
            </w:r>
          </w:p>
        </w:tc>
        <w:tc>
          <w:tcPr>
            <w:hMerge w:val="restart"/>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continue"/>
            <w:vAlign w:val="center"/>
          </w:tcPr>
          <w:tcPr>
            <w:tcW w:type="dxa" w:w="1450"/>
          </w:tcPr>
          <w:p>
            <w:pPr>
              <w:jc w:val="center"/>
            </w:pPr>
            <w:r>
              <w:rPr>
                <w:rFonts w:ascii="宋体" w:hAnsi="宋体" w:cs="宋体" w:eastAsia="宋体"/>
                <w:b w:val="false"/>
                <w:i w:val="false"/>
                <w:sz w:val="22"/>
              </w:rPr>
              <w:t>绩效
指标</w:t>
            </w:r>
          </w:p>
        </w:tc>
        <w:tc>
          <w:tcPr>
            <w:hMerge w:val="restart"/>
            <w:vMerge w:val="continue"/>
            <w:vAlign w:val="center"/>
          </w:tcPr>
          <w:tcPr>
            <w:tcW w:type="dxa" w:w="1450"/>
          </w:tcPr>
          <w:p>
            <w:pPr>
              <w:jc w:val="right"/>
            </w:pPr>
            <w:r>
              <w:rPr>
                <w:rFonts w:ascii="宋体" w:hAnsi="宋体" w:cs="宋体" w:eastAsia="宋体"/>
                <w:b w:val="false"/>
                <w:i w:val="false"/>
                <w:sz w:val="22"/>
              </w:rPr>
              <w:t>一般性支出情况</w:t>
            </w:r>
          </w:p>
        </w:tc>
        <w:tc>
          <w:tcPr>
            <w:hMerge w:val="restart"/>
            <w:vMerge w:val="continue"/>
            <w:vAlign w:val="center"/>
          </w:tcPr>
          <w:tcPr>
            <w:tcW w:type="dxa" w:w="1450"/>
          </w:tcPr>
          <w:p>
            <w:pPr>
              <w:jc w:val="right"/>
            </w:pPr>
            <w:r>
              <w:rPr>
                <w:rFonts w:ascii="宋体" w:hAnsi="宋体" w:cs="宋体" w:eastAsia="宋体"/>
                <w:b w:val="false"/>
                <w:i w:val="false"/>
                <w:sz w:val="22"/>
              </w:rPr>
              <w:t>一般性支出情况</w:t>
            </w:r>
          </w:p>
        </w:tc>
        <w:tc>
          <w:tcPr>
            <w:hMerge w:val="restart"/>
            <w:vAlign w:val="center"/>
          </w:tcPr>
          <w:tcPr>
            <w:tcW w:type="dxa" w:w="1450"/>
          </w:tcPr>
          <w:p>
            <w:pPr>
              <w:jc w:val="right"/>
            </w:pPr>
            <w:r>
              <w:rPr>
                <w:rFonts w:ascii="宋体" w:hAnsi="宋体" w:cs="宋体" w:eastAsia="宋体"/>
                <w:b w:val="false"/>
                <w:i w:val="false"/>
                <w:sz w:val="22"/>
              </w:rPr>
              <w:t>“三公”经费违规使用次数</w:t>
            </w:r>
          </w:p>
        </w:tc>
        <w:tc>
          <w:tcPr>
            <w:hMerge w:val="continue"/>
            <w:vAlign w:val="center"/>
          </w:tcPr>
          <w:tcPr>
            <w:tcW w:type="dxa" w:w="1450"/>
          </w:tcPr>
          <w:p>
            <w:pPr>
              <w:jc w:val="right"/>
            </w:pPr>
            <w:r>
              <w:rPr>
                <w:rFonts w:ascii="宋体" w:hAnsi="宋体" w:cs="宋体" w:eastAsia="宋体"/>
                <w:b w:val="false"/>
                <w:i w:val="false"/>
                <w:sz w:val="24"/>
              </w:rPr>
              <w:t/>
            </w:r>
          </w:p>
        </w:tc>
        <w:tc>
          <w:tcPr>
            <w:hMerge w:val="restart"/>
            <w:vAlign w:val="center"/>
          </w:tcPr>
          <w:tcPr>
            <w:tcW w:type="dxa" w:w="1450"/>
          </w:tcPr>
          <w:p>
            <w:pPr>
              <w:jc w:val="right"/>
            </w:pPr>
            <w:r>
              <w:rPr>
                <w:rFonts w:ascii="宋体" w:hAnsi="宋体" w:cs="宋体" w:eastAsia="宋体"/>
                <w:b w:val="false"/>
                <w:i w:val="false"/>
                <w:sz w:val="24"/>
              </w:rPr>
              <w:t>≤0次</w:t>
            </w:r>
          </w:p>
        </w:tc>
        <w:tc>
          <w:tcPr>
            <w:hMerge w:val="continue"/>
            <w:vAlign w:val="center"/>
          </w:tcPr>
          <w:tcPr>
            <w:tcW w:type="dxa" w:w="1450"/>
          </w:tcPr>
          <w:p>
            <w:pPr>
              <w:jc w:val="right"/>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0</w:t>
            </w:r>
          </w:p>
        </w:tc>
        <w:tc>
          <w:tcPr>
            <w:vAlign w:val="center"/>
          </w:tcPr>
          <w:tcPr>
            <w:tcW w:type="dxa" w:w="1450"/>
          </w:tcPr>
          <w:p>
            <w:pPr>
              <w:jc w:val="right"/>
            </w:pPr>
            <w:r>
              <w:rPr>
                <w:rFonts w:ascii="宋体" w:hAnsi="宋体" w:cs="宋体" w:eastAsia="宋体"/>
                <w:b w:val="false"/>
                <w:i w:val="false"/>
                <w:sz w:val="24"/>
              </w:rPr>
              <w:t>2</w:t>
            </w:r>
          </w:p>
        </w:tc>
        <w:tc>
          <w:tcPr>
            <w:vAlign w:val="center"/>
          </w:tcPr>
          <w:tcPr>
            <w:tcW w:type="dxa" w:w="1450"/>
          </w:tcPr>
          <w:p>
            <w:pPr>
              <w:jc w:val="right"/>
            </w:pPr>
            <w:r>
              <w:rPr>
                <w:rFonts w:ascii="宋体" w:hAnsi="宋体" w:cs="宋体" w:eastAsia="宋体"/>
                <w:b w:val="false"/>
                <w:i w:val="false"/>
                <w:sz w:val="24"/>
              </w:rPr>
              <w:t>2</w:t>
            </w:r>
          </w:p>
        </w:tc>
        <w:tc>
          <w:tcPr>
            <w:hMerge w:val="restart"/>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continue"/>
            <w:vAlign w:val="center"/>
          </w:tcPr>
          <w:tcPr>
            <w:tcW w:type="dxa" w:w="1450"/>
          </w:tcPr>
          <w:p>
            <w:pPr>
              <w:jc w:val="center"/>
            </w:pPr>
            <w:r>
              <w:rPr>
                <w:rFonts w:ascii="宋体" w:hAnsi="宋体" w:cs="宋体" w:eastAsia="宋体"/>
                <w:b w:val="false"/>
                <w:i w:val="false"/>
                <w:sz w:val="22"/>
              </w:rPr>
              <w:t>绩效
指标</w:t>
            </w:r>
          </w:p>
        </w:tc>
        <w:tc>
          <w:tcPr>
            <w:hMerge w:val="restart"/>
            <w:vMerge w:val="continue"/>
            <w:vAlign w:val="center"/>
          </w:tcPr>
          <w:tcPr>
            <w:tcW w:type="dxa" w:w="1450"/>
          </w:tcPr>
          <w:p>
            <w:pPr>
              <w:jc w:val="right"/>
            </w:pPr>
            <w:r>
              <w:rPr>
                <w:rFonts w:ascii="宋体" w:hAnsi="宋体" w:cs="宋体" w:eastAsia="宋体"/>
                <w:b w:val="false"/>
                <w:i w:val="false"/>
                <w:sz w:val="22"/>
              </w:rPr>
              <w:t>一般性支出情况</w:t>
            </w:r>
          </w:p>
        </w:tc>
        <w:tc>
          <w:tcPr>
            <w:hMerge w:val="restart"/>
            <w:vMerge w:val="continue"/>
            <w:vAlign w:val="center"/>
          </w:tcPr>
          <w:tcPr>
            <w:tcW w:type="dxa" w:w="1450"/>
          </w:tcPr>
          <w:p>
            <w:pPr>
              <w:jc w:val="right"/>
            </w:pPr>
            <w:r>
              <w:rPr>
                <w:rFonts w:ascii="宋体" w:hAnsi="宋体" w:cs="宋体" w:eastAsia="宋体"/>
                <w:b w:val="false"/>
                <w:i w:val="false"/>
                <w:sz w:val="22"/>
              </w:rPr>
              <w:t>一般性支出情况</w:t>
            </w:r>
          </w:p>
        </w:tc>
        <w:tc>
          <w:tcPr>
            <w:hMerge w:val="restart"/>
            <w:vAlign w:val="center"/>
          </w:tcPr>
          <w:tcPr>
            <w:tcW w:type="dxa" w:w="1450"/>
          </w:tcPr>
          <w:p>
            <w:pPr>
              <w:jc w:val="right"/>
            </w:pPr>
            <w:r>
              <w:rPr>
                <w:rFonts w:ascii="宋体" w:hAnsi="宋体" w:cs="宋体" w:eastAsia="宋体"/>
                <w:b w:val="false"/>
                <w:i w:val="false"/>
                <w:sz w:val="22"/>
              </w:rPr>
              <w:t>会议费、差旅费超标准使用次数</w:t>
            </w:r>
          </w:p>
        </w:tc>
        <w:tc>
          <w:tcPr>
            <w:hMerge w:val="continue"/>
            <w:vAlign w:val="center"/>
          </w:tcPr>
          <w:tcPr>
            <w:tcW w:type="dxa" w:w="1450"/>
          </w:tcPr>
          <w:p>
            <w:pPr>
              <w:jc w:val="right"/>
            </w:pPr>
            <w:r>
              <w:rPr>
                <w:rFonts w:ascii="宋体" w:hAnsi="宋体" w:cs="宋体" w:eastAsia="宋体"/>
                <w:b w:val="false"/>
                <w:i w:val="false"/>
                <w:sz w:val="24"/>
              </w:rPr>
              <w:t/>
            </w:r>
          </w:p>
        </w:tc>
        <w:tc>
          <w:tcPr>
            <w:hMerge w:val="restart"/>
            <w:vAlign w:val="center"/>
          </w:tcPr>
          <w:tcPr>
            <w:tcW w:type="dxa" w:w="1450"/>
          </w:tcPr>
          <w:p>
            <w:pPr>
              <w:jc w:val="right"/>
            </w:pPr>
            <w:r>
              <w:rPr>
                <w:rFonts w:ascii="宋体" w:hAnsi="宋体" w:cs="宋体" w:eastAsia="宋体"/>
                <w:b w:val="false"/>
                <w:i w:val="false"/>
                <w:sz w:val="24"/>
              </w:rPr>
              <w:t>≤0次</w:t>
            </w:r>
          </w:p>
        </w:tc>
        <w:tc>
          <w:tcPr>
            <w:hMerge w:val="continue"/>
            <w:vAlign w:val="center"/>
          </w:tcPr>
          <w:tcPr>
            <w:tcW w:type="dxa" w:w="1450"/>
          </w:tcPr>
          <w:p>
            <w:pPr>
              <w:jc w:val="right"/>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0</w:t>
            </w:r>
          </w:p>
        </w:tc>
        <w:tc>
          <w:tcPr>
            <w:vAlign w:val="center"/>
          </w:tcPr>
          <w:tcPr>
            <w:tcW w:type="dxa" w:w="1450"/>
          </w:tcPr>
          <w:p>
            <w:pPr>
              <w:jc w:val="right"/>
            </w:pPr>
            <w:r>
              <w:rPr>
                <w:rFonts w:ascii="宋体" w:hAnsi="宋体" w:cs="宋体" w:eastAsia="宋体"/>
                <w:b w:val="false"/>
                <w:i w:val="false"/>
                <w:sz w:val="24"/>
              </w:rPr>
              <w:t>2</w:t>
            </w:r>
          </w:p>
        </w:tc>
        <w:tc>
          <w:tcPr>
            <w:vAlign w:val="center"/>
          </w:tcPr>
          <w:tcPr>
            <w:tcW w:type="dxa" w:w="1450"/>
          </w:tcPr>
          <w:p>
            <w:pPr>
              <w:jc w:val="right"/>
            </w:pPr>
            <w:r>
              <w:rPr>
                <w:rFonts w:ascii="宋体" w:hAnsi="宋体" w:cs="宋体" w:eastAsia="宋体"/>
                <w:b w:val="false"/>
                <w:i w:val="false"/>
                <w:sz w:val="24"/>
              </w:rPr>
              <w:t>2</w:t>
            </w:r>
          </w:p>
        </w:tc>
        <w:tc>
          <w:tcPr>
            <w:hMerge w:val="restart"/>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continue"/>
            <w:vAlign w:val="center"/>
          </w:tcPr>
          <w:tcPr>
            <w:tcW w:type="dxa" w:w="1450"/>
          </w:tcPr>
          <w:p>
            <w:pPr>
              <w:jc w:val="center"/>
            </w:pPr>
            <w:r>
              <w:rPr>
                <w:rFonts w:ascii="宋体" w:hAnsi="宋体" w:cs="宋体" w:eastAsia="宋体"/>
                <w:b w:val="false"/>
                <w:i w:val="false"/>
                <w:sz w:val="22"/>
              </w:rPr>
              <w:t>绩效
指标</w:t>
            </w:r>
          </w:p>
        </w:tc>
        <w:tc>
          <w:tcPr>
            <w:vAlign w:val="center"/>
          </w:tcPr>
          <w:tcPr>
            <w:tcW w:type="dxa" w:w="1450"/>
          </w:tcPr>
          <w:p>
            <w:pPr>
              <w:jc w:val="right"/>
            </w:pPr>
            <w:r>
              <w:rPr>
                <w:rFonts w:ascii="宋体" w:hAnsi="宋体" w:cs="宋体" w:eastAsia="宋体"/>
                <w:b w:val="false"/>
                <w:i w:val="false"/>
                <w:sz w:val="22"/>
              </w:rPr>
              <w:t>产出指标</w:t>
            </w:r>
          </w:p>
        </w:tc>
        <w:tc>
          <w:tcPr>
            <w:vAlign w:val="center"/>
          </w:tcPr>
          <w:tcPr>
            <w:tcW w:type="dxa" w:w="1450"/>
          </w:tcPr>
          <w:p>
            <w:pPr>
              <w:jc w:val="right"/>
            </w:pPr>
            <w:r>
              <w:rPr>
                <w:rFonts w:ascii="宋体" w:hAnsi="宋体" w:cs="宋体" w:eastAsia="宋体"/>
                <w:b w:val="false"/>
                <w:i w:val="false"/>
                <w:sz w:val="22"/>
              </w:rPr>
              <w:t>质量指标</w:t>
            </w:r>
          </w:p>
        </w:tc>
        <w:tc>
          <w:tcPr>
            <w:hMerge w:val="restart"/>
            <w:vAlign w:val="center"/>
          </w:tcPr>
          <w:tcPr>
            <w:tcW w:type="dxa" w:w="1450"/>
          </w:tcPr>
          <w:p>
            <w:pPr>
              <w:jc w:val="right"/>
            </w:pPr>
            <w:r>
              <w:rPr>
                <w:rFonts w:ascii="宋体" w:hAnsi="宋体" w:cs="宋体" w:eastAsia="宋体"/>
                <w:b w:val="false"/>
                <w:i w:val="false"/>
                <w:sz w:val="22"/>
              </w:rPr>
              <w:t>森林无公害防治率</w:t>
            </w:r>
          </w:p>
        </w:tc>
        <w:tc>
          <w:tcPr>
            <w:hMerge w:val="continue"/>
            <w:vAlign w:val="center"/>
          </w:tcPr>
          <w:tcPr>
            <w:tcW w:type="dxa" w:w="1450"/>
          </w:tcPr>
          <w:p>
            <w:pPr>
              <w:jc w:val="right"/>
            </w:pPr>
            <w:r>
              <w:rPr>
                <w:rFonts w:ascii="宋体" w:hAnsi="宋体" w:cs="宋体" w:eastAsia="宋体"/>
                <w:b w:val="false"/>
                <w:i w:val="false"/>
                <w:sz w:val="24"/>
              </w:rPr>
              <w:t/>
            </w:r>
          </w:p>
        </w:tc>
        <w:tc>
          <w:tcPr>
            <w:hMerge w:val="restart"/>
            <w:vAlign w:val="center"/>
          </w:tcPr>
          <w:tcPr>
            <w:tcW w:type="dxa" w:w="1450"/>
          </w:tcPr>
          <w:p>
            <w:pPr>
              <w:jc w:val="right"/>
            </w:pPr>
            <w:r>
              <w:rPr>
                <w:rFonts w:ascii="宋体" w:hAnsi="宋体" w:cs="宋体" w:eastAsia="宋体"/>
                <w:b w:val="false"/>
                <w:i w:val="false"/>
                <w:sz w:val="24"/>
              </w:rPr>
              <w:t>≥85%</w:t>
            </w:r>
          </w:p>
        </w:tc>
        <w:tc>
          <w:tcPr>
            <w:hMerge w:val="continue"/>
            <w:vAlign w:val="center"/>
          </w:tcPr>
          <w:tcPr>
            <w:tcW w:type="dxa" w:w="1450"/>
          </w:tcPr>
          <w:p>
            <w:pPr>
              <w:jc w:val="right"/>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85</w:t>
            </w:r>
          </w:p>
        </w:tc>
        <w:tc>
          <w:tcPr>
            <w:vAlign w:val="center"/>
          </w:tcPr>
          <w:tcPr>
            <w:tcW w:type="dxa" w:w="1450"/>
          </w:tcPr>
          <w:p>
            <w:pPr>
              <w:jc w:val="right"/>
            </w:pPr>
            <w:r>
              <w:rPr>
                <w:rFonts w:ascii="宋体" w:hAnsi="宋体" w:cs="宋体" w:eastAsia="宋体"/>
                <w:b w:val="false"/>
                <w:i w:val="false"/>
                <w:sz w:val="24"/>
              </w:rPr>
              <w:t>36</w:t>
            </w:r>
          </w:p>
        </w:tc>
        <w:tc>
          <w:tcPr>
            <w:vAlign w:val="center"/>
          </w:tcPr>
          <w:tcPr>
            <w:tcW w:type="dxa" w:w="1450"/>
          </w:tcPr>
          <w:p>
            <w:pPr>
              <w:jc w:val="right"/>
            </w:pPr>
            <w:r>
              <w:rPr>
                <w:rFonts w:ascii="宋体" w:hAnsi="宋体" w:cs="宋体" w:eastAsia="宋体"/>
                <w:b w:val="false"/>
                <w:i w:val="false"/>
                <w:sz w:val="24"/>
              </w:rPr>
              <w:t>36</w:t>
            </w:r>
          </w:p>
        </w:tc>
        <w:tc>
          <w:tcPr>
            <w:hMerge w:val="restart"/>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continue"/>
            <w:vAlign w:val="center"/>
          </w:tcPr>
          <w:tcPr>
            <w:tcW w:type="dxa" w:w="1450"/>
          </w:tcPr>
          <w:p>
            <w:pPr>
              <w:jc w:val="center"/>
            </w:pPr>
            <w:r>
              <w:rPr>
                <w:rFonts w:ascii="宋体" w:hAnsi="宋体" w:cs="宋体" w:eastAsia="宋体"/>
                <w:b w:val="false"/>
                <w:i w:val="false"/>
                <w:sz w:val="22"/>
              </w:rPr>
              <w:t>绩效
指标</w:t>
            </w:r>
          </w:p>
        </w:tc>
        <w:tc>
          <w:tcPr>
            <w:vAlign w:val="center"/>
          </w:tcPr>
          <w:tcPr>
            <w:tcW w:type="dxa" w:w="1450"/>
          </w:tcPr>
          <w:p>
            <w:pPr>
              <w:jc w:val="right"/>
            </w:pPr>
            <w:r>
              <w:rPr>
                <w:rFonts w:ascii="宋体" w:hAnsi="宋体" w:cs="宋体" w:eastAsia="宋体"/>
                <w:b w:val="false"/>
                <w:i w:val="false"/>
                <w:sz w:val="22"/>
              </w:rPr>
              <w:t>成本指标</w:t>
            </w:r>
          </w:p>
        </w:tc>
        <w:tc>
          <w:tcPr>
            <w:vAlign w:val="center"/>
          </w:tcPr>
          <w:tcPr>
            <w:tcW w:type="dxa" w:w="1450"/>
          </w:tcPr>
          <w:p>
            <w:pPr>
              <w:jc w:val="right"/>
            </w:pPr>
            <w:r>
              <w:rPr>
                <w:rFonts w:ascii="宋体" w:hAnsi="宋体" w:cs="宋体" w:eastAsia="宋体"/>
                <w:b w:val="false"/>
                <w:i w:val="false"/>
                <w:sz w:val="22"/>
              </w:rPr>
              <w:t>生态环境成本指标</w:t>
            </w:r>
          </w:p>
        </w:tc>
        <w:tc>
          <w:tcPr>
            <w:hMerge w:val="restart"/>
            <w:vAlign w:val="center"/>
          </w:tcPr>
          <w:tcPr>
            <w:tcW w:type="dxa" w:w="1450"/>
          </w:tcPr>
          <w:p>
            <w:pPr>
              <w:jc w:val="right"/>
            </w:pPr>
            <w:r>
              <w:rPr>
                <w:rFonts w:ascii="宋体" w:hAnsi="宋体" w:cs="宋体" w:eastAsia="宋体"/>
                <w:b w:val="false"/>
                <w:i w:val="false"/>
                <w:sz w:val="22"/>
              </w:rPr>
              <w:t>森林覆盖率</w:t>
            </w:r>
          </w:p>
        </w:tc>
        <w:tc>
          <w:tcPr>
            <w:hMerge w:val="continue"/>
            <w:vAlign w:val="center"/>
          </w:tcPr>
          <w:tcPr>
            <w:tcW w:type="dxa" w:w="1450"/>
          </w:tcPr>
          <w:p>
            <w:pPr>
              <w:jc w:val="right"/>
            </w:pPr>
            <w:r>
              <w:rPr>
                <w:rFonts w:ascii="宋体" w:hAnsi="宋体" w:cs="宋体" w:eastAsia="宋体"/>
                <w:b w:val="false"/>
                <w:i w:val="false"/>
                <w:sz w:val="24"/>
              </w:rPr>
              <w:t/>
            </w:r>
          </w:p>
        </w:tc>
        <w:tc>
          <w:tcPr>
            <w:hMerge w:val="restart"/>
            <w:vAlign w:val="center"/>
          </w:tcPr>
          <w:tcPr>
            <w:tcW w:type="dxa" w:w="1450"/>
          </w:tcPr>
          <w:p>
            <w:pPr>
              <w:jc w:val="right"/>
            </w:pPr>
            <w:r>
              <w:rPr>
                <w:rFonts w:ascii="宋体" w:hAnsi="宋体" w:cs="宋体" w:eastAsia="宋体"/>
                <w:b w:val="false"/>
                <w:i w:val="false"/>
                <w:sz w:val="24"/>
              </w:rPr>
              <w:t>≥100%</w:t>
            </w:r>
          </w:p>
        </w:tc>
        <w:tc>
          <w:tcPr>
            <w:hMerge w:val="continue"/>
            <w:vAlign w:val="center"/>
          </w:tcPr>
          <w:tcPr>
            <w:tcW w:type="dxa" w:w="1450"/>
          </w:tcPr>
          <w:p>
            <w:pPr>
              <w:jc w:val="right"/>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100</w:t>
            </w:r>
          </w:p>
        </w:tc>
        <w:tc>
          <w:tcPr>
            <w:vAlign w:val="center"/>
          </w:tcPr>
          <w:tcPr>
            <w:tcW w:type="dxa" w:w="1450"/>
          </w:tcPr>
          <w:p>
            <w:pPr>
              <w:jc w:val="right"/>
            </w:pPr>
            <w:r>
              <w:rPr>
                <w:rFonts w:ascii="宋体" w:hAnsi="宋体" w:cs="宋体" w:eastAsia="宋体"/>
                <w:b w:val="false"/>
                <w:i w:val="false"/>
                <w:sz w:val="24"/>
              </w:rPr>
              <w:t>8</w:t>
            </w:r>
          </w:p>
        </w:tc>
        <w:tc>
          <w:tcPr>
            <w:vAlign w:val="center"/>
          </w:tcPr>
          <w:tcPr>
            <w:tcW w:type="dxa" w:w="1450"/>
          </w:tcPr>
          <w:p>
            <w:pPr>
              <w:jc w:val="right"/>
            </w:pPr>
            <w:r>
              <w:rPr>
                <w:rFonts w:ascii="宋体" w:hAnsi="宋体" w:cs="宋体" w:eastAsia="宋体"/>
                <w:b w:val="false"/>
                <w:i w:val="false"/>
                <w:sz w:val="24"/>
              </w:rPr>
              <w:t>8</w:t>
            </w:r>
          </w:p>
        </w:tc>
        <w:tc>
          <w:tcPr>
            <w:hMerge w:val="restart"/>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continue"/>
            <w:vAlign w:val="center"/>
          </w:tcPr>
          <w:tcPr>
            <w:tcW w:type="dxa" w:w="1450"/>
          </w:tcPr>
          <w:p>
            <w:pPr>
              <w:jc w:val="center"/>
            </w:pPr>
            <w:r>
              <w:rPr>
                <w:rFonts w:ascii="宋体" w:hAnsi="宋体" w:cs="宋体" w:eastAsia="宋体"/>
                <w:b w:val="false"/>
                <w:i w:val="false"/>
                <w:sz w:val="22"/>
              </w:rPr>
              <w:t>绩效
指标</w:t>
            </w:r>
          </w:p>
        </w:tc>
        <w:tc>
          <w:tcPr>
            <w:hMerge w:val="restart"/>
            <w:vMerge w:val="restart"/>
            <w:vAlign w:val="center"/>
          </w:tcPr>
          <w:tcPr>
            <w:tcW w:type="dxa" w:w="1450"/>
          </w:tcPr>
          <w:p>
            <w:pPr>
              <w:jc w:val="right"/>
            </w:pPr>
            <w:r>
              <w:rPr>
                <w:rFonts w:ascii="宋体" w:hAnsi="宋体" w:cs="宋体" w:eastAsia="宋体"/>
                <w:b w:val="false"/>
                <w:i w:val="false"/>
                <w:sz w:val="22"/>
              </w:rPr>
              <w:t>效益指标</w:t>
            </w:r>
          </w:p>
        </w:tc>
        <w:tc>
          <w:tcPr>
            <w:vAlign w:val="center"/>
          </w:tcPr>
          <w:tcPr>
            <w:tcW w:type="dxa" w:w="1450"/>
          </w:tcPr>
          <w:p>
            <w:pPr>
              <w:jc w:val="right"/>
            </w:pPr>
            <w:r>
              <w:rPr>
                <w:rFonts w:ascii="宋体" w:hAnsi="宋体" w:cs="宋体" w:eastAsia="宋体"/>
                <w:b w:val="false"/>
                <w:i w:val="false"/>
                <w:sz w:val="22"/>
              </w:rPr>
              <w:t>社会效益指标</w:t>
            </w:r>
          </w:p>
        </w:tc>
        <w:tc>
          <w:tcPr>
            <w:hMerge w:val="restart"/>
            <w:vAlign w:val="center"/>
          </w:tcPr>
          <w:tcPr>
            <w:tcW w:type="dxa" w:w="1450"/>
          </w:tcPr>
          <w:p>
            <w:pPr>
              <w:jc w:val="right"/>
            </w:pPr>
            <w:r>
              <w:rPr>
                <w:rFonts w:ascii="宋体" w:hAnsi="宋体" w:cs="宋体" w:eastAsia="宋体"/>
                <w:b w:val="false"/>
                <w:i w:val="false"/>
                <w:sz w:val="22"/>
              </w:rPr>
              <w:t>促进林业产业可持续发展（是否明显）</w:t>
            </w:r>
          </w:p>
        </w:tc>
        <w:tc>
          <w:tcPr>
            <w:hMerge w:val="continue"/>
            <w:vAlign w:val="center"/>
          </w:tcPr>
          <w:tcPr>
            <w:tcW w:type="dxa" w:w="1450"/>
          </w:tcPr>
          <w:p>
            <w:pPr>
              <w:jc w:val="right"/>
            </w:pPr>
            <w:r>
              <w:rPr>
                <w:rFonts w:ascii="宋体" w:hAnsi="宋体" w:cs="宋体" w:eastAsia="宋体"/>
                <w:b w:val="false"/>
                <w:i w:val="false"/>
                <w:sz w:val="24"/>
              </w:rPr>
              <w:t/>
            </w:r>
          </w:p>
        </w:tc>
        <w:tc>
          <w:tcPr>
            <w:hMerge w:val="restart"/>
            <w:vAlign w:val="center"/>
          </w:tcPr>
          <w:tcPr>
            <w:tcW w:type="dxa" w:w="1450"/>
          </w:tcPr>
          <w:p>
            <w:pPr>
              <w:jc w:val="right"/>
            </w:pPr>
            <w:r>
              <w:rPr>
                <w:rFonts w:ascii="宋体" w:hAnsi="宋体" w:cs="宋体" w:eastAsia="宋体"/>
                <w:b w:val="false"/>
                <w:i w:val="false"/>
                <w:sz w:val="24"/>
              </w:rPr>
              <w:t>=有效促进无</w:t>
            </w:r>
          </w:p>
        </w:tc>
        <w:tc>
          <w:tcPr>
            <w:hMerge w:val="continue"/>
            <w:vAlign w:val="center"/>
          </w:tcPr>
          <w:tcPr>
            <w:tcW w:type="dxa" w:w="1450"/>
          </w:tcPr>
          <w:p>
            <w:pPr>
              <w:jc w:val="right"/>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有效促进</w:t>
            </w:r>
          </w:p>
        </w:tc>
        <w:tc>
          <w:tcPr>
            <w:vAlign w:val="center"/>
          </w:tcPr>
          <w:tcPr>
            <w:tcW w:type="dxa" w:w="1450"/>
          </w:tcPr>
          <w:p>
            <w:pPr>
              <w:jc w:val="right"/>
            </w:pPr>
            <w:r>
              <w:rPr>
                <w:rFonts w:ascii="宋体" w:hAnsi="宋体" w:cs="宋体" w:eastAsia="宋体"/>
                <w:b w:val="false"/>
                <w:i w:val="false"/>
                <w:sz w:val="24"/>
              </w:rPr>
              <w:t>10</w:t>
            </w:r>
          </w:p>
        </w:tc>
        <w:tc>
          <w:tcPr>
            <w:vAlign w:val="center"/>
          </w:tcPr>
          <w:tcPr>
            <w:tcW w:type="dxa" w:w="1450"/>
          </w:tcPr>
          <w:p>
            <w:pPr>
              <w:jc w:val="right"/>
            </w:pPr>
            <w:r>
              <w:rPr>
                <w:rFonts w:ascii="宋体" w:hAnsi="宋体" w:cs="宋体" w:eastAsia="宋体"/>
                <w:b w:val="false"/>
                <w:i w:val="false"/>
                <w:sz w:val="24"/>
              </w:rPr>
              <w:t>10</w:t>
            </w:r>
          </w:p>
        </w:tc>
        <w:tc>
          <w:tcPr>
            <w:hMerge w:val="restart"/>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continue"/>
            <w:vAlign w:val="center"/>
          </w:tcPr>
          <w:tcPr>
            <w:tcW w:type="dxa" w:w="1450"/>
          </w:tcPr>
          <w:p>
            <w:pPr>
              <w:jc w:val="center"/>
            </w:pPr>
            <w:r>
              <w:rPr>
                <w:rFonts w:ascii="宋体" w:hAnsi="宋体" w:cs="宋体" w:eastAsia="宋体"/>
                <w:b w:val="false"/>
                <w:i w:val="false"/>
                <w:sz w:val="22"/>
              </w:rPr>
              <w:t>绩效
指标</w:t>
            </w:r>
          </w:p>
        </w:tc>
        <w:tc>
          <w:tcPr>
            <w:hMerge w:val="restart"/>
            <w:vMerge w:val="continue"/>
            <w:vAlign w:val="center"/>
          </w:tcPr>
          <w:tcPr>
            <w:tcW w:type="dxa" w:w="1450"/>
          </w:tcPr>
          <w:p>
            <w:pPr>
              <w:jc w:val="right"/>
            </w:pPr>
            <w:r>
              <w:rPr>
                <w:rFonts w:ascii="宋体" w:hAnsi="宋体" w:cs="宋体" w:eastAsia="宋体"/>
                <w:b w:val="false"/>
                <w:i w:val="false"/>
                <w:sz w:val="22"/>
              </w:rPr>
              <w:t>效益指标</w:t>
            </w:r>
          </w:p>
        </w:tc>
        <w:tc>
          <w:tcPr>
            <w:vAlign w:val="center"/>
          </w:tcPr>
          <w:tcPr>
            <w:tcW w:type="dxa" w:w="1450"/>
          </w:tcPr>
          <w:p>
            <w:pPr>
              <w:jc w:val="right"/>
            </w:pPr>
            <w:r>
              <w:rPr>
                <w:rFonts w:ascii="宋体" w:hAnsi="宋体" w:cs="宋体" w:eastAsia="宋体"/>
                <w:b w:val="false"/>
                <w:i w:val="false"/>
                <w:sz w:val="22"/>
              </w:rPr>
              <w:t>生态效益指标</w:t>
            </w:r>
          </w:p>
        </w:tc>
        <w:tc>
          <w:tcPr>
            <w:hMerge w:val="restart"/>
            <w:vAlign w:val="center"/>
          </w:tcPr>
          <w:tcPr>
            <w:tcW w:type="dxa" w:w="1450"/>
          </w:tcPr>
          <w:p>
            <w:pPr>
              <w:jc w:val="right"/>
            </w:pPr>
            <w:r>
              <w:rPr>
                <w:rFonts w:ascii="宋体" w:hAnsi="宋体" w:cs="宋体" w:eastAsia="宋体"/>
                <w:b w:val="false"/>
                <w:i w:val="false"/>
                <w:sz w:val="22"/>
              </w:rPr>
              <w:t>提升抵御自然灾害的综合防范能力</w:t>
            </w:r>
          </w:p>
        </w:tc>
        <w:tc>
          <w:tcPr>
            <w:hMerge w:val="continue"/>
            <w:vAlign w:val="center"/>
          </w:tcPr>
          <w:tcPr>
            <w:tcW w:type="dxa" w:w="1450"/>
          </w:tcPr>
          <w:p>
            <w:pPr>
              <w:jc w:val="right"/>
            </w:pPr>
            <w:r>
              <w:rPr>
                <w:rFonts w:ascii="宋体" w:hAnsi="宋体" w:cs="宋体" w:eastAsia="宋体"/>
                <w:b w:val="false"/>
                <w:i w:val="false"/>
                <w:sz w:val="24"/>
              </w:rPr>
              <w:t/>
            </w:r>
          </w:p>
        </w:tc>
        <w:tc>
          <w:tcPr>
            <w:hMerge w:val="restart"/>
            <w:vAlign w:val="center"/>
          </w:tcPr>
          <w:tcPr>
            <w:tcW w:type="dxa" w:w="1450"/>
          </w:tcPr>
          <w:p>
            <w:pPr>
              <w:jc w:val="right"/>
            </w:pPr>
            <w:r>
              <w:rPr>
                <w:rFonts w:ascii="宋体" w:hAnsi="宋体" w:cs="宋体" w:eastAsia="宋体"/>
                <w:b w:val="false"/>
                <w:i w:val="false"/>
                <w:sz w:val="24"/>
              </w:rPr>
              <w:t>=有效提升无</w:t>
            </w:r>
          </w:p>
        </w:tc>
        <w:tc>
          <w:tcPr>
            <w:hMerge w:val="continue"/>
            <w:vAlign w:val="center"/>
          </w:tcPr>
          <w:tcPr>
            <w:tcW w:type="dxa" w:w="1450"/>
          </w:tcPr>
          <w:p>
            <w:pPr>
              <w:jc w:val="right"/>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有效提升</w:t>
            </w:r>
          </w:p>
        </w:tc>
        <w:tc>
          <w:tcPr>
            <w:vAlign w:val="center"/>
          </w:tcPr>
          <w:tcPr>
            <w:tcW w:type="dxa" w:w="1450"/>
          </w:tcPr>
          <w:p>
            <w:pPr>
              <w:jc w:val="right"/>
            </w:pPr>
            <w:r>
              <w:rPr>
                <w:rFonts w:ascii="宋体" w:hAnsi="宋体" w:cs="宋体" w:eastAsia="宋体"/>
                <w:b w:val="false"/>
                <w:i w:val="false"/>
                <w:sz w:val="24"/>
              </w:rPr>
              <w:t>20</w:t>
            </w:r>
          </w:p>
        </w:tc>
        <w:tc>
          <w:tcPr>
            <w:vAlign w:val="center"/>
          </w:tcPr>
          <w:tcPr>
            <w:tcW w:type="dxa" w:w="1450"/>
          </w:tcPr>
          <w:p>
            <w:pPr>
              <w:jc w:val="right"/>
            </w:pPr>
            <w:r>
              <w:rPr>
                <w:rFonts w:ascii="宋体" w:hAnsi="宋体" w:cs="宋体" w:eastAsia="宋体"/>
                <w:b w:val="false"/>
                <w:i w:val="false"/>
                <w:sz w:val="24"/>
              </w:rPr>
              <w:t>20</w:t>
            </w:r>
          </w:p>
        </w:tc>
        <w:tc>
          <w:tcPr>
            <w:hMerge w:val="restart"/>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Merge w:val="continue"/>
            <w:vAlign w:val="center"/>
          </w:tcPr>
          <w:tcPr>
            <w:tcW w:type="dxa" w:w="1450"/>
          </w:tcPr>
          <w:p>
            <w:pPr>
              <w:jc w:val="center"/>
            </w:pPr>
            <w:r>
              <w:rPr>
                <w:rFonts w:ascii="宋体" w:hAnsi="宋体" w:cs="宋体" w:eastAsia="宋体"/>
                <w:b w:val="false"/>
                <w:i w:val="false"/>
                <w:sz w:val="22"/>
              </w:rPr>
              <w:t>绩效
指标</w:t>
            </w:r>
          </w:p>
        </w:tc>
        <w:tc>
          <w:tcPr>
            <w:vAlign w:val="center"/>
          </w:tcPr>
          <w:tcPr>
            <w:tcW w:type="dxa" w:w="1450"/>
          </w:tcPr>
          <w:p>
            <w:pPr>
              <w:jc w:val="right"/>
            </w:pPr>
            <w:r>
              <w:rPr>
                <w:rFonts w:ascii="宋体" w:hAnsi="宋体" w:cs="宋体" w:eastAsia="宋体"/>
                <w:b w:val="false"/>
                <w:i w:val="false"/>
                <w:sz w:val="22"/>
              </w:rPr>
              <w:t>满意度指标</w:t>
            </w:r>
          </w:p>
        </w:tc>
        <w:tc>
          <w:tcPr>
            <w:vAlign w:val="center"/>
          </w:tcPr>
          <w:tcPr>
            <w:tcW w:type="dxa" w:w="1450"/>
          </w:tcPr>
          <w:p>
            <w:pPr>
              <w:jc w:val="right"/>
            </w:pPr>
            <w:r>
              <w:rPr>
                <w:rFonts w:ascii="宋体" w:hAnsi="宋体" w:cs="宋体" w:eastAsia="宋体"/>
                <w:b w:val="false"/>
                <w:i w:val="false"/>
                <w:sz w:val="22"/>
              </w:rPr>
              <w:t>服务对象满意度指标</w:t>
            </w:r>
          </w:p>
        </w:tc>
        <w:tc>
          <w:tcPr>
            <w:hMerge w:val="restart"/>
            <w:vAlign w:val="center"/>
          </w:tcPr>
          <w:tcPr>
            <w:tcW w:type="dxa" w:w="1450"/>
          </w:tcPr>
          <w:p>
            <w:pPr>
              <w:jc w:val="right"/>
            </w:pPr>
            <w:r>
              <w:rPr>
                <w:rFonts w:ascii="宋体" w:hAnsi="宋体" w:cs="宋体" w:eastAsia="宋体"/>
                <w:b w:val="false"/>
                <w:i w:val="false"/>
                <w:sz w:val="22"/>
              </w:rPr>
              <w:t>服务对象满意度情况</w:t>
            </w:r>
          </w:p>
        </w:tc>
        <w:tc>
          <w:tcPr>
            <w:hMerge w:val="continue"/>
            <w:vAlign w:val="center"/>
          </w:tcPr>
          <w:tcPr>
            <w:tcW w:type="dxa" w:w="1450"/>
          </w:tcPr>
          <w:p>
            <w:pPr>
              <w:jc w:val="right"/>
            </w:pPr>
            <w:r>
              <w:rPr>
                <w:rFonts w:ascii="宋体" w:hAnsi="宋体" w:cs="宋体" w:eastAsia="宋体"/>
                <w:b w:val="false"/>
                <w:i w:val="false"/>
                <w:sz w:val="24"/>
              </w:rPr>
              <w:t/>
            </w:r>
          </w:p>
        </w:tc>
        <w:tc>
          <w:tcPr>
            <w:hMerge w:val="restart"/>
            <w:vAlign w:val="center"/>
          </w:tcPr>
          <w:tcPr>
            <w:tcW w:type="dxa" w:w="1450"/>
          </w:tcPr>
          <w:p>
            <w:pPr>
              <w:jc w:val="right"/>
            </w:pPr>
            <w:r>
              <w:rPr>
                <w:rFonts w:ascii="宋体" w:hAnsi="宋体" w:cs="宋体" w:eastAsia="宋体"/>
                <w:b w:val="false"/>
                <w:i w:val="false"/>
                <w:sz w:val="24"/>
              </w:rPr>
              <w:t>≥88%</w:t>
            </w:r>
          </w:p>
        </w:tc>
        <w:tc>
          <w:tcPr>
            <w:hMerge w:val="continue"/>
            <w:vAlign w:val="center"/>
          </w:tcPr>
          <w:tcPr>
            <w:tcW w:type="dxa" w:w="1450"/>
          </w:tcPr>
          <w:p>
            <w:pPr>
              <w:jc w:val="right"/>
            </w:pPr>
            <w:r>
              <w:rPr>
                <w:rFonts w:ascii="宋体" w:hAnsi="宋体" w:cs="宋体" w:eastAsia="宋体"/>
                <w:b w:val="false"/>
                <w:i w:val="false"/>
                <w:sz w:val="24"/>
              </w:rPr>
              <w:t/>
            </w:r>
          </w:p>
        </w:tc>
        <w:tc>
          <w:tcPr>
            <w:vAlign w:val="center"/>
          </w:tcPr>
          <w:tcPr>
            <w:tcW w:type="dxa" w:w="1450"/>
          </w:tcPr>
          <w:p>
            <w:pPr>
              <w:jc w:val="right"/>
            </w:pPr>
            <w:r>
              <w:rPr>
                <w:rFonts w:ascii="宋体" w:hAnsi="宋体" w:cs="宋体" w:eastAsia="宋体"/>
                <w:b w:val="false"/>
                <w:i w:val="false"/>
                <w:sz w:val="24"/>
              </w:rPr>
              <w:t>90</w:t>
            </w:r>
          </w:p>
        </w:tc>
        <w:tc>
          <w:tcPr>
            <w:vAlign w:val="center"/>
          </w:tcPr>
          <w:tcPr>
            <w:tcW w:type="dxa" w:w="1450"/>
          </w:tcPr>
          <w:p>
            <w:pPr>
              <w:jc w:val="right"/>
            </w:pPr>
            <w:r>
              <w:rPr>
                <w:rFonts w:ascii="宋体" w:hAnsi="宋体" w:cs="宋体" w:eastAsia="宋体"/>
                <w:b w:val="false"/>
                <w:i w:val="false"/>
                <w:sz w:val="24"/>
              </w:rPr>
              <w:t>10</w:t>
            </w:r>
          </w:p>
        </w:tc>
        <w:tc>
          <w:tcPr>
            <w:vAlign w:val="center"/>
          </w:tcPr>
          <w:tcPr>
            <w:tcW w:type="dxa" w:w="1450"/>
          </w:tcPr>
          <w:p>
            <w:pPr>
              <w:jc w:val="right"/>
            </w:pPr>
            <w:r>
              <w:rPr>
                <w:rFonts w:ascii="宋体" w:hAnsi="宋体" w:cs="宋体" w:eastAsia="宋体"/>
                <w:b w:val="false"/>
                <w:i w:val="false"/>
                <w:sz w:val="24"/>
              </w:rPr>
              <w:t>10</w:t>
            </w:r>
          </w:p>
        </w:tc>
        <w:tc>
          <w:tcPr>
            <w:hMerge w:val="restart"/>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Align w:val="center"/>
          </w:tcPr>
          <w:tcPr>
            <w:tcW w:type="dxa" w:w="1450"/>
          </w:tcPr>
          <w:p>
            <w:pPr>
              <w:jc w:val="center"/>
            </w:pPr>
            <w:r>
              <w:rPr>
                <w:rFonts w:ascii="宋体" w:hAnsi="宋体" w:cs="宋体" w:eastAsia="宋体"/>
                <w:b w:val="false"/>
                <w:i w:val="false"/>
                <w:sz w:val="24"/>
              </w:rPr>
              <w:t>总分值、评价总分 (S)</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100</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r>
        <w:tc>
          <w:tcPr>
            <w:hMerge w:val="restart"/>
            <w:vAlign w:val="center"/>
          </w:tcPr>
          <w:tcPr>
            <w:tcW w:type="dxa" w:w="1450"/>
          </w:tcPr>
          <w:p>
            <w:pPr>
              <w:jc w:val="center"/>
            </w:pPr>
            <w:r>
              <w:rPr>
                <w:rFonts w:ascii="宋体" w:hAnsi="宋体" w:cs="宋体" w:eastAsia="宋体"/>
                <w:b w:val="false"/>
                <w:i w:val="false"/>
                <w:sz w:val="24"/>
              </w:rPr>
              <w:t xml:space="preserve">评价等级 </w:t>
            </w:r>
          </w:p>
        </w:tc>
        <w:tc>
          <w:tcPr>
            <w:hMerge w:val="continue"/>
            <w:vAlign w:val="center"/>
          </w:tcPr>
          <w:tcPr>
            <w:tcW w:type="dxa" w:w="1450"/>
          </w:tcPr>
          <w:p>
            <w:pPr>
              <w:jc w:val="center"/>
            </w:pPr>
            <w:r>
              <w:rPr>
                <w:rFonts w:ascii="宋体" w:hAnsi="宋体" w:cs="宋体" w:eastAsia="宋体"/>
                <w:b w:val="false"/>
                <w:i w:val="false"/>
                <w:sz w:val="24"/>
              </w:rPr>
              <w:t/>
            </w:r>
          </w:p>
        </w:tc>
        <w:tc>
          <w:tcPr>
            <w:hMerge w:val="restart"/>
            <w:vAlign w:val="center"/>
          </w:tcPr>
          <w:tcPr>
            <w:tcW w:type="dxa" w:w="1450"/>
          </w:tcPr>
          <w:p>
            <w:pPr>
              <w:jc w:val="center"/>
            </w:pPr>
            <w:r>
              <w:rPr>
                <w:rFonts w:ascii="宋体" w:hAnsi="宋体" w:cs="宋体" w:eastAsia="宋体"/>
                <w:b w:val="false"/>
                <w:i w:val="false"/>
                <w:sz w:val="24"/>
              </w:rPr>
              <w:t>优（S≧90）</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c>
          <w:tcPr>
            <w:hMerge w:val="continue"/>
            <w:vAlign w:val="center"/>
          </w:tcPr>
          <w:tcPr>
            <w:tcW w:type="dxa" w:w="1450"/>
          </w:tcPr>
          <w:p>
            <w:pPr>
              <w:jc w:val="center"/>
            </w:pPr>
            <w:r>
              <w:rPr>
                <w:rFonts w:ascii="宋体" w:hAnsi="宋体" w:cs="宋体" w:eastAsia="宋体"/>
                <w:b w:val="false"/>
                <w:i w:val="false"/>
                <w:sz w:val="24"/>
              </w:rPr>
              <w:t/>
            </w:r>
          </w:p>
        </w:tc>
      </w:tr>
    </w:tbl>
    <w:p>
      <w:pPr>
        <w:sectPr>
          <w:pgSz w:w="23800" w:h="16840"/>
        </w:sectPr>
      </w:pPr>
      <w:r>
        <w:t/>
      </w:r>
    </w:p>
    <w:sectPr>
      <w:pgSz w:w="11906" w:h="16838"/>
      <w:pgMar w:top="1702" w:right="1800" w:bottom="1843" w:left="1800" w:header="851" w:footer="992" w:gutter="0"/>
      <w:cols w:space="425"/>
      <w:docGrid w:type="lines" w:linePitch="312"/>
    </w:sectPr>
    <w:sectPr>
      <w:pgSz w:w="23800"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type w:val="continuous"/>
      <w:pgSz w:w="11907" w:h="16840"/>
    </w:sectPr>
    <w:sectPr>
      <w:pgSz w:w="23800" w:h="168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黑体"/>
    <w:charset w:val="86"/>
    <w:family w:val="swiss"/>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1186" w14:paraId="3B496E48" w14:textId="77777777">
    <w:pPr>
      <w:pStyle w:val="Foo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B1186" w14:textId="77777777">
                          <w:pPr>
                            <w:pStyle w:val="Footer"/>
                          </w:pPr>
                          <w:r>
                            <w:fldChar w:fldCharType="begin"/>
                          </w:r>
                          <w:r>
                            <w:instrText xml:space="preserve"> PAGE  \* MERGEFORMAT </w:instrText>
                          </w:r>
                          <w:r>
                            <w:fldChar w:fldCharType="separate"/>
                          </w:r>
                          <w:r w:rsidR="00614434">
                            <w:rPr>
                              <w:noProof/>
                            </w:rPr>
                            <w:t>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rsidR="009B1186" w14:paraId="52FF015C" w14:textId="77777777">
                    <w:pPr>
                      <w:pStyle w:val="Footer"/>
                    </w:pPr>
                    <w:r>
                      <w:fldChar w:fldCharType="begin"/>
                    </w:r>
                    <w:r>
                      <w:instrText xml:space="preserve"> PAGE  \* MERGEFORMAT </w:instrText>
                    </w:r>
                    <w:r>
                      <w:fldChar w:fldCharType="separate"/>
                    </w:r>
                    <w:r w:rsidR="00614434">
                      <w:rPr>
                        <w:noProof/>
                      </w:rPr>
                      <w:t>39</w:t>
                    </w:r>
                    <w: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1186" w14:paraId="6A7EA883" w14:textId="77777777">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B1186" w14:paraId="450C866D" w14:textId="7777777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BF56BA8"/>
    <w:multiLevelType w:val="multilevel"/>
    <w:tmpl w:val="6BF56BA8"/>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9A9"/>
    <w:rsid w:val="000002EB"/>
    <w:rsid w:val="00003814"/>
    <w:rsid w:val="00003BD4"/>
    <w:rsid w:val="00004305"/>
    <w:rsid w:val="00004AF2"/>
    <w:rsid w:val="00005269"/>
    <w:rsid w:val="00006FF8"/>
    <w:rsid w:val="00010E91"/>
    <w:rsid w:val="00012647"/>
    <w:rsid w:val="0001371D"/>
    <w:rsid w:val="00015D81"/>
    <w:rsid w:val="0002237B"/>
    <w:rsid w:val="0002351C"/>
    <w:rsid w:val="0002408F"/>
    <w:rsid w:val="0003000E"/>
    <w:rsid w:val="00031284"/>
    <w:rsid w:val="00031D51"/>
    <w:rsid w:val="0003318A"/>
    <w:rsid w:val="00033C13"/>
    <w:rsid w:val="000363B4"/>
    <w:rsid w:val="0003661A"/>
    <w:rsid w:val="00040552"/>
    <w:rsid w:val="00041D78"/>
    <w:rsid w:val="00044344"/>
    <w:rsid w:val="000443EB"/>
    <w:rsid w:val="00051C06"/>
    <w:rsid w:val="00054A24"/>
    <w:rsid w:val="0005559B"/>
    <w:rsid w:val="000578F6"/>
    <w:rsid w:val="000607EE"/>
    <w:rsid w:val="00060CCF"/>
    <w:rsid w:val="00060CF1"/>
    <w:rsid w:val="00062182"/>
    <w:rsid w:val="00062D3C"/>
    <w:rsid w:val="0006495C"/>
    <w:rsid w:val="000663D2"/>
    <w:rsid w:val="000678DB"/>
    <w:rsid w:val="0007041D"/>
    <w:rsid w:val="000730DD"/>
    <w:rsid w:val="0007452D"/>
    <w:rsid w:val="000756DF"/>
    <w:rsid w:val="00076FC9"/>
    <w:rsid w:val="000823DF"/>
    <w:rsid w:val="000824D6"/>
    <w:rsid w:val="0008264D"/>
    <w:rsid w:val="00083616"/>
    <w:rsid w:val="00086558"/>
    <w:rsid w:val="00086874"/>
    <w:rsid w:val="000928BB"/>
    <w:rsid w:val="0009521C"/>
    <w:rsid w:val="0009550D"/>
    <w:rsid w:val="000970F2"/>
    <w:rsid w:val="00097C4E"/>
    <w:rsid w:val="000A071B"/>
    <w:rsid w:val="000A080B"/>
    <w:rsid w:val="000A1974"/>
    <w:rsid w:val="000A24ED"/>
    <w:rsid w:val="000A26DD"/>
    <w:rsid w:val="000A271F"/>
    <w:rsid w:val="000A3350"/>
    <w:rsid w:val="000A71DC"/>
    <w:rsid w:val="000B4D37"/>
    <w:rsid w:val="000B7C75"/>
    <w:rsid w:val="000C2700"/>
    <w:rsid w:val="000C2D26"/>
    <w:rsid w:val="000C409F"/>
    <w:rsid w:val="000C500C"/>
    <w:rsid w:val="000C6B26"/>
    <w:rsid w:val="000C6D91"/>
    <w:rsid w:val="000C788B"/>
    <w:rsid w:val="000D0106"/>
    <w:rsid w:val="000D0412"/>
    <w:rsid w:val="000D0862"/>
    <w:rsid w:val="000D20B5"/>
    <w:rsid w:val="000D2701"/>
    <w:rsid w:val="000D49CB"/>
    <w:rsid w:val="000D50DF"/>
    <w:rsid w:val="000D5BB0"/>
    <w:rsid w:val="000D6743"/>
    <w:rsid w:val="000D7B55"/>
    <w:rsid w:val="000E0654"/>
    <w:rsid w:val="000E0E78"/>
    <w:rsid w:val="000E2E47"/>
    <w:rsid w:val="000E37DD"/>
    <w:rsid w:val="000E431B"/>
    <w:rsid w:val="000E4EC4"/>
    <w:rsid w:val="000E6E19"/>
    <w:rsid w:val="000E7ABB"/>
    <w:rsid w:val="000F1138"/>
    <w:rsid w:val="000F1736"/>
    <w:rsid w:val="000F2073"/>
    <w:rsid w:val="000F3838"/>
    <w:rsid w:val="000F3980"/>
    <w:rsid w:val="000F4344"/>
    <w:rsid w:val="000F4A95"/>
    <w:rsid w:val="000F5B69"/>
    <w:rsid w:val="000F6DE9"/>
    <w:rsid w:val="0010538A"/>
    <w:rsid w:val="001066A0"/>
    <w:rsid w:val="00106D92"/>
    <w:rsid w:val="0010732F"/>
    <w:rsid w:val="001132C4"/>
    <w:rsid w:val="001153BD"/>
    <w:rsid w:val="00117DCF"/>
    <w:rsid w:val="00125798"/>
    <w:rsid w:val="00126446"/>
    <w:rsid w:val="00126933"/>
    <w:rsid w:val="001270F2"/>
    <w:rsid w:val="0012746F"/>
    <w:rsid w:val="00130C91"/>
    <w:rsid w:val="00134856"/>
    <w:rsid w:val="00136E91"/>
    <w:rsid w:val="00137635"/>
    <w:rsid w:val="00140E5D"/>
    <w:rsid w:val="00143590"/>
    <w:rsid w:val="00143C42"/>
    <w:rsid w:val="0014407E"/>
    <w:rsid w:val="0014428D"/>
    <w:rsid w:val="001451EB"/>
    <w:rsid w:val="00145364"/>
    <w:rsid w:val="00145556"/>
    <w:rsid w:val="00145E5D"/>
    <w:rsid w:val="001503C1"/>
    <w:rsid w:val="00151BF9"/>
    <w:rsid w:val="00155284"/>
    <w:rsid w:val="001574B7"/>
    <w:rsid w:val="001604A7"/>
    <w:rsid w:val="00160D1A"/>
    <w:rsid w:val="001618A9"/>
    <w:rsid w:val="001619AA"/>
    <w:rsid w:val="001639B0"/>
    <w:rsid w:val="00163B2F"/>
    <w:rsid w:val="00163CB9"/>
    <w:rsid w:val="0016466A"/>
    <w:rsid w:val="00165990"/>
    <w:rsid w:val="00172FD1"/>
    <w:rsid w:val="00173175"/>
    <w:rsid w:val="001731FE"/>
    <w:rsid w:val="00174B90"/>
    <w:rsid w:val="00175CCD"/>
    <w:rsid w:val="00176F9F"/>
    <w:rsid w:val="001804A7"/>
    <w:rsid w:val="00185940"/>
    <w:rsid w:val="001902C5"/>
    <w:rsid w:val="00191581"/>
    <w:rsid w:val="0019270D"/>
    <w:rsid w:val="00193F98"/>
    <w:rsid w:val="001952F3"/>
    <w:rsid w:val="00197C10"/>
    <w:rsid w:val="001A0FC3"/>
    <w:rsid w:val="001A1F81"/>
    <w:rsid w:val="001A597C"/>
    <w:rsid w:val="001A5C56"/>
    <w:rsid w:val="001A7608"/>
    <w:rsid w:val="001A795B"/>
    <w:rsid w:val="001B0208"/>
    <w:rsid w:val="001B2D14"/>
    <w:rsid w:val="001B3F2C"/>
    <w:rsid w:val="001B72AF"/>
    <w:rsid w:val="001C0F36"/>
    <w:rsid w:val="001C0FCB"/>
    <w:rsid w:val="001C1E76"/>
    <w:rsid w:val="001C2C68"/>
    <w:rsid w:val="001C3492"/>
    <w:rsid w:val="001C4AC4"/>
    <w:rsid w:val="001C588D"/>
    <w:rsid w:val="001C6209"/>
    <w:rsid w:val="001C65E3"/>
    <w:rsid w:val="001C66E9"/>
    <w:rsid w:val="001C6FE1"/>
    <w:rsid w:val="001C71D2"/>
    <w:rsid w:val="001D0228"/>
    <w:rsid w:val="001D084C"/>
    <w:rsid w:val="001D0B88"/>
    <w:rsid w:val="001D0C46"/>
    <w:rsid w:val="001D1EEF"/>
    <w:rsid w:val="001D24E4"/>
    <w:rsid w:val="001D718F"/>
    <w:rsid w:val="001D7A42"/>
    <w:rsid w:val="001E09A7"/>
    <w:rsid w:val="001E15CD"/>
    <w:rsid w:val="001E290E"/>
    <w:rsid w:val="001E4310"/>
    <w:rsid w:val="001E4E23"/>
    <w:rsid w:val="001E5BB4"/>
    <w:rsid w:val="001E7AC6"/>
    <w:rsid w:val="001F0FA9"/>
    <w:rsid w:val="001F1320"/>
    <w:rsid w:val="001F25EF"/>
    <w:rsid w:val="001F2918"/>
    <w:rsid w:val="001F3456"/>
    <w:rsid w:val="001F6302"/>
    <w:rsid w:val="001F7052"/>
    <w:rsid w:val="001F7394"/>
    <w:rsid w:val="0020002D"/>
    <w:rsid w:val="002020D5"/>
    <w:rsid w:val="002037F6"/>
    <w:rsid w:val="00203D25"/>
    <w:rsid w:val="0020428D"/>
    <w:rsid w:val="00205664"/>
    <w:rsid w:val="00210BC4"/>
    <w:rsid w:val="0021126A"/>
    <w:rsid w:val="00211534"/>
    <w:rsid w:val="0021167A"/>
    <w:rsid w:val="00213F0C"/>
    <w:rsid w:val="00214F50"/>
    <w:rsid w:val="00215A7F"/>
    <w:rsid w:val="00220346"/>
    <w:rsid w:val="00220C54"/>
    <w:rsid w:val="00224291"/>
    <w:rsid w:val="00225B90"/>
    <w:rsid w:val="0022630B"/>
    <w:rsid w:val="00226CBA"/>
    <w:rsid w:val="00227BCC"/>
    <w:rsid w:val="0023447B"/>
    <w:rsid w:val="00234E49"/>
    <w:rsid w:val="00236C6A"/>
    <w:rsid w:val="00237C7A"/>
    <w:rsid w:val="00244AA8"/>
    <w:rsid w:val="0024523D"/>
    <w:rsid w:val="002456E7"/>
    <w:rsid w:val="0024643F"/>
    <w:rsid w:val="00246B71"/>
    <w:rsid w:val="00251E38"/>
    <w:rsid w:val="0025239E"/>
    <w:rsid w:val="00252AF4"/>
    <w:rsid w:val="00254A02"/>
    <w:rsid w:val="002557AA"/>
    <w:rsid w:val="00256FDC"/>
    <w:rsid w:val="00260399"/>
    <w:rsid w:val="002650DF"/>
    <w:rsid w:val="002666D3"/>
    <w:rsid w:val="002704A5"/>
    <w:rsid w:val="0027318D"/>
    <w:rsid w:val="00275DA4"/>
    <w:rsid w:val="00276C83"/>
    <w:rsid w:val="00276E58"/>
    <w:rsid w:val="002814CD"/>
    <w:rsid w:val="00284566"/>
    <w:rsid w:val="00285F91"/>
    <w:rsid w:val="00285FF9"/>
    <w:rsid w:val="00290F5C"/>
    <w:rsid w:val="002918D5"/>
    <w:rsid w:val="00294244"/>
    <w:rsid w:val="002948B9"/>
    <w:rsid w:val="00296477"/>
    <w:rsid w:val="00296D02"/>
    <w:rsid w:val="002A0C85"/>
    <w:rsid w:val="002A3CD5"/>
    <w:rsid w:val="002A6303"/>
    <w:rsid w:val="002A679E"/>
    <w:rsid w:val="002B104A"/>
    <w:rsid w:val="002B5B92"/>
    <w:rsid w:val="002B76E8"/>
    <w:rsid w:val="002C09CC"/>
    <w:rsid w:val="002C09CD"/>
    <w:rsid w:val="002C0A76"/>
    <w:rsid w:val="002C1E7E"/>
    <w:rsid w:val="002C53E5"/>
    <w:rsid w:val="002C58EE"/>
    <w:rsid w:val="002C6AB2"/>
    <w:rsid w:val="002D0410"/>
    <w:rsid w:val="002D0965"/>
    <w:rsid w:val="002D203C"/>
    <w:rsid w:val="002D61A4"/>
    <w:rsid w:val="002E0DCF"/>
    <w:rsid w:val="002E0FB6"/>
    <w:rsid w:val="002E0FBF"/>
    <w:rsid w:val="002E1E43"/>
    <w:rsid w:val="002E3A23"/>
    <w:rsid w:val="002E6977"/>
    <w:rsid w:val="002F0702"/>
    <w:rsid w:val="002F1242"/>
    <w:rsid w:val="002F213F"/>
    <w:rsid w:val="002F6092"/>
    <w:rsid w:val="00304E01"/>
    <w:rsid w:val="00306AAB"/>
    <w:rsid w:val="0030773C"/>
    <w:rsid w:val="00310098"/>
    <w:rsid w:val="003127D0"/>
    <w:rsid w:val="00314162"/>
    <w:rsid w:val="00321CA9"/>
    <w:rsid w:val="00324794"/>
    <w:rsid w:val="00325774"/>
    <w:rsid w:val="00330471"/>
    <w:rsid w:val="0033084D"/>
    <w:rsid w:val="00333AB9"/>
    <w:rsid w:val="00333F6A"/>
    <w:rsid w:val="00335596"/>
    <w:rsid w:val="00335F04"/>
    <w:rsid w:val="00337FBA"/>
    <w:rsid w:val="00340EF1"/>
    <w:rsid w:val="00343A49"/>
    <w:rsid w:val="0034417C"/>
    <w:rsid w:val="003456A8"/>
    <w:rsid w:val="00345A13"/>
    <w:rsid w:val="00352232"/>
    <w:rsid w:val="00352FC9"/>
    <w:rsid w:val="00354BE2"/>
    <w:rsid w:val="003559E8"/>
    <w:rsid w:val="003566D7"/>
    <w:rsid w:val="00365780"/>
    <w:rsid w:val="00366824"/>
    <w:rsid w:val="00371BA1"/>
    <w:rsid w:val="00371EC4"/>
    <w:rsid w:val="00374937"/>
    <w:rsid w:val="00377FF0"/>
    <w:rsid w:val="00380D33"/>
    <w:rsid w:val="003811AF"/>
    <w:rsid w:val="003816DD"/>
    <w:rsid w:val="00381D4E"/>
    <w:rsid w:val="00383378"/>
    <w:rsid w:val="00384AD7"/>
    <w:rsid w:val="00385A52"/>
    <w:rsid w:val="00390436"/>
    <w:rsid w:val="0039104D"/>
    <w:rsid w:val="00392B05"/>
    <w:rsid w:val="00392FBE"/>
    <w:rsid w:val="00393189"/>
    <w:rsid w:val="00393968"/>
    <w:rsid w:val="00393DC7"/>
    <w:rsid w:val="00395608"/>
    <w:rsid w:val="0039730B"/>
    <w:rsid w:val="00397A22"/>
    <w:rsid w:val="00397B1D"/>
    <w:rsid w:val="003A01F0"/>
    <w:rsid w:val="003A075C"/>
    <w:rsid w:val="003A21D0"/>
    <w:rsid w:val="003A4B25"/>
    <w:rsid w:val="003B35F7"/>
    <w:rsid w:val="003B3773"/>
    <w:rsid w:val="003B3D55"/>
    <w:rsid w:val="003B6AB2"/>
    <w:rsid w:val="003B74A4"/>
    <w:rsid w:val="003C0C56"/>
    <w:rsid w:val="003C2529"/>
    <w:rsid w:val="003C28CE"/>
    <w:rsid w:val="003C2CF8"/>
    <w:rsid w:val="003C5696"/>
    <w:rsid w:val="003C6215"/>
    <w:rsid w:val="003C658D"/>
    <w:rsid w:val="003C67F9"/>
    <w:rsid w:val="003C7C04"/>
    <w:rsid w:val="003C7E99"/>
    <w:rsid w:val="003D01F1"/>
    <w:rsid w:val="003D121A"/>
    <w:rsid w:val="003D2CC9"/>
    <w:rsid w:val="003D37CD"/>
    <w:rsid w:val="003D53A2"/>
    <w:rsid w:val="003D5BD5"/>
    <w:rsid w:val="003D6C67"/>
    <w:rsid w:val="003D7EB5"/>
    <w:rsid w:val="003E32FC"/>
    <w:rsid w:val="003E3477"/>
    <w:rsid w:val="003E59C4"/>
    <w:rsid w:val="003F088D"/>
    <w:rsid w:val="003F12DA"/>
    <w:rsid w:val="003F3C8D"/>
    <w:rsid w:val="003F76FA"/>
    <w:rsid w:val="00400D48"/>
    <w:rsid w:val="004055E6"/>
    <w:rsid w:val="004109D8"/>
    <w:rsid w:val="00410CA2"/>
    <w:rsid w:val="004110A5"/>
    <w:rsid w:val="00411837"/>
    <w:rsid w:val="004123DD"/>
    <w:rsid w:val="00413168"/>
    <w:rsid w:val="004145C7"/>
    <w:rsid w:val="00416C21"/>
    <w:rsid w:val="004170AC"/>
    <w:rsid w:val="0042188C"/>
    <w:rsid w:val="00425718"/>
    <w:rsid w:val="00427C89"/>
    <w:rsid w:val="004329F6"/>
    <w:rsid w:val="0043384F"/>
    <w:rsid w:val="00435137"/>
    <w:rsid w:val="0044333C"/>
    <w:rsid w:val="004440AE"/>
    <w:rsid w:val="004450BF"/>
    <w:rsid w:val="004461E4"/>
    <w:rsid w:val="004465D1"/>
    <w:rsid w:val="0044741E"/>
    <w:rsid w:val="00447C1D"/>
    <w:rsid w:val="0045069C"/>
    <w:rsid w:val="004506CE"/>
    <w:rsid w:val="004524F7"/>
    <w:rsid w:val="004533B6"/>
    <w:rsid w:val="0045443C"/>
    <w:rsid w:val="00454459"/>
    <w:rsid w:val="004561AD"/>
    <w:rsid w:val="004566DF"/>
    <w:rsid w:val="00456DA7"/>
    <w:rsid w:val="00457F99"/>
    <w:rsid w:val="0046742B"/>
    <w:rsid w:val="00470FA5"/>
    <w:rsid w:val="00473A4E"/>
    <w:rsid w:val="00476477"/>
    <w:rsid w:val="00477DFC"/>
    <w:rsid w:val="00480FE3"/>
    <w:rsid w:val="00481C38"/>
    <w:rsid w:val="004820F2"/>
    <w:rsid w:val="00486387"/>
    <w:rsid w:val="00486887"/>
    <w:rsid w:val="00486E28"/>
    <w:rsid w:val="00491306"/>
    <w:rsid w:val="00491FA9"/>
    <w:rsid w:val="00492DDB"/>
    <w:rsid w:val="00493BE2"/>
    <w:rsid w:val="004947BB"/>
    <w:rsid w:val="00495980"/>
    <w:rsid w:val="00497206"/>
    <w:rsid w:val="004A051E"/>
    <w:rsid w:val="004A05B1"/>
    <w:rsid w:val="004A11EE"/>
    <w:rsid w:val="004A4B46"/>
    <w:rsid w:val="004A55F1"/>
    <w:rsid w:val="004A666D"/>
    <w:rsid w:val="004B2738"/>
    <w:rsid w:val="004B5D92"/>
    <w:rsid w:val="004B71D3"/>
    <w:rsid w:val="004C3B7D"/>
    <w:rsid w:val="004D2353"/>
    <w:rsid w:val="004D7117"/>
    <w:rsid w:val="004E20EB"/>
    <w:rsid w:val="004E257A"/>
    <w:rsid w:val="004E3F87"/>
    <w:rsid w:val="004E42B7"/>
    <w:rsid w:val="004E50A1"/>
    <w:rsid w:val="004E59FA"/>
    <w:rsid w:val="004E5CC3"/>
    <w:rsid w:val="004E6DC5"/>
    <w:rsid w:val="004F0492"/>
    <w:rsid w:val="004F1FFD"/>
    <w:rsid w:val="004F54BD"/>
    <w:rsid w:val="004F60FA"/>
    <w:rsid w:val="004F7830"/>
    <w:rsid w:val="005004C8"/>
    <w:rsid w:val="00500A03"/>
    <w:rsid w:val="00502356"/>
    <w:rsid w:val="005034E9"/>
    <w:rsid w:val="00503B71"/>
    <w:rsid w:val="0050473D"/>
    <w:rsid w:val="00504CA1"/>
    <w:rsid w:val="005078A8"/>
    <w:rsid w:val="005103AE"/>
    <w:rsid w:val="00510E3A"/>
    <w:rsid w:val="00512935"/>
    <w:rsid w:val="00512F63"/>
    <w:rsid w:val="005130FA"/>
    <w:rsid w:val="0051349E"/>
    <w:rsid w:val="00513E37"/>
    <w:rsid w:val="0051562B"/>
    <w:rsid w:val="00516F71"/>
    <w:rsid w:val="00517A50"/>
    <w:rsid w:val="00520C05"/>
    <w:rsid w:val="00522AA0"/>
    <w:rsid w:val="00525101"/>
    <w:rsid w:val="00527816"/>
    <w:rsid w:val="005312A2"/>
    <w:rsid w:val="00534D88"/>
    <w:rsid w:val="00536A04"/>
    <w:rsid w:val="00536BE3"/>
    <w:rsid w:val="0053779A"/>
    <w:rsid w:val="00540498"/>
    <w:rsid w:val="00540990"/>
    <w:rsid w:val="005416B2"/>
    <w:rsid w:val="00544AF9"/>
    <w:rsid w:val="00545B73"/>
    <w:rsid w:val="00545DCE"/>
    <w:rsid w:val="00551698"/>
    <w:rsid w:val="0055540F"/>
    <w:rsid w:val="005635DB"/>
    <w:rsid w:val="005636F9"/>
    <w:rsid w:val="005643B7"/>
    <w:rsid w:val="00564670"/>
    <w:rsid w:val="00566554"/>
    <w:rsid w:val="00566725"/>
    <w:rsid w:val="0056771D"/>
    <w:rsid w:val="0056786F"/>
    <w:rsid w:val="00567C81"/>
    <w:rsid w:val="00571898"/>
    <w:rsid w:val="00572665"/>
    <w:rsid w:val="00575B75"/>
    <w:rsid w:val="005760B7"/>
    <w:rsid w:val="00576FAE"/>
    <w:rsid w:val="0057708E"/>
    <w:rsid w:val="00577200"/>
    <w:rsid w:val="005816BC"/>
    <w:rsid w:val="00583783"/>
    <w:rsid w:val="00585076"/>
    <w:rsid w:val="005874B7"/>
    <w:rsid w:val="00591C75"/>
    <w:rsid w:val="005930AC"/>
    <w:rsid w:val="0059358B"/>
    <w:rsid w:val="00595561"/>
    <w:rsid w:val="00597043"/>
    <w:rsid w:val="005972F2"/>
    <w:rsid w:val="00597C67"/>
    <w:rsid w:val="005A0F4F"/>
    <w:rsid w:val="005A240C"/>
    <w:rsid w:val="005A49A8"/>
    <w:rsid w:val="005A5109"/>
    <w:rsid w:val="005A599F"/>
    <w:rsid w:val="005A7E79"/>
    <w:rsid w:val="005A7F8C"/>
    <w:rsid w:val="005B1A57"/>
    <w:rsid w:val="005B1C9D"/>
    <w:rsid w:val="005B258A"/>
    <w:rsid w:val="005B2A04"/>
    <w:rsid w:val="005B3026"/>
    <w:rsid w:val="005C074B"/>
    <w:rsid w:val="005C2814"/>
    <w:rsid w:val="005C4447"/>
    <w:rsid w:val="005C4BF4"/>
    <w:rsid w:val="005C4F6D"/>
    <w:rsid w:val="005C71D0"/>
    <w:rsid w:val="005C7C75"/>
    <w:rsid w:val="005C7CE0"/>
    <w:rsid w:val="005D13A9"/>
    <w:rsid w:val="005D2C60"/>
    <w:rsid w:val="005D5AD9"/>
    <w:rsid w:val="005D70CB"/>
    <w:rsid w:val="005E09C2"/>
    <w:rsid w:val="005E0D5D"/>
    <w:rsid w:val="005E731E"/>
    <w:rsid w:val="005F1C87"/>
    <w:rsid w:val="005F65AD"/>
    <w:rsid w:val="005F67CC"/>
    <w:rsid w:val="005F6E43"/>
    <w:rsid w:val="005F7B1A"/>
    <w:rsid w:val="00600406"/>
    <w:rsid w:val="00601AA9"/>
    <w:rsid w:val="00610ABD"/>
    <w:rsid w:val="006127CB"/>
    <w:rsid w:val="00614434"/>
    <w:rsid w:val="006147C1"/>
    <w:rsid w:val="00615236"/>
    <w:rsid w:val="00615375"/>
    <w:rsid w:val="0061583B"/>
    <w:rsid w:val="00615858"/>
    <w:rsid w:val="00624EC3"/>
    <w:rsid w:val="0062743C"/>
    <w:rsid w:val="00630904"/>
    <w:rsid w:val="006327CA"/>
    <w:rsid w:val="00632831"/>
    <w:rsid w:val="00632AA0"/>
    <w:rsid w:val="00632F18"/>
    <w:rsid w:val="006344C4"/>
    <w:rsid w:val="006400B7"/>
    <w:rsid w:val="00640632"/>
    <w:rsid w:val="00642AEC"/>
    <w:rsid w:val="0064397E"/>
    <w:rsid w:val="00644184"/>
    <w:rsid w:val="00646029"/>
    <w:rsid w:val="006461CF"/>
    <w:rsid w:val="0065037D"/>
    <w:rsid w:val="00651738"/>
    <w:rsid w:val="00651E12"/>
    <w:rsid w:val="0065296E"/>
    <w:rsid w:val="00653487"/>
    <w:rsid w:val="006558AD"/>
    <w:rsid w:val="00657748"/>
    <w:rsid w:val="006632B7"/>
    <w:rsid w:val="00663A23"/>
    <w:rsid w:val="00667D94"/>
    <w:rsid w:val="00670685"/>
    <w:rsid w:val="0067238F"/>
    <w:rsid w:val="00672E3C"/>
    <w:rsid w:val="00675789"/>
    <w:rsid w:val="00676CF5"/>
    <w:rsid w:val="00681BCB"/>
    <w:rsid w:val="00686092"/>
    <w:rsid w:val="006918DC"/>
    <w:rsid w:val="00691F58"/>
    <w:rsid w:val="00692CA8"/>
    <w:rsid w:val="00694D80"/>
    <w:rsid w:val="00695227"/>
    <w:rsid w:val="0069563F"/>
    <w:rsid w:val="006972FE"/>
    <w:rsid w:val="00697616"/>
    <w:rsid w:val="00697783"/>
    <w:rsid w:val="006A1026"/>
    <w:rsid w:val="006A3BD6"/>
    <w:rsid w:val="006A4D90"/>
    <w:rsid w:val="006A5C36"/>
    <w:rsid w:val="006A5F39"/>
    <w:rsid w:val="006B04F8"/>
    <w:rsid w:val="006B61F4"/>
    <w:rsid w:val="006C0619"/>
    <w:rsid w:val="006C1EB9"/>
    <w:rsid w:val="006C3899"/>
    <w:rsid w:val="006C38EA"/>
    <w:rsid w:val="006C3F9F"/>
    <w:rsid w:val="006C41AE"/>
    <w:rsid w:val="006C5B9A"/>
    <w:rsid w:val="006C64F8"/>
    <w:rsid w:val="006C748F"/>
    <w:rsid w:val="006D0AE0"/>
    <w:rsid w:val="006D0FAB"/>
    <w:rsid w:val="006D69B4"/>
    <w:rsid w:val="006D6AF4"/>
    <w:rsid w:val="006E06C3"/>
    <w:rsid w:val="006E094F"/>
    <w:rsid w:val="006E0DC8"/>
    <w:rsid w:val="006E2D01"/>
    <w:rsid w:val="006F4C4A"/>
    <w:rsid w:val="006F4F8A"/>
    <w:rsid w:val="006F719D"/>
    <w:rsid w:val="00702CA1"/>
    <w:rsid w:val="00707BF0"/>
    <w:rsid w:val="007101BA"/>
    <w:rsid w:val="007118B7"/>
    <w:rsid w:val="007118F7"/>
    <w:rsid w:val="0071469E"/>
    <w:rsid w:val="00714761"/>
    <w:rsid w:val="00714E70"/>
    <w:rsid w:val="00715AB5"/>
    <w:rsid w:val="00720575"/>
    <w:rsid w:val="007208F2"/>
    <w:rsid w:val="00723193"/>
    <w:rsid w:val="00723A80"/>
    <w:rsid w:val="00724C84"/>
    <w:rsid w:val="00725781"/>
    <w:rsid w:val="007310D0"/>
    <w:rsid w:val="00733081"/>
    <w:rsid w:val="00734771"/>
    <w:rsid w:val="00734B25"/>
    <w:rsid w:val="00734E65"/>
    <w:rsid w:val="00737CBC"/>
    <w:rsid w:val="00740732"/>
    <w:rsid w:val="00740946"/>
    <w:rsid w:val="00742B4C"/>
    <w:rsid w:val="007435FF"/>
    <w:rsid w:val="00744361"/>
    <w:rsid w:val="00750446"/>
    <w:rsid w:val="007513D9"/>
    <w:rsid w:val="00754FD7"/>
    <w:rsid w:val="00757905"/>
    <w:rsid w:val="00763F0A"/>
    <w:rsid w:val="00770213"/>
    <w:rsid w:val="00771E33"/>
    <w:rsid w:val="007739AA"/>
    <w:rsid w:val="00774A92"/>
    <w:rsid w:val="0077614A"/>
    <w:rsid w:val="00776C80"/>
    <w:rsid w:val="007777A6"/>
    <w:rsid w:val="0078051D"/>
    <w:rsid w:val="00780AB7"/>
    <w:rsid w:val="00780C90"/>
    <w:rsid w:val="0078103A"/>
    <w:rsid w:val="0078443F"/>
    <w:rsid w:val="007862B0"/>
    <w:rsid w:val="00786421"/>
    <w:rsid w:val="00791C22"/>
    <w:rsid w:val="00792A20"/>
    <w:rsid w:val="007951B3"/>
    <w:rsid w:val="00795E5C"/>
    <w:rsid w:val="0079632B"/>
    <w:rsid w:val="00796EC2"/>
    <w:rsid w:val="007A599F"/>
    <w:rsid w:val="007A5D48"/>
    <w:rsid w:val="007A64DE"/>
    <w:rsid w:val="007A6812"/>
    <w:rsid w:val="007A6FA3"/>
    <w:rsid w:val="007A776B"/>
    <w:rsid w:val="007B05ED"/>
    <w:rsid w:val="007B0B86"/>
    <w:rsid w:val="007B3E3D"/>
    <w:rsid w:val="007B653D"/>
    <w:rsid w:val="007B65EA"/>
    <w:rsid w:val="007B6D34"/>
    <w:rsid w:val="007B70B2"/>
    <w:rsid w:val="007C1352"/>
    <w:rsid w:val="007C3D83"/>
    <w:rsid w:val="007C4014"/>
    <w:rsid w:val="007C4F78"/>
    <w:rsid w:val="007C587F"/>
    <w:rsid w:val="007C5BB6"/>
    <w:rsid w:val="007C61A0"/>
    <w:rsid w:val="007C6E60"/>
    <w:rsid w:val="007C7CD9"/>
    <w:rsid w:val="007D0124"/>
    <w:rsid w:val="007D14BA"/>
    <w:rsid w:val="007D2B1F"/>
    <w:rsid w:val="007D30CA"/>
    <w:rsid w:val="007D3CAA"/>
    <w:rsid w:val="007D60F4"/>
    <w:rsid w:val="007E19CD"/>
    <w:rsid w:val="007E4BD1"/>
    <w:rsid w:val="007F0688"/>
    <w:rsid w:val="007F1BFC"/>
    <w:rsid w:val="007F6670"/>
    <w:rsid w:val="00801752"/>
    <w:rsid w:val="00802AA8"/>
    <w:rsid w:val="0080459B"/>
    <w:rsid w:val="00804C54"/>
    <w:rsid w:val="008108DA"/>
    <w:rsid w:val="008123BA"/>
    <w:rsid w:val="00812434"/>
    <w:rsid w:val="008125E9"/>
    <w:rsid w:val="00813B30"/>
    <w:rsid w:val="0081632D"/>
    <w:rsid w:val="00816FE5"/>
    <w:rsid w:val="00820D9C"/>
    <w:rsid w:val="00823D3F"/>
    <w:rsid w:val="00831D28"/>
    <w:rsid w:val="00832783"/>
    <w:rsid w:val="00836438"/>
    <w:rsid w:val="008367E9"/>
    <w:rsid w:val="008369B4"/>
    <w:rsid w:val="00837268"/>
    <w:rsid w:val="008378DD"/>
    <w:rsid w:val="00840EF9"/>
    <w:rsid w:val="0084241D"/>
    <w:rsid w:val="008431C0"/>
    <w:rsid w:val="00844BF0"/>
    <w:rsid w:val="00847C95"/>
    <w:rsid w:val="00850088"/>
    <w:rsid w:val="0085008E"/>
    <w:rsid w:val="00850DEA"/>
    <w:rsid w:val="008523B3"/>
    <w:rsid w:val="008533BA"/>
    <w:rsid w:val="008553A1"/>
    <w:rsid w:val="00855DE7"/>
    <w:rsid w:val="00856144"/>
    <w:rsid w:val="008570CD"/>
    <w:rsid w:val="00857B1A"/>
    <w:rsid w:val="00857CAF"/>
    <w:rsid w:val="00860E9C"/>
    <w:rsid w:val="008659B3"/>
    <w:rsid w:val="008724DA"/>
    <w:rsid w:val="00874FEB"/>
    <w:rsid w:val="00876EA0"/>
    <w:rsid w:val="0087721A"/>
    <w:rsid w:val="00880127"/>
    <w:rsid w:val="00880311"/>
    <w:rsid w:val="008813DD"/>
    <w:rsid w:val="00881830"/>
    <w:rsid w:val="00883960"/>
    <w:rsid w:val="00883CFD"/>
    <w:rsid w:val="008869F6"/>
    <w:rsid w:val="00890194"/>
    <w:rsid w:val="00891AA8"/>
    <w:rsid w:val="0089210B"/>
    <w:rsid w:val="008932F8"/>
    <w:rsid w:val="0089489A"/>
    <w:rsid w:val="0089563B"/>
    <w:rsid w:val="008A1B96"/>
    <w:rsid w:val="008A5483"/>
    <w:rsid w:val="008A766C"/>
    <w:rsid w:val="008B0691"/>
    <w:rsid w:val="008B55A8"/>
    <w:rsid w:val="008B629D"/>
    <w:rsid w:val="008C46D5"/>
    <w:rsid w:val="008C6723"/>
    <w:rsid w:val="008C700D"/>
    <w:rsid w:val="008D0DA1"/>
    <w:rsid w:val="008D0DBD"/>
    <w:rsid w:val="008D11A1"/>
    <w:rsid w:val="008D14E8"/>
    <w:rsid w:val="008D21B7"/>
    <w:rsid w:val="008D438D"/>
    <w:rsid w:val="008D43DC"/>
    <w:rsid w:val="008D6DB5"/>
    <w:rsid w:val="008D6FB3"/>
    <w:rsid w:val="008E064B"/>
    <w:rsid w:val="008E0CAF"/>
    <w:rsid w:val="008E129B"/>
    <w:rsid w:val="008E1BF5"/>
    <w:rsid w:val="008E3631"/>
    <w:rsid w:val="008E3F66"/>
    <w:rsid w:val="008E4A6A"/>
    <w:rsid w:val="008E5D38"/>
    <w:rsid w:val="008E7D36"/>
    <w:rsid w:val="008F3537"/>
    <w:rsid w:val="008F4160"/>
    <w:rsid w:val="008F4C9C"/>
    <w:rsid w:val="008F5C8E"/>
    <w:rsid w:val="00900B72"/>
    <w:rsid w:val="00900E81"/>
    <w:rsid w:val="009024D6"/>
    <w:rsid w:val="0090398E"/>
    <w:rsid w:val="00905EBE"/>
    <w:rsid w:val="00906152"/>
    <w:rsid w:val="00907B6E"/>
    <w:rsid w:val="0091019B"/>
    <w:rsid w:val="009111D2"/>
    <w:rsid w:val="009122E2"/>
    <w:rsid w:val="00912461"/>
    <w:rsid w:val="00912703"/>
    <w:rsid w:val="009132B2"/>
    <w:rsid w:val="0091361C"/>
    <w:rsid w:val="0091383A"/>
    <w:rsid w:val="009155BC"/>
    <w:rsid w:val="00915D54"/>
    <w:rsid w:val="00916A50"/>
    <w:rsid w:val="00917065"/>
    <w:rsid w:val="00917DF9"/>
    <w:rsid w:val="00923D6F"/>
    <w:rsid w:val="009329C3"/>
    <w:rsid w:val="0093441C"/>
    <w:rsid w:val="00935BC6"/>
    <w:rsid w:val="009434A7"/>
    <w:rsid w:val="009450E6"/>
    <w:rsid w:val="00945DF5"/>
    <w:rsid w:val="00946EDA"/>
    <w:rsid w:val="009531B7"/>
    <w:rsid w:val="00954A8B"/>
    <w:rsid w:val="009621BE"/>
    <w:rsid w:val="00962FCB"/>
    <w:rsid w:val="00963E0F"/>
    <w:rsid w:val="00964D2F"/>
    <w:rsid w:val="00966D58"/>
    <w:rsid w:val="00971BA8"/>
    <w:rsid w:val="0097294A"/>
    <w:rsid w:val="00974415"/>
    <w:rsid w:val="00975446"/>
    <w:rsid w:val="00982A4D"/>
    <w:rsid w:val="00985659"/>
    <w:rsid w:val="00985989"/>
    <w:rsid w:val="009873F8"/>
    <w:rsid w:val="00987E89"/>
    <w:rsid w:val="00991CA4"/>
    <w:rsid w:val="00991F20"/>
    <w:rsid w:val="00993FDB"/>
    <w:rsid w:val="00994C4A"/>
    <w:rsid w:val="00995920"/>
    <w:rsid w:val="009969F7"/>
    <w:rsid w:val="00996E4F"/>
    <w:rsid w:val="009A1427"/>
    <w:rsid w:val="009A17D7"/>
    <w:rsid w:val="009A49D8"/>
    <w:rsid w:val="009A67A1"/>
    <w:rsid w:val="009B046C"/>
    <w:rsid w:val="009B1186"/>
    <w:rsid w:val="009B5538"/>
    <w:rsid w:val="009B566F"/>
    <w:rsid w:val="009B6161"/>
    <w:rsid w:val="009B6F77"/>
    <w:rsid w:val="009B7899"/>
    <w:rsid w:val="009B78B1"/>
    <w:rsid w:val="009B7F43"/>
    <w:rsid w:val="009C024C"/>
    <w:rsid w:val="009C05DD"/>
    <w:rsid w:val="009C25C2"/>
    <w:rsid w:val="009C2980"/>
    <w:rsid w:val="009C38E4"/>
    <w:rsid w:val="009C6BFE"/>
    <w:rsid w:val="009D1065"/>
    <w:rsid w:val="009D4158"/>
    <w:rsid w:val="009D759E"/>
    <w:rsid w:val="009D7B66"/>
    <w:rsid w:val="009E1B4C"/>
    <w:rsid w:val="009E4175"/>
    <w:rsid w:val="009E595D"/>
    <w:rsid w:val="009E5CDC"/>
    <w:rsid w:val="009E5FB2"/>
    <w:rsid w:val="009F1D9A"/>
    <w:rsid w:val="009F2911"/>
    <w:rsid w:val="009F2E56"/>
    <w:rsid w:val="009F485F"/>
    <w:rsid w:val="009F5CB2"/>
    <w:rsid w:val="009F6413"/>
    <w:rsid w:val="009F7714"/>
    <w:rsid w:val="00A01A6F"/>
    <w:rsid w:val="00A01BF7"/>
    <w:rsid w:val="00A0242E"/>
    <w:rsid w:val="00A02EB3"/>
    <w:rsid w:val="00A02F0D"/>
    <w:rsid w:val="00A047A7"/>
    <w:rsid w:val="00A05D4C"/>
    <w:rsid w:val="00A073BD"/>
    <w:rsid w:val="00A108F2"/>
    <w:rsid w:val="00A12755"/>
    <w:rsid w:val="00A15638"/>
    <w:rsid w:val="00A16E2A"/>
    <w:rsid w:val="00A177A9"/>
    <w:rsid w:val="00A2147C"/>
    <w:rsid w:val="00A21881"/>
    <w:rsid w:val="00A23421"/>
    <w:rsid w:val="00A24F2B"/>
    <w:rsid w:val="00A25313"/>
    <w:rsid w:val="00A2540D"/>
    <w:rsid w:val="00A25A41"/>
    <w:rsid w:val="00A268E8"/>
    <w:rsid w:val="00A3332C"/>
    <w:rsid w:val="00A33A9A"/>
    <w:rsid w:val="00A362F6"/>
    <w:rsid w:val="00A36E73"/>
    <w:rsid w:val="00A4466B"/>
    <w:rsid w:val="00A44C34"/>
    <w:rsid w:val="00A468FB"/>
    <w:rsid w:val="00A47F42"/>
    <w:rsid w:val="00A534E2"/>
    <w:rsid w:val="00A537C8"/>
    <w:rsid w:val="00A53B3E"/>
    <w:rsid w:val="00A55D50"/>
    <w:rsid w:val="00A566DD"/>
    <w:rsid w:val="00A56A98"/>
    <w:rsid w:val="00A6235E"/>
    <w:rsid w:val="00A628FF"/>
    <w:rsid w:val="00A62CC7"/>
    <w:rsid w:val="00A63AD9"/>
    <w:rsid w:val="00A64934"/>
    <w:rsid w:val="00A65AE7"/>
    <w:rsid w:val="00A668A3"/>
    <w:rsid w:val="00A66E23"/>
    <w:rsid w:val="00A6724A"/>
    <w:rsid w:val="00A749F1"/>
    <w:rsid w:val="00A760BD"/>
    <w:rsid w:val="00A7675E"/>
    <w:rsid w:val="00A767AB"/>
    <w:rsid w:val="00A81882"/>
    <w:rsid w:val="00A81E9F"/>
    <w:rsid w:val="00A81EA1"/>
    <w:rsid w:val="00A8281B"/>
    <w:rsid w:val="00A82EBC"/>
    <w:rsid w:val="00A835C0"/>
    <w:rsid w:val="00A83CD7"/>
    <w:rsid w:val="00A875DA"/>
    <w:rsid w:val="00A92BD9"/>
    <w:rsid w:val="00A9403F"/>
    <w:rsid w:val="00A95EFF"/>
    <w:rsid w:val="00A96508"/>
    <w:rsid w:val="00A9660E"/>
    <w:rsid w:val="00AA4BD3"/>
    <w:rsid w:val="00AA4FE8"/>
    <w:rsid w:val="00AA51A1"/>
    <w:rsid w:val="00AA60DB"/>
    <w:rsid w:val="00AA6E78"/>
    <w:rsid w:val="00AA7671"/>
    <w:rsid w:val="00AB2B8B"/>
    <w:rsid w:val="00AB4601"/>
    <w:rsid w:val="00AB469B"/>
    <w:rsid w:val="00AB4E93"/>
    <w:rsid w:val="00AB5609"/>
    <w:rsid w:val="00AB57B0"/>
    <w:rsid w:val="00AB6ABE"/>
    <w:rsid w:val="00AB6AFA"/>
    <w:rsid w:val="00AC0195"/>
    <w:rsid w:val="00AC0CDC"/>
    <w:rsid w:val="00AC0E69"/>
    <w:rsid w:val="00AC23FD"/>
    <w:rsid w:val="00AC3F86"/>
    <w:rsid w:val="00AC6A2C"/>
    <w:rsid w:val="00AE22B4"/>
    <w:rsid w:val="00AE31A1"/>
    <w:rsid w:val="00AE33B2"/>
    <w:rsid w:val="00AE3EA3"/>
    <w:rsid w:val="00AE4316"/>
    <w:rsid w:val="00AE5234"/>
    <w:rsid w:val="00AE790D"/>
    <w:rsid w:val="00AF3C55"/>
    <w:rsid w:val="00AF3C6D"/>
    <w:rsid w:val="00AF4673"/>
    <w:rsid w:val="00AF47E3"/>
    <w:rsid w:val="00AF761E"/>
    <w:rsid w:val="00B02F45"/>
    <w:rsid w:val="00B04419"/>
    <w:rsid w:val="00B0766A"/>
    <w:rsid w:val="00B105B8"/>
    <w:rsid w:val="00B11534"/>
    <w:rsid w:val="00B129D1"/>
    <w:rsid w:val="00B1451A"/>
    <w:rsid w:val="00B147FE"/>
    <w:rsid w:val="00B20A00"/>
    <w:rsid w:val="00B20BB4"/>
    <w:rsid w:val="00B20E39"/>
    <w:rsid w:val="00B2349E"/>
    <w:rsid w:val="00B2512C"/>
    <w:rsid w:val="00B26041"/>
    <w:rsid w:val="00B267F0"/>
    <w:rsid w:val="00B26B91"/>
    <w:rsid w:val="00B31FF7"/>
    <w:rsid w:val="00B357F4"/>
    <w:rsid w:val="00B358F6"/>
    <w:rsid w:val="00B369F2"/>
    <w:rsid w:val="00B371E5"/>
    <w:rsid w:val="00B403DC"/>
    <w:rsid w:val="00B404FA"/>
    <w:rsid w:val="00B409A9"/>
    <w:rsid w:val="00B43168"/>
    <w:rsid w:val="00B445C0"/>
    <w:rsid w:val="00B51314"/>
    <w:rsid w:val="00B51484"/>
    <w:rsid w:val="00B536C0"/>
    <w:rsid w:val="00B54BF1"/>
    <w:rsid w:val="00B55CD9"/>
    <w:rsid w:val="00B55EB8"/>
    <w:rsid w:val="00B56BD3"/>
    <w:rsid w:val="00B576BC"/>
    <w:rsid w:val="00B6095C"/>
    <w:rsid w:val="00B61AF5"/>
    <w:rsid w:val="00B636AD"/>
    <w:rsid w:val="00B6459D"/>
    <w:rsid w:val="00B65630"/>
    <w:rsid w:val="00B718C8"/>
    <w:rsid w:val="00B71B48"/>
    <w:rsid w:val="00B7293A"/>
    <w:rsid w:val="00B76DF9"/>
    <w:rsid w:val="00B81917"/>
    <w:rsid w:val="00B81C8E"/>
    <w:rsid w:val="00B82792"/>
    <w:rsid w:val="00B8403D"/>
    <w:rsid w:val="00B862F9"/>
    <w:rsid w:val="00B866D3"/>
    <w:rsid w:val="00B90E86"/>
    <w:rsid w:val="00B949B5"/>
    <w:rsid w:val="00B95B39"/>
    <w:rsid w:val="00B95B98"/>
    <w:rsid w:val="00B96142"/>
    <w:rsid w:val="00B972CF"/>
    <w:rsid w:val="00B9758B"/>
    <w:rsid w:val="00B97F1C"/>
    <w:rsid w:val="00BA089B"/>
    <w:rsid w:val="00BA1792"/>
    <w:rsid w:val="00BA2E1F"/>
    <w:rsid w:val="00BA3A7B"/>
    <w:rsid w:val="00BA47CB"/>
    <w:rsid w:val="00BB0522"/>
    <w:rsid w:val="00BB1941"/>
    <w:rsid w:val="00BB547D"/>
    <w:rsid w:val="00BB7734"/>
    <w:rsid w:val="00BC4CE1"/>
    <w:rsid w:val="00BD0387"/>
    <w:rsid w:val="00BD1672"/>
    <w:rsid w:val="00BD386F"/>
    <w:rsid w:val="00BD45E7"/>
    <w:rsid w:val="00BD596A"/>
    <w:rsid w:val="00BE1EC7"/>
    <w:rsid w:val="00BE21C6"/>
    <w:rsid w:val="00BE574E"/>
    <w:rsid w:val="00BE574F"/>
    <w:rsid w:val="00BE5E8A"/>
    <w:rsid w:val="00BE79F2"/>
    <w:rsid w:val="00BF22F0"/>
    <w:rsid w:val="00BF2814"/>
    <w:rsid w:val="00BF2E2D"/>
    <w:rsid w:val="00BF31D1"/>
    <w:rsid w:val="00BF4BFE"/>
    <w:rsid w:val="00BF59AC"/>
    <w:rsid w:val="00C02975"/>
    <w:rsid w:val="00C04FAC"/>
    <w:rsid w:val="00C059EF"/>
    <w:rsid w:val="00C077E4"/>
    <w:rsid w:val="00C07F1C"/>
    <w:rsid w:val="00C10B41"/>
    <w:rsid w:val="00C116EB"/>
    <w:rsid w:val="00C122CC"/>
    <w:rsid w:val="00C12FB2"/>
    <w:rsid w:val="00C15EBF"/>
    <w:rsid w:val="00C162CF"/>
    <w:rsid w:val="00C16C22"/>
    <w:rsid w:val="00C228D3"/>
    <w:rsid w:val="00C23678"/>
    <w:rsid w:val="00C24AFE"/>
    <w:rsid w:val="00C277AB"/>
    <w:rsid w:val="00C2784D"/>
    <w:rsid w:val="00C30F3C"/>
    <w:rsid w:val="00C33A7E"/>
    <w:rsid w:val="00C348B5"/>
    <w:rsid w:val="00C34CD7"/>
    <w:rsid w:val="00C34FA3"/>
    <w:rsid w:val="00C353A1"/>
    <w:rsid w:val="00C356E4"/>
    <w:rsid w:val="00C35BDE"/>
    <w:rsid w:val="00C37498"/>
    <w:rsid w:val="00C41528"/>
    <w:rsid w:val="00C41B69"/>
    <w:rsid w:val="00C41F85"/>
    <w:rsid w:val="00C43427"/>
    <w:rsid w:val="00C43634"/>
    <w:rsid w:val="00C447FB"/>
    <w:rsid w:val="00C44AA9"/>
    <w:rsid w:val="00C4622D"/>
    <w:rsid w:val="00C5049F"/>
    <w:rsid w:val="00C51199"/>
    <w:rsid w:val="00C53FF7"/>
    <w:rsid w:val="00C54A1E"/>
    <w:rsid w:val="00C54D1B"/>
    <w:rsid w:val="00C571FB"/>
    <w:rsid w:val="00C67428"/>
    <w:rsid w:val="00C67A06"/>
    <w:rsid w:val="00C73374"/>
    <w:rsid w:val="00C74882"/>
    <w:rsid w:val="00C75786"/>
    <w:rsid w:val="00C774D4"/>
    <w:rsid w:val="00C808A4"/>
    <w:rsid w:val="00C811B9"/>
    <w:rsid w:val="00C81499"/>
    <w:rsid w:val="00C81C6F"/>
    <w:rsid w:val="00C82655"/>
    <w:rsid w:val="00C82744"/>
    <w:rsid w:val="00C82ECE"/>
    <w:rsid w:val="00C872FE"/>
    <w:rsid w:val="00C90198"/>
    <w:rsid w:val="00C9081A"/>
    <w:rsid w:val="00C91289"/>
    <w:rsid w:val="00C91C04"/>
    <w:rsid w:val="00C943ED"/>
    <w:rsid w:val="00C9485B"/>
    <w:rsid w:val="00C9568D"/>
    <w:rsid w:val="00C9591E"/>
    <w:rsid w:val="00CA4E3C"/>
    <w:rsid w:val="00CA6677"/>
    <w:rsid w:val="00CB05BB"/>
    <w:rsid w:val="00CB1F7A"/>
    <w:rsid w:val="00CB2191"/>
    <w:rsid w:val="00CB2556"/>
    <w:rsid w:val="00CB46BB"/>
    <w:rsid w:val="00CB4CCF"/>
    <w:rsid w:val="00CB78E6"/>
    <w:rsid w:val="00CB7B18"/>
    <w:rsid w:val="00CC12B4"/>
    <w:rsid w:val="00CC2250"/>
    <w:rsid w:val="00CC3DD5"/>
    <w:rsid w:val="00CC41D4"/>
    <w:rsid w:val="00CC44E4"/>
    <w:rsid w:val="00CC6497"/>
    <w:rsid w:val="00CC6AE4"/>
    <w:rsid w:val="00CD1F5A"/>
    <w:rsid w:val="00CD26E1"/>
    <w:rsid w:val="00CD2B87"/>
    <w:rsid w:val="00CD35BB"/>
    <w:rsid w:val="00CD3DB6"/>
    <w:rsid w:val="00CD49AD"/>
    <w:rsid w:val="00CD582F"/>
    <w:rsid w:val="00CD6D1D"/>
    <w:rsid w:val="00CE0777"/>
    <w:rsid w:val="00CE2C22"/>
    <w:rsid w:val="00CE5C40"/>
    <w:rsid w:val="00CE5EFD"/>
    <w:rsid w:val="00CE67F3"/>
    <w:rsid w:val="00CF29A0"/>
    <w:rsid w:val="00CF3C9D"/>
    <w:rsid w:val="00CF435A"/>
    <w:rsid w:val="00CF48D2"/>
    <w:rsid w:val="00CF6E9E"/>
    <w:rsid w:val="00CF7055"/>
    <w:rsid w:val="00CF7335"/>
    <w:rsid w:val="00CF7469"/>
    <w:rsid w:val="00D0004C"/>
    <w:rsid w:val="00D006C8"/>
    <w:rsid w:val="00D0143C"/>
    <w:rsid w:val="00D02B71"/>
    <w:rsid w:val="00D05877"/>
    <w:rsid w:val="00D06C50"/>
    <w:rsid w:val="00D11199"/>
    <w:rsid w:val="00D113FF"/>
    <w:rsid w:val="00D13DC9"/>
    <w:rsid w:val="00D13F70"/>
    <w:rsid w:val="00D14A01"/>
    <w:rsid w:val="00D14F24"/>
    <w:rsid w:val="00D15BF0"/>
    <w:rsid w:val="00D21D70"/>
    <w:rsid w:val="00D22B75"/>
    <w:rsid w:val="00D23663"/>
    <w:rsid w:val="00D240DD"/>
    <w:rsid w:val="00D257AD"/>
    <w:rsid w:val="00D25A72"/>
    <w:rsid w:val="00D2722F"/>
    <w:rsid w:val="00D278FE"/>
    <w:rsid w:val="00D304F7"/>
    <w:rsid w:val="00D30635"/>
    <w:rsid w:val="00D31359"/>
    <w:rsid w:val="00D3337B"/>
    <w:rsid w:val="00D36AA6"/>
    <w:rsid w:val="00D37C51"/>
    <w:rsid w:val="00D404E8"/>
    <w:rsid w:val="00D406A4"/>
    <w:rsid w:val="00D4083B"/>
    <w:rsid w:val="00D41BBB"/>
    <w:rsid w:val="00D426E9"/>
    <w:rsid w:val="00D4331D"/>
    <w:rsid w:val="00D46391"/>
    <w:rsid w:val="00D46DEF"/>
    <w:rsid w:val="00D5005D"/>
    <w:rsid w:val="00D502CB"/>
    <w:rsid w:val="00D52987"/>
    <w:rsid w:val="00D52F5C"/>
    <w:rsid w:val="00D52FA0"/>
    <w:rsid w:val="00D54F37"/>
    <w:rsid w:val="00D55833"/>
    <w:rsid w:val="00D565E7"/>
    <w:rsid w:val="00D56E90"/>
    <w:rsid w:val="00D57CF7"/>
    <w:rsid w:val="00D64A65"/>
    <w:rsid w:val="00D67537"/>
    <w:rsid w:val="00D70118"/>
    <w:rsid w:val="00D70501"/>
    <w:rsid w:val="00D71BCE"/>
    <w:rsid w:val="00D72872"/>
    <w:rsid w:val="00D74882"/>
    <w:rsid w:val="00D74F0D"/>
    <w:rsid w:val="00D759BF"/>
    <w:rsid w:val="00D80127"/>
    <w:rsid w:val="00D80397"/>
    <w:rsid w:val="00D80452"/>
    <w:rsid w:val="00D82B5C"/>
    <w:rsid w:val="00D84DB0"/>
    <w:rsid w:val="00D91B86"/>
    <w:rsid w:val="00D9366B"/>
    <w:rsid w:val="00D9471A"/>
    <w:rsid w:val="00D94E30"/>
    <w:rsid w:val="00D950FA"/>
    <w:rsid w:val="00D96091"/>
    <w:rsid w:val="00DA6CE6"/>
    <w:rsid w:val="00DA759D"/>
    <w:rsid w:val="00DB136D"/>
    <w:rsid w:val="00DB2EE7"/>
    <w:rsid w:val="00DB365F"/>
    <w:rsid w:val="00DB5B45"/>
    <w:rsid w:val="00DB6DB5"/>
    <w:rsid w:val="00DB7099"/>
    <w:rsid w:val="00DC012A"/>
    <w:rsid w:val="00DC3A28"/>
    <w:rsid w:val="00DC4359"/>
    <w:rsid w:val="00DC47E4"/>
    <w:rsid w:val="00DC6EDC"/>
    <w:rsid w:val="00DC7FA9"/>
    <w:rsid w:val="00DD04B5"/>
    <w:rsid w:val="00DD2B05"/>
    <w:rsid w:val="00DD64A0"/>
    <w:rsid w:val="00DE1C12"/>
    <w:rsid w:val="00DE2E2B"/>
    <w:rsid w:val="00DE76AF"/>
    <w:rsid w:val="00DE76F0"/>
    <w:rsid w:val="00DF1F45"/>
    <w:rsid w:val="00DF6B0F"/>
    <w:rsid w:val="00DF7DF9"/>
    <w:rsid w:val="00DF7EDD"/>
    <w:rsid w:val="00E00894"/>
    <w:rsid w:val="00E00BD7"/>
    <w:rsid w:val="00E0279B"/>
    <w:rsid w:val="00E03928"/>
    <w:rsid w:val="00E06BFC"/>
    <w:rsid w:val="00E104EE"/>
    <w:rsid w:val="00E1059D"/>
    <w:rsid w:val="00E117D6"/>
    <w:rsid w:val="00E118BF"/>
    <w:rsid w:val="00E12581"/>
    <w:rsid w:val="00E128E1"/>
    <w:rsid w:val="00E12ABF"/>
    <w:rsid w:val="00E15E01"/>
    <w:rsid w:val="00E22941"/>
    <w:rsid w:val="00E24EB7"/>
    <w:rsid w:val="00E26458"/>
    <w:rsid w:val="00E26BCE"/>
    <w:rsid w:val="00E310A4"/>
    <w:rsid w:val="00E325B5"/>
    <w:rsid w:val="00E34A99"/>
    <w:rsid w:val="00E360B9"/>
    <w:rsid w:val="00E36E24"/>
    <w:rsid w:val="00E454E4"/>
    <w:rsid w:val="00E45D7E"/>
    <w:rsid w:val="00E46093"/>
    <w:rsid w:val="00E47C61"/>
    <w:rsid w:val="00E517B0"/>
    <w:rsid w:val="00E55030"/>
    <w:rsid w:val="00E55044"/>
    <w:rsid w:val="00E55812"/>
    <w:rsid w:val="00E55DEF"/>
    <w:rsid w:val="00E55EBC"/>
    <w:rsid w:val="00E61A2D"/>
    <w:rsid w:val="00E61B46"/>
    <w:rsid w:val="00E61EE1"/>
    <w:rsid w:val="00E63B08"/>
    <w:rsid w:val="00E66B2D"/>
    <w:rsid w:val="00E704ED"/>
    <w:rsid w:val="00E70C9D"/>
    <w:rsid w:val="00E72B10"/>
    <w:rsid w:val="00E75C5A"/>
    <w:rsid w:val="00E77A69"/>
    <w:rsid w:val="00E81683"/>
    <w:rsid w:val="00E8306D"/>
    <w:rsid w:val="00E844AB"/>
    <w:rsid w:val="00E855AE"/>
    <w:rsid w:val="00E85E93"/>
    <w:rsid w:val="00E860C9"/>
    <w:rsid w:val="00E861E2"/>
    <w:rsid w:val="00E86B82"/>
    <w:rsid w:val="00E90370"/>
    <w:rsid w:val="00E91691"/>
    <w:rsid w:val="00E933DB"/>
    <w:rsid w:val="00E94C02"/>
    <w:rsid w:val="00E9665B"/>
    <w:rsid w:val="00E967D8"/>
    <w:rsid w:val="00EA085E"/>
    <w:rsid w:val="00EA1671"/>
    <w:rsid w:val="00EA194B"/>
    <w:rsid w:val="00EA3B76"/>
    <w:rsid w:val="00EA50C7"/>
    <w:rsid w:val="00EA74E2"/>
    <w:rsid w:val="00EB7CD1"/>
    <w:rsid w:val="00EC16E4"/>
    <w:rsid w:val="00EC2255"/>
    <w:rsid w:val="00EC43B5"/>
    <w:rsid w:val="00ED0139"/>
    <w:rsid w:val="00ED0835"/>
    <w:rsid w:val="00ED22FC"/>
    <w:rsid w:val="00ED5830"/>
    <w:rsid w:val="00ED6422"/>
    <w:rsid w:val="00ED6730"/>
    <w:rsid w:val="00ED711A"/>
    <w:rsid w:val="00EE0883"/>
    <w:rsid w:val="00EE11DB"/>
    <w:rsid w:val="00EE1713"/>
    <w:rsid w:val="00EE47D7"/>
    <w:rsid w:val="00EE5E11"/>
    <w:rsid w:val="00EF015F"/>
    <w:rsid w:val="00EF1A66"/>
    <w:rsid w:val="00EF225C"/>
    <w:rsid w:val="00EF51E4"/>
    <w:rsid w:val="00EF6242"/>
    <w:rsid w:val="00EF6775"/>
    <w:rsid w:val="00EF7C13"/>
    <w:rsid w:val="00F01815"/>
    <w:rsid w:val="00F02059"/>
    <w:rsid w:val="00F0475C"/>
    <w:rsid w:val="00F05FB8"/>
    <w:rsid w:val="00F071A6"/>
    <w:rsid w:val="00F104F2"/>
    <w:rsid w:val="00F10A22"/>
    <w:rsid w:val="00F13559"/>
    <w:rsid w:val="00F14B17"/>
    <w:rsid w:val="00F2039D"/>
    <w:rsid w:val="00F21219"/>
    <w:rsid w:val="00F2287F"/>
    <w:rsid w:val="00F24C62"/>
    <w:rsid w:val="00F24D2B"/>
    <w:rsid w:val="00F26985"/>
    <w:rsid w:val="00F305B7"/>
    <w:rsid w:val="00F30FD0"/>
    <w:rsid w:val="00F32130"/>
    <w:rsid w:val="00F32DD0"/>
    <w:rsid w:val="00F44DF0"/>
    <w:rsid w:val="00F45721"/>
    <w:rsid w:val="00F460C3"/>
    <w:rsid w:val="00F46DD6"/>
    <w:rsid w:val="00F50CF6"/>
    <w:rsid w:val="00F50FF4"/>
    <w:rsid w:val="00F51A01"/>
    <w:rsid w:val="00F5201C"/>
    <w:rsid w:val="00F527F2"/>
    <w:rsid w:val="00F5308A"/>
    <w:rsid w:val="00F531DE"/>
    <w:rsid w:val="00F535CF"/>
    <w:rsid w:val="00F5517B"/>
    <w:rsid w:val="00F55DBB"/>
    <w:rsid w:val="00F57BA9"/>
    <w:rsid w:val="00F60A6E"/>
    <w:rsid w:val="00F62BCF"/>
    <w:rsid w:val="00F6375C"/>
    <w:rsid w:val="00F63B5C"/>
    <w:rsid w:val="00F64C51"/>
    <w:rsid w:val="00F6598D"/>
    <w:rsid w:val="00F67DAC"/>
    <w:rsid w:val="00F74790"/>
    <w:rsid w:val="00F84CED"/>
    <w:rsid w:val="00F859C8"/>
    <w:rsid w:val="00F86C1E"/>
    <w:rsid w:val="00F912DD"/>
    <w:rsid w:val="00F94EA4"/>
    <w:rsid w:val="00F94F52"/>
    <w:rsid w:val="00F970A1"/>
    <w:rsid w:val="00FA020A"/>
    <w:rsid w:val="00FA11EB"/>
    <w:rsid w:val="00FA2EEC"/>
    <w:rsid w:val="00FA33CD"/>
    <w:rsid w:val="00FA7E9F"/>
    <w:rsid w:val="00FB2475"/>
    <w:rsid w:val="00FB25DB"/>
    <w:rsid w:val="00FB4399"/>
    <w:rsid w:val="00FB5FA2"/>
    <w:rsid w:val="00FB68B5"/>
    <w:rsid w:val="00FB707A"/>
    <w:rsid w:val="00FB7B17"/>
    <w:rsid w:val="00FC4AE2"/>
    <w:rsid w:val="00FC59E5"/>
    <w:rsid w:val="00FC5B51"/>
    <w:rsid w:val="00FC79EC"/>
    <w:rsid w:val="00FD0BDA"/>
    <w:rsid w:val="00FD1512"/>
    <w:rsid w:val="00FD34E1"/>
    <w:rsid w:val="00FD3CD1"/>
    <w:rsid w:val="00FD485D"/>
    <w:rsid w:val="00FD55F9"/>
    <w:rsid w:val="00FD56CA"/>
    <w:rsid w:val="00FD7EBD"/>
    <w:rsid w:val="00FE06AD"/>
    <w:rsid w:val="00FE14A7"/>
    <w:rsid w:val="00FE41C7"/>
    <w:rsid w:val="00FE4DAD"/>
    <w:rsid w:val="00FE788F"/>
    <w:rsid w:val="00FE7ACA"/>
    <w:rsid w:val="00FF003C"/>
    <w:rsid w:val="00FF279A"/>
    <w:rsid w:val="00FF639B"/>
    <w:rsid w:val="02497D3B"/>
    <w:rsid w:val="02AC7AF7"/>
    <w:rsid w:val="03F87FAD"/>
    <w:rsid w:val="07C1012A"/>
    <w:rsid w:val="07F91CA9"/>
    <w:rsid w:val="09070E31"/>
    <w:rsid w:val="093A79A6"/>
    <w:rsid w:val="09D27E0F"/>
    <w:rsid w:val="0B882231"/>
    <w:rsid w:val="0BF67D7A"/>
    <w:rsid w:val="0C1142E6"/>
    <w:rsid w:val="0FB80F4E"/>
    <w:rsid w:val="10F675E7"/>
    <w:rsid w:val="128D30E7"/>
    <w:rsid w:val="1363234D"/>
    <w:rsid w:val="15437366"/>
    <w:rsid w:val="15A703A2"/>
    <w:rsid w:val="1A505FDB"/>
    <w:rsid w:val="1B185A0B"/>
    <w:rsid w:val="1B6B1A13"/>
    <w:rsid w:val="1D1803ED"/>
    <w:rsid w:val="1FD32F10"/>
    <w:rsid w:val="2022029E"/>
    <w:rsid w:val="217C392D"/>
    <w:rsid w:val="27162D62"/>
    <w:rsid w:val="29171D44"/>
    <w:rsid w:val="2A6D4DAB"/>
    <w:rsid w:val="2C9D1721"/>
    <w:rsid w:val="2CC11A6D"/>
    <w:rsid w:val="2DC77A6D"/>
    <w:rsid w:val="2EE81319"/>
    <w:rsid w:val="2FF3270A"/>
    <w:rsid w:val="307D2FCF"/>
    <w:rsid w:val="32DA370D"/>
    <w:rsid w:val="336C5A75"/>
    <w:rsid w:val="341B0E90"/>
    <w:rsid w:val="344F0F52"/>
    <w:rsid w:val="34542802"/>
    <w:rsid w:val="34E374C4"/>
    <w:rsid w:val="35ED756B"/>
    <w:rsid w:val="37735EDE"/>
    <w:rsid w:val="38451032"/>
    <w:rsid w:val="3A9E15B6"/>
    <w:rsid w:val="3B0878C2"/>
    <w:rsid w:val="3B1708AE"/>
    <w:rsid w:val="3C0C3417"/>
    <w:rsid w:val="3E7C3D56"/>
    <w:rsid w:val="400D605F"/>
    <w:rsid w:val="40C839CD"/>
    <w:rsid w:val="40C86F7A"/>
    <w:rsid w:val="410127AD"/>
    <w:rsid w:val="42A94D50"/>
    <w:rsid w:val="449B41DA"/>
    <w:rsid w:val="44E74BAD"/>
    <w:rsid w:val="45BD5C58"/>
    <w:rsid w:val="47347438"/>
    <w:rsid w:val="475A7FF8"/>
    <w:rsid w:val="4AEA1543"/>
    <w:rsid w:val="4B15132F"/>
    <w:rsid w:val="4D335848"/>
    <w:rsid w:val="4E8F765E"/>
    <w:rsid w:val="51D446DA"/>
    <w:rsid w:val="52602E66"/>
    <w:rsid w:val="52C353E3"/>
    <w:rsid w:val="53EE6BC1"/>
    <w:rsid w:val="556A6B1F"/>
    <w:rsid w:val="55AD2140"/>
    <w:rsid w:val="58500354"/>
    <w:rsid w:val="59E52814"/>
    <w:rsid w:val="5A617A5F"/>
    <w:rsid w:val="5EBC30A5"/>
    <w:rsid w:val="5F7B7731"/>
    <w:rsid w:val="63057A83"/>
    <w:rsid w:val="63DB4FE9"/>
    <w:rsid w:val="64DA76C8"/>
    <w:rsid w:val="64F71105"/>
    <w:rsid w:val="6698278F"/>
    <w:rsid w:val="678E47CE"/>
    <w:rsid w:val="682652B6"/>
    <w:rsid w:val="691A77EA"/>
    <w:rsid w:val="69574B58"/>
    <w:rsid w:val="6B376A57"/>
    <w:rsid w:val="6B78445E"/>
    <w:rsid w:val="6C55019B"/>
    <w:rsid w:val="6C775361"/>
    <w:rsid w:val="6C8D7661"/>
    <w:rsid w:val="6CBD3D6E"/>
    <w:rsid w:val="6D4D1AD0"/>
    <w:rsid w:val="6D535F8B"/>
    <w:rsid w:val="6DAE47A5"/>
    <w:rsid w:val="6E667E5D"/>
    <w:rsid w:val="6EBA56CA"/>
    <w:rsid w:val="6FE77068"/>
    <w:rsid w:val="706A51EC"/>
    <w:rsid w:val="711A0B9D"/>
    <w:rsid w:val="72D9285F"/>
    <w:rsid w:val="733E6DC5"/>
    <w:rsid w:val="7377660F"/>
    <w:rsid w:val="7396068C"/>
    <w:rsid w:val="746B0CA1"/>
    <w:rsid w:val="748F5FD5"/>
    <w:rsid w:val="75E17881"/>
    <w:rsid w:val="773010AE"/>
    <w:rsid w:val="78105060"/>
    <w:rsid w:val="797272AE"/>
    <w:rsid w:val="7A494FF1"/>
    <w:rsid w:val="7B102FF4"/>
    <w:rsid w:val="7C0A709A"/>
    <w:rsid w:val="7C490589"/>
    <w:rsid w:val="7C54242B"/>
    <w:rsid w:val="7E0659F1"/>
    <w:rsid w:val="7E633B84"/>
    <w:rsid w:val="7F0C5FC9"/>
    <w:rsid w:val="7F38252A"/>
    <w:rsid w:val="7F567663"/>
  </w:rsids>
  <w:docVars>
    <w:docVar w:name="commondata" w:val="eyJoZGlkIjoiNzkzMTI4N2FmMTY4YTg4N2YxMjIxNzUzNmU5MTQ2NzY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5:docId w15:val="{A19D3470-F9B3-4C5E-91AF-2D7E50432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182"/>
    <w:pPr>
      <w:widowControl w:val="0"/>
      <w:spacing w:line="276" w:lineRule="auto"/>
      <w:jc w:val="both"/>
    </w:pPr>
    <w:rPr>
      <w:rFonts w:asciiTheme="minorHAnsi" w:eastAsiaTheme="minorEastAsia" w:hAnsiTheme="minorHAnsi" w:cstheme="minorBidi"/>
      <w:kern w:val="2"/>
      <w:sz w:val="21"/>
      <w:szCs w:val="22"/>
    </w:rPr>
  </w:style>
  <w:style w:type="paragraph" w:styleId="Heading1">
    <w:name w:val="heading 1"/>
    <w:basedOn w:val="Normal"/>
    <w:next w:val="Normal"/>
    <w:uiPriority w:val="9"/>
    <w:qFormat/>
    <w:pPr>
      <w:keepNext/>
      <w:keepLines/>
      <w:spacing w:before="100" w:after="90" w:line="240" w:lineRule="auto"/>
      <w:jc w:val="center"/>
      <w:outlineLvl w:val="0"/>
    </w:pPr>
    <w:rPr>
      <w:rFonts w:eastAsia="黑体"/>
      <w:b/>
      <w:kern w:val="44"/>
      <w:sz w:val="36"/>
    </w:rPr>
  </w:style>
  <w:style w:type="paragraph" w:styleId="Heading2">
    <w:name w:val="heading 2"/>
    <w:basedOn w:val="Normal"/>
    <w:next w:val="Normal"/>
    <w:link w:val="2"/>
    <w:uiPriority w:val="9"/>
    <w:unhideWhenUsed/>
    <w:qFormat/>
    <w:pPr>
      <w:keepNext/>
      <w:keepLines/>
      <w:spacing w:before="260" w:after="260" w:line="240" w:lineRule="auto"/>
      <w:jc w:val="left"/>
      <w:outlineLvl w:val="1"/>
    </w:pPr>
    <w:rPr>
      <w:rFonts w:ascii="Arial" w:eastAsia="黑体" w:hAnsi="Arial"/>
      <w:sz w:val="32"/>
    </w:rPr>
  </w:style>
  <w:style w:type="paragraph" w:styleId="Heading3">
    <w:name w:val="heading 3"/>
    <w:basedOn w:val="Normal"/>
    <w:next w:val="Normal"/>
    <w:uiPriority w:val="9"/>
    <w:unhideWhenUsed/>
    <w:qFormat/>
    <w:pPr>
      <w:keepNext/>
      <w:keepLines/>
      <w:spacing w:before="260" w:after="260" w:line="240" w:lineRule="auto"/>
      <w:jc w:val="left"/>
      <w:outlineLvl w:val="2"/>
    </w:pPr>
    <w:rPr>
      <w:rFonts w:eastAsia="仿宋"/>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uiPriority w:val="39"/>
    <w:semiHidden/>
    <w:unhideWhenUsed/>
    <w:qFormat/>
    <w:pPr>
      <w:widowControl/>
      <w:spacing w:after="100"/>
      <w:ind w:left="440"/>
      <w:jc w:val="left"/>
    </w:pPr>
    <w:rPr>
      <w:kern w:val="0"/>
      <w:sz w:val="22"/>
    </w:rPr>
  </w:style>
  <w:style w:type="paragraph" w:styleId="BalloonText">
    <w:name w:val="Balloon Text"/>
    <w:basedOn w:val="Normal"/>
    <w:link w:val="a"/>
    <w:uiPriority w:val="99"/>
    <w:semiHidden/>
    <w:unhideWhenUsed/>
    <w:qFormat/>
    <w:pPr>
      <w:spacing w:line="240" w:lineRule="auto"/>
    </w:pPr>
    <w:rPr>
      <w:sz w:val="18"/>
      <w:szCs w:val="18"/>
    </w:rPr>
  </w:style>
  <w:style w:type="paragraph" w:styleId="Footer">
    <w:name w:val="footer"/>
    <w:basedOn w:val="Normal"/>
    <w:link w:val="a1"/>
    <w:uiPriority w:val="99"/>
    <w:unhideWhenUsed/>
    <w:qFormat/>
    <w:pPr>
      <w:tabs>
        <w:tab w:val="center" w:pos="4153"/>
        <w:tab w:val="right" w:pos="8306"/>
      </w:tabs>
      <w:snapToGrid w:val="0"/>
      <w:spacing w:line="240" w:lineRule="auto"/>
      <w:jc w:val="left"/>
    </w:pPr>
    <w:rPr>
      <w:sz w:val="18"/>
      <w:szCs w:val="18"/>
    </w:rPr>
  </w:style>
  <w:style w:type="paragraph" w:styleId="Header">
    <w:name w:val="header"/>
    <w:basedOn w:val="Normal"/>
    <w:link w:val="a0"/>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Normal"/>
    <w:next w:val="Normal"/>
    <w:uiPriority w:val="39"/>
    <w:unhideWhenUsed/>
    <w:qFormat/>
    <w:pPr>
      <w:spacing w:line="240" w:lineRule="auto"/>
    </w:pPr>
  </w:style>
  <w:style w:type="paragraph" w:styleId="TOC2">
    <w:name w:val="toc 2"/>
    <w:basedOn w:val="Normal"/>
    <w:next w:val="Normal"/>
    <w:uiPriority w:val="39"/>
    <w:unhideWhenUsed/>
    <w:qFormat/>
    <w:pPr>
      <w:ind w:left="420" w:leftChars="200"/>
    </w:p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Pr>
      <w:color w:val="0000FF" w:themeColor="hyperlink"/>
      <w:u w:val="single"/>
    </w:rPr>
  </w:style>
  <w:style w:type="paragraph" w:customStyle="1" w:styleId="Default">
    <w:name w:val="Default"/>
    <w:qFormat/>
    <w:pPr>
      <w:widowControl w:val="0"/>
      <w:autoSpaceDE w:val="0"/>
      <w:autoSpaceDN w:val="0"/>
      <w:adjustRightInd w:val="0"/>
    </w:pPr>
    <w:rPr>
      <w:rFonts w:ascii="黑体....." w:eastAsia="黑体....." w:hAnsiTheme="minorHAnsi" w:cs="黑体....."/>
      <w:color w:val="000000"/>
      <w:sz w:val="24"/>
      <w:szCs w:val="24"/>
    </w:rPr>
  </w:style>
  <w:style w:type="paragraph" w:styleId="ListParagraph">
    <w:name w:val="List Paragraph"/>
    <w:basedOn w:val="Normal"/>
    <w:uiPriority w:val="34"/>
    <w:qFormat/>
    <w:pPr>
      <w:ind w:firstLine="420" w:firstLineChars="200"/>
    </w:pPr>
  </w:style>
  <w:style w:type="character" w:customStyle="1" w:styleId="a">
    <w:name w:val="批注框文本 字符"/>
    <w:basedOn w:val="DefaultParagraphFont"/>
    <w:link w:val="BalloonText"/>
    <w:uiPriority w:val="99"/>
    <w:semiHidden/>
    <w:qFormat/>
    <w:rPr>
      <w:sz w:val="18"/>
      <w:szCs w:val="18"/>
    </w:rPr>
  </w:style>
  <w:style w:type="character" w:customStyle="1" w:styleId="a0">
    <w:name w:val="页眉 字符"/>
    <w:basedOn w:val="DefaultParagraphFont"/>
    <w:link w:val="Header"/>
    <w:uiPriority w:val="99"/>
    <w:qFormat/>
    <w:rPr>
      <w:sz w:val="18"/>
      <w:szCs w:val="18"/>
    </w:rPr>
  </w:style>
  <w:style w:type="character" w:customStyle="1" w:styleId="a1">
    <w:name w:val="页脚 字符"/>
    <w:basedOn w:val="DefaultParagraphFont"/>
    <w:link w:val="Footer"/>
    <w:uiPriority w:val="99"/>
    <w:qFormat/>
    <w:rPr>
      <w:sz w:val="18"/>
      <w:szCs w:val="18"/>
    </w:rPr>
  </w:style>
  <w:style w:type="paragraph" w:styleId="NoSpacing">
    <w:name w:val="No Spacing"/>
    <w:link w:val="a2"/>
    <w:uiPriority w:val="1"/>
    <w:qFormat/>
    <w:rPr>
      <w:rFonts w:asciiTheme="minorHAnsi" w:eastAsiaTheme="minorEastAsia" w:hAnsiTheme="minorHAnsi" w:cstheme="minorBidi"/>
      <w:sz w:val="22"/>
      <w:szCs w:val="22"/>
    </w:rPr>
  </w:style>
  <w:style w:type="character" w:customStyle="1" w:styleId="a2">
    <w:name w:val="无间隔 字符"/>
    <w:basedOn w:val="DefaultParagraphFont"/>
    <w:link w:val="NoSpacing"/>
    <w:uiPriority w:val="1"/>
    <w:qFormat/>
    <w:rPr>
      <w:kern w:val="0"/>
      <w:sz w:val="22"/>
    </w:rPr>
  </w:style>
  <w:style w:type="character" w:customStyle="1" w:styleId="font01">
    <w:name w:val="font01"/>
    <w:basedOn w:val="DefaultParagraphFont"/>
    <w:qFormat/>
    <w:rPr>
      <w:rFonts w:ascii="Arial" w:hAnsi="Arial" w:cs="Arial"/>
      <w:color w:val="000000"/>
      <w:sz w:val="20"/>
      <w:szCs w:val="20"/>
      <w:u w:val="none"/>
    </w:rPr>
  </w:style>
  <w:style w:type="character" w:customStyle="1" w:styleId="font41">
    <w:name w:val="font41"/>
    <w:basedOn w:val="DefaultParagraphFont"/>
    <w:qFormat/>
    <w:rPr>
      <w:rFonts w:ascii="宋体" w:eastAsia="宋体" w:hAnsi="宋体" w:cs="宋体" w:hint="eastAsia"/>
      <w:color w:val="000000"/>
      <w:sz w:val="20"/>
      <w:szCs w:val="20"/>
      <w:u w:val="none"/>
    </w:rPr>
  </w:style>
  <w:style w:type="character" w:customStyle="1" w:styleId="font61">
    <w:name w:val="font61"/>
    <w:basedOn w:val="DefaultParagraphFont"/>
    <w:qFormat/>
    <w:rPr>
      <w:rFonts w:ascii="宋体" w:eastAsia="宋体" w:hAnsi="宋体" w:cs="宋体" w:hint="eastAsia"/>
      <w:color w:val="000000"/>
      <w:sz w:val="22"/>
      <w:szCs w:val="22"/>
      <w:u w:val="none"/>
    </w:rPr>
  </w:style>
  <w:style w:type="character" w:customStyle="1" w:styleId="font51">
    <w:name w:val="font51"/>
    <w:basedOn w:val="DefaultParagraphFont"/>
    <w:qFormat/>
    <w:rPr>
      <w:rFonts w:ascii="宋体" w:eastAsia="宋体" w:hAnsi="宋体" w:cs="宋体" w:hint="eastAsia"/>
      <w:color w:val="000000"/>
      <w:sz w:val="24"/>
      <w:szCs w:val="24"/>
      <w:u w:val="none"/>
    </w:rPr>
  </w:style>
  <w:style w:type="character" w:customStyle="1" w:styleId="font31">
    <w:name w:val="font31"/>
    <w:basedOn w:val="DefaultParagraphFont"/>
    <w:qFormat/>
    <w:rPr>
      <w:rFonts w:ascii="宋体" w:eastAsia="宋体" w:hAnsi="宋体" w:cs="宋体" w:hint="eastAsia"/>
      <w:color w:val="000000"/>
      <w:sz w:val="21"/>
      <w:szCs w:val="21"/>
      <w:u w:val="none"/>
    </w:rPr>
  </w:style>
  <w:style w:type="character" w:customStyle="1" w:styleId="font81">
    <w:name w:val="font81"/>
    <w:basedOn w:val="DefaultParagraphFont"/>
    <w:qFormat/>
    <w:rPr>
      <w:rFonts w:ascii="Calibri" w:hAnsi="Calibri" w:cs="Calibri" w:hint="default"/>
      <w:color w:val="000000"/>
      <w:sz w:val="18"/>
      <w:szCs w:val="18"/>
      <w:u w:val="none"/>
    </w:rPr>
  </w:style>
  <w:style w:type="character" w:customStyle="1" w:styleId="font91">
    <w:name w:val="font91"/>
    <w:basedOn w:val="DefaultParagraphFont"/>
    <w:qFormat/>
    <w:rPr>
      <w:rFonts w:ascii="宋体" w:eastAsia="宋体" w:hAnsi="宋体" w:cs="宋体" w:hint="eastAsia"/>
      <w:color w:val="000000"/>
      <w:sz w:val="18"/>
      <w:szCs w:val="18"/>
      <w:u w:val="none"/>
    </w:rPr>
  </w:style>
  <w:style w:type="character" w:customStyle="1" w:styleId="font21">
    <w:name w:val="font21"/>
    <w:basedOn w:val="DefaultParagraphFont"/>
    <w:qFormat/>
    <w:rPr>
      <w:rFonts w:ascii="Arial" w:hAnsi="Arial" w:cs="Arial" w:hint="default"/>
      <w:color w:val="000000"/>
      <w:sz w:val="20"/>
      <w:szCs w:val="20"/>
      <w:u w:val="none"/>
    </w:rPr>
  </w:style>
  <w:style w:type="paragraph" w:customStyle="1" w:styleId="TOC10">
    <w:name w:val="TOC 标题1"/>
    <w:basedOn w:val="Heading1"/>
    <w:next w:val="Normal"/>
    <w:uiPriority w:val="39"/>
    <w:semiHidden/>
    <w:unhideWhenUsed/>
    <w:qFormat/>
    <w:pPr>
      <w:widowControl/>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customStyle="1" w:styleId="WPSOffice1">
    <w:name w:val="WPSOffice手动目录 1"/>
    <w:qFormat/>
  </w:style>
  <w:style w:type="paragraph" w:customStyle="1" w:styleId="WPSOffice2">
    <w:name w:val="WPSOffice手动目录 2"/>
    <w:qFormat/>
    <w:pPr>
      <w:ind w:left="200" w:leftChars="200"/>
    </w:pPr>
  </w:style>
  <w:style w:type="character" w:customStyle="1" w:styleId="2">
    <w:name w:val="标题 2 字符"/>
    <w:basedOn w:val="DefaultParagraphFont"/>
    <w:link w:val="Heading2"/>
    <w:uiPriority w:val="9"/>
    <w:rsid w:val="00FD485D"/>
    <w:rPr>
      <w:rFonts w:ascii="Arial" w:eastAsia="黑体" w:hAnsi="Arial" w:cstheme="minorBidi"/>
      <w:kern w:val="2"/>
      <w:sz w:val="32"/>
      <w:szCs w:val="22"/>
    </w:rPr>
  </w:style>
  <w:style w:type="character" w:customStyle="1" w:styleId="indent">
    <w:name w:val="indent"/>
    <w:basedOn w:val="DefaultParagraphFont"/>
    <w:rsid w:val="00136E91"/>
  </w:style>
  <w:style w:type="character" w:customStyle="1" w:styleId="pattern">
    <w:name w:val="pattern"/>
    <w:basedOn w:val="DefaultParagraphFont"/>
    <w:rsid w:val="00136E91"/>
  </w:style>
  <w:style w:type="paragraph" w:styleId="HTMLPreformatted">
    <w:name w:val="HTML Preformatted"/>
    <w:basedOn w:val="Normal"/>
    <w:link w:val="HTML"/>
    <w:uiPriority w:val="99"/>
    <w:semiHidden/>
    <w:unhideWhenUsed/>
    <w:rsid w:val="005416B2"/>
    <w:rPr>
      <w:rFonts w:ascii="Courier New" w:hAnsi="Courier New" w:cs="Courier New"/>
      <w:sz w:val="20"/>
      <w:szCs w:val="20"/>
    </w:rPr>
  </w:style>
  <w:style w:type="character" w:customStyle="1" w:styleId="HTML">
    <w:name w:val="HTML 预设格式 字符"/>
    <w:basedOn w:val="DefaultParagraphFont"/>
    <w:link w:val="HTMLPreformatted"/>
    <w:uiPriority w:val="99"/>
    <w:semiHidden/>
    <w:rsid w:val="005416B2"/>
    <w:rPr>
      <w:rFonts w:ascii="Courier New" w:hAnsi="Courier New" w:eastAsiaTheme="minorEastAsia" w:cs="Courier New"/>
      <w:kern w:val="2"/>
    </w:rPr>
  </w:style>
  <w:style xmlns:v="urn:schemas-microsoft-com:vml" xmlns:w10="urn:schemas-microsoft-com:office:word" xmlns:sl="http://schemas.openxmlformats.org/schemaLibrary/2006/main" xmlns:m="http://schemas.openxmlformats.org/officeDocument/2006/math" xmlns:o="urn:schemas-microsoft-com:office:office" w:type="paragraph" w:styleId="1">
    <w:name w:val="Normal1"/>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5">
    <w:name w:val="Default Paragraph Font5"/>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4">
    <w:name w:val="Normal Table4"/>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84a19010">
    <w:name w:val="footer84a19010"/>
    <w:basedOn w:val="1"/>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3">
    <w:name w:val="HTML Preformatted3"/>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f2576127">
    <w:name w:val="Normalf2576127"/>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ad90b967">
    <w:name w:val="Default Paragraph Fontad90b967"/>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441e0cd2">
    <w:name w:val="Normal Table441e0cd2"/>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099e71a8">
    <w:name w:val="footer099e71a8"/>
    <w:basedOn w:val="f2576127"/>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f2f3d058">
    <w:name w:val="HTML Preformattedf2f3d058"/>
    <w:basedOn w:val="f2576127"/>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4f5ca420">
    <w:name w:val="Normal4f5ca420"/>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ee9f79bb">
    <w:name w:val="Default Paragraph Fontee9f79bb"/>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5555efa7">
    <w:name w:val="Normal Table5555efa7"/>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5cc40845">
    <w:name w:val="footer5cc40845"/>
    <w:basedOn w:val="4f5ca420"/>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9653926c">
    <w:name w:val="HTML Preformatted9653926c"/>
    <w:basedOn w:val="4f5ca420"/>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45435725">
    <w:name w:val="Normal45435725"/>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8ba0c2cb">
    <w:name w:val="Default Paragraph Font8ba0c2cb"/>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1e77b25f">
    <w:name w:val="Normal Table1e77b25f"/>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5e7cc9c0">
    <w:name w:val="footer5e7cc9c0"/>
    <w:basedOn w:val="45435725"/>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186cba97">
    <w:name w:val="HTML Preformatted186cba97"/>
    <w:basedOn w:val="45435725"/>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4fcbf43e">
    <w:name w:val="Normal4fcbf43e"/>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39b4f49c">
    <w:name w:val="Default Paragraph Font39b4f49c"/>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469df82d">
    <w:name w:val="Normal Table469df82d"/>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402577d9">
    <w:name w:val="footer402577d9"/>
    <w:basedOn w:val="4fcbf43e"/>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a9906224">
    <w:name w:val="HTML Preformatteda9906224"/>
    <w:basedOn w:val="4fcbf43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954cfba1">
    <w:name w:val="Normal954cfba1"/>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5a15c581">
    <w:name w:val="Default Paragraph Font5a15c581"/>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5c57ad5d">
    <w:name w:val="Normal Table5c57ad5d"/>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c9bf791c">
    <w:name w:val="footerc9bf791c"/>
    <w:basedOn w:val="954cfba1"/>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ece89e29">
    <w:name w:val="HTML Preformattedece89e29"/>
    <w:basedOn w:val="954cfba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cc308df3">
    <w:name w:val="Normalcc308df3"/>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1da07e65">
    <w:name w:val="Default Paragraph Font1da07e65"/>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33583bdc">
    <w:name w:val="Normal Table33583bdc"/>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0f74929e">
    <w:name w:val="footer0f74929e"/>
    <w:basedOn w:val="cc308df3"/>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cbbe088e">
    <w:name w:val="HTML Preformattedcbbe088e"/>
    <w:basedOn w:val="cc308df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3419d687">
    <w:name w:val="Normal3419d687"/>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593fe075">
    <w:name w:val="Default Paragraph Font593fe075"/>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4dc9b4e4">
    <w:name w:val="Normal Table4dc9b4e4"/>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84f52179">
    <w:name w:val="footer84f52179"/>
    <w:basedOn w:val="3419d687"/>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97884e31">
    <w:name w:val="HTML Preformatted97884e31"/>
    <w:basedOn w:val="3419d687"/>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32425a55">
    <w:name w:val="Normal32425a55"/>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a3903d39">
    <w:name w:val="Default Paragraph Fonta3903d39"/>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e861ba19">
    <w:name w:val="Normal Tablee861ba19"/>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81c1597d">
    <w:name w:val="footer81c1597d"/>
    <w:basedOn w:val="32425a55"/>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5fb78b0b">
    <w:name w:val="HTML Preformatted5fb78b0b"/>
    <w:basedOn w:val="32425a55"/>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9ccd1b00">
    <w:name w:val="Normal9ccd1b00"/>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7509f630">
    <w:name w:val="Default Paragraph Font7509f630"/>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5c7170be">
    <w:name w:val="Normal Table5c7170be"/>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78d6ec3e">
    <w:name w:val="footer78d6ec3e"/>
    <w:basedOn w:val="9ccd1b00"/>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16dfc965">
    <w:name w:val="HTML Preformatted16dfc965"/>
    <w:basedOn w:val="9ccd1b00"/>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70486273">
    <w:name w:val="Normal70486273"/>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0c0cb43b">
    <w:name w:val="Default Paragraph Font0c0cb43b"/>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7dc766a5">
    <w:name w:val="Normal Table7dc766a5"/>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144b744e">
    <w:name w:val="footer144b744e"/>
    <w:basedOn w:val="70486273"/>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f961b7a3">
    <w:name w:val="HTML Preformattedf961b7a3"/>
    <w:basedOn w:val="7048627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83983d9c">
    <w:name w:val="Normal83983d9c"/>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ac5498cf">
    <w:name w:val="Default Paragraph Fontac5498cf"/>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9b8b4c44">
    <w:name w:val="Normal Table9b8b4c44"/>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c9e6d9c5">
    <w:name w:val="footerc9e6d9c5"/>
    <w:basedOn w:val="83983d9c"/>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1a1a213b">
    <w:name w:val="HTML Preformatted1a1a213b"/>
    <w:basedOn w:val="83983d9c"/>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3d5ba637">
    <w:name w:val="Normal3d5ba637"/>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240292f5">
    <w:name w:val="Default Paragraph Font240292f5"/>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cb7394c0">
    <w:name w:val="Normal Tablecb7394c0"/>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eef0d77e">
    <w:name w:val="footereef0d77e"/>
    <w:basedOn w:val="3d5ba637"/>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e082f0c6">
    <w:name w:val="HTML Preformattede082f0c6"/>
    <w:basedOn w:val="3d5ba637"/>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9f99f299">
    <w:name w:val="Normal9f99f299"/>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22330873">
    <w:name w:val="Default Paragraph Font22330873"/>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29930471">
    <w:name w:val="Normal Table29930471"/>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a77600f0">
    <w:name w:val="footera77600f0"/>
    <w:basedOn w:val="9f99f299"/>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d7958acd">
    <w:name w:val="HTML Preformattedd7958acd"/>
    <w:basedOn w:val="9f99f299"/>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1df915f7">
    <w:name w:val="Normal1df915f7"/>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635a126e">
    <w:name w:val="Default Paragraph Font635a126e"/>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080ae97f">
    <w:name w:val="Normal Table080ae97f"/>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e6275f50">
    <w:name w:val="footere6275f50"/>
    <w:basedOn w:val="1df915f7"/>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ef920e96">
    <w:name w:val="HTML Preformattedef920e96"/>
    <w:basedOn w:val="1df915f7"/>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357dcab4">
    <w:name w:val="Normal357dcab4"/>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667b4778">
    <w:name w:val="Default Paragraph Font667b4778"/>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68ca6c44">
    <w:name w:val="Normal Table68ca6c44"/>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9d127475">
    <w:name w:val="footer9d127475"/>
    <w:basedOn w:val="357dcab4"/>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96fa271d">
    <w:name w:val="HTML Preformatted96fa271d"/>
    <w:basedOn w:val="357dcab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8b8a0eb4">
    <w:name w:val="Normal8b8a0eb4"/>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15123796">
    <w:name w:val="Default Paragraph Font15123796"/>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35c90d4b">
    <w:name w:val="Normal Table35c90d4b"/>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dbc8696f">
    <w:name w:val="footerdbc8696f"/>
    <w:basedOn w:val="8b8a0eb4"/>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b57d243d">
    <w:name w:val="HTML Preformattedb57d243d"/>
    <w:basedOn w:val="8b8a0eb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5d8d51c3">
    <w:name w:val="Normal5d8d51c3"/>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73963e22">
    <w:name w:val="Default Paragraph Font73963e22"/>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30f01c85">
    <w:name w:val="Normal Table30f01c85"/>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690bf25b">
    <w:name w:val="footer690bf25b"/>
    <w:basedOn w:val="5d8d51c3"/>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4da7ab94">
    <w:name w:val="HTML Preformatted4da7ab94"/>
    <w:basedOn w:val="5d8d51c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ee0189b5">
    <w:name w:val="Normalee0189b5"/>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ac5bb6b6">
    <w:name w:val="Default Paragraph Fontac5bb6b6"/>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2fd58b1f">
    <w:name w:val="Normal Table2fd58b1f"/>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250bfab4">
    <w:name w:val="footer250bfab4"/>
    <w:basedOn w:val="ee0189b5"/>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1ff44e9d">
    <w:name w:val="HTML Preformatted1ff44e9d"/>
    <w:basedOn w:val="ee0189b5"/>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2b2e09f2">
    <w:name w:val="Normal2b2e09f2"/>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94356352">
    <w:name w:val="Default Paragraph Font94356352"/>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6a857de4">
    <w:name w:val="Normal Table6a857de4"/>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c7fad0af">
    <w:name w:val="footerc7fad0af"/>
    <w:basedOn w:val="2b2e09f2"/>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abb1c5e5">
    <w:name w:val="HTML Preformattedabb1c5e5"/>
    <w:basedOn w:val="2b2e09f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b2b0eb04">
    <w:name w:val="Normalb2b0eb04"/>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d79b30b6">
    <w:name w:val="Default Paragraph Fontd79b30b6"/>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b10faea3">
    <w:name w:val="Normal Tableb10faea3"/>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e123d0bd">
    <w:name w:val="footere123d0bd"/>
    <w:basedOn w:val="b2b0eb04"/>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5031d06e">
    <w:name w:val="HTML Preformatted5031d06e"/>
    <w:basedOn w:val="b2b0eb0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629fe46c">
    <w:name w:val="Normal629fe46c"/>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4d7fb4c7">
    <w:name w:val="Default Paragraph Font4d7fb4c7"/>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3b6a9bac">
    <w:name w:val="Normal Table3b6a9bac"/>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78d7a315">
    <w:name w:val="footer78d7a315"/>
    <w:basedOn w:val="629fe46c"/>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1b7bb68b">
    <w:name w:val="HTML Preformatted1b7bb68b"/>
    <w:basedOn w:val="629fe46c"/>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5bd46b1b">
    <w:name w:val="Normal5bd46b1b"/>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2ccec839">
    <w:name w:val="Default Paragraph Font2ccec839"/>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9c0e24e3">
    <w:name w:val="Normal Table9c0e24e3"/>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d98acba8">
    <w:name w:val="footerd98acba8"/>
    <w:basedOn w:val="5bd46b1b"/>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a1c1a4f1">
    <w:name w:val="HTML Preformatteda1c1a4f1"/>
    <w:basedOn w:val="5bd46b1b"/>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ef6ce027">
    <w:name w:val="Normalef6ce027"/>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b9d66dae">
    <w:name w:val="Default Paragraph Fontb9d66dae"/>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6bee4d8b">
    <w:name w:val="Normal Table6bee4d8b"/>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d397800a">
    <w:name w:val="footerd397800a"/>
    <w:basedOn w:val="ef6ce027"/>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89aa48dc">
    <w:name w:val="HTML Preformatted89aa48dc"/>
    <w:basedOn w:val="ef6ce027"/>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44fb569d">
    <w:name w:val="Normal44fb569d"/>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f7003d2f">
    <w:name w:val="Default Paragraph Fontf7003d2f"/>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7e1fa074">
    <w:name w:val="Normal Table7e1fa074"/>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40e92fe3">
    <w:name w:val="footer40e92fe3"/>
    <w:basedOn w:val="44fb569d"/>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72330832">
    <w:name w:val="HTML Preformatted72330832"/>
    <w:basedOn w:val="44fb569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ce9fe46c">
    <w:name w:val="Normalce9fe46c"/>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ad31043f">
    <w:name w:val="Default Paragraph Fontad31043f"/>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ef1b5440">
    <w:name w:val="Normal Tableef1b5440"/>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d5a2bacd">
    <w:name w:val="footerd5a2bacd"/>
    <w:basedOn w:val="ce9fe46c"/>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7de1ed52">
    <w:name w:val="HTML Preformatted7de1ed52"/>
    <w:basedOn w:val="ce9fe46c"/>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b86d0772">
    <w:name w:val="Normalb86d0772"/>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6225ee97">
    <w:name w:val="Default Paragraph Font6225ee97"/>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c22fcf91">
    <w:name w:val="Normal Tablec22fcf91"/>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57054df7">
    <w:name w:val="footer57054df7"/>
    <w:basedOn w:val="b86d0772"/>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7e87d6eb">
    <w:name w:val="HTML Preformatted7e87d6eb"/>
    <w:basedOn w:val="b86d077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be51a71e">
    <w:name w:val="Normalbe51a71e"/>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f98b53ac">
    <w:name w:val="Default Paragraph Fontf98b53ac"/>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ea6e77b6">
    <w:name w:val="Normal Tableea6e77b6"/>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15c3f345">
    <w:name w:val="footer15c3f345"/>
    <w:basedOn w:val="be51a71e"/>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09fcc5fa">
    <w:name w:val="HTML Preformatted09fcc5fa"/>
    <w:basedOn w:val="be51a71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9823bc99">
    <w:name w:val="Normal9823bc99"/>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e5fbd3da">
    <w:name w:val="Default Paragraph Fonte5fbd3da"/>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98d99e0f">
    <w:name w:val="Normal Table98d99e0f"/>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89f1334d">
    <w:name w:val="footer89f1334d"/>
    <w:basedOn w:val="9823bc99"/>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67ecc046">
    <w:name w:val="HTML Preformatted67ecc046"/>
    <w:basedOn w:val="9823bc99"/>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9fe0da01">
    <w:name w:val="Normal9fe0da01"/>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a8ef93e3">
    <w:name w:val="Default Paragraph Fonta8ef93e3"/>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4cb331a9">
    <w:name w:val="Normal Table4cb331a9"/>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26c46996">
    <w:name w:val="footer26c46996"/>
    <w:basedOn w:val="9fe0da01"/>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27c5a218">
    <w:name w:val="HTML Preformatted27c5a218"/>
    <w:basedOn w:val="9fe0da0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458d7fff">
    <w:name w:val="Normal458d7fff"/>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a3975b48">
    <w:name w:val="Default Paragraph Fonta3975b48"/>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f6c2515c">
    <w:name w:val="Normal Tablef6c2515c"/>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4333367e">
    <w:name w:val="footer4333367e"/>
    <w:basedOn w:val="458d7fff"/>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13500a61">
    <w:name w:val="HTML Preformatted13500a61"/>
    <w:basedOn w:val="458d7fff"/>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4bd981d3">
    <w:name w:val="Normal4bd981d3"/>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725a91c3">
    <w:name w:val="Default Paragraph Font725a91c3"/>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665e5970">
    <w:name w:val="Normal Table665e5970"/>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002722b8">
    <w:name w:val="footer002722b8"/>
    <w:basedOn w:val="4bd981d3"/>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e35364d0">
    <w:name w:val="HTML Preformattede35364d0"/>
    <w:basedOn w:val="4bd981d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96ea06ee">
    <w:name w:val="Normal96ea06ee"/>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142a7c32">
    <w:name w:val="Default Paragraph Font142a7c32"/>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f70f7f75">
    <w:name w:val="Normal Tablef70f7f75"/>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6c30c15d">
    <w:name w:val="footer6c30c15d"/>
    <w:basedOn w:val="96ea06ee"/>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416b34a4">
    <w:name w:val="HTML Preformatted416b34a4"/>
    <w:basedOn w:val="96ea06e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93236c27">
    <w:name w:val="Normal93236c27"/>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1bfd9bea">
    <w:name w:val="Default Paragraph Font1bfd9bea"/>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d87aa6df">
    <w:name w:val="Normal Tabled87aa6df"/>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b0b024ce">
    <w:name w:val="footerb0b024ce"/>
    <w:basedOn w:val="93236c27"/>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d5b9988f">
    <w:name w:val="HTML Preformattedd5b9988f"/>
    <w:basedOn w:val="93236c27"/>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7192c9f7">
    <w:name w:val="Normal7192c9f7"/>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b8649310">
    <w:name w:val="Default Paragraph Fontb8649310"/>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980cc053">
    <w:name w:val="Normal Table980cc053"/>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8990dc0a">
    <w:name w:val="footer8990dc0a"/>
    <w:basedOn w:val="7192c9f7"/>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d4e89a90">
    <w:name w:val="HTML Preformattedd4e89a90"/>
    <w:basedOn w:val="7192c9f7"/>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d9ece9ee">
    <w:name w:val="Normald9ece9ee"/>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3841d97f">
    <w:name w:val="Default Paragraph Font3841d97f"/>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2b7ccad1">
    <w:name w:val="Normal Table2b7ccad1"/>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30d73bf1">
    <w:name w:val="footer30d73bf1"/>
    <w:basedOn w:val="d9ece9ee"/>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e6833d79">
    <w:name w:val="HTML Preformattede6833d79"/>
    <w:basedOn w:val="d9ece9e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bbaeac8a">
    <w:name w:val="Normalbbaeac8a"/>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cc1b0b69">
    <w:name w:val="Default Paragraph Fontcc1b0b69"/>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537766be">
    <w:name w:val="Normal Table537766be"/>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b9ec9b0c">
    <w:name w:val="footerb9ec9b0c"/>
    <w:basedOn w:val="bbaeac8a"/>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6ff6e79e">
    <w:name w:val="HTML Preformatted6ff6e79e"/>
    <w:basedOn w:val="bbaeac8a"/>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22a2632b">
    <w:name w:val="Normal22a2632b"/>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6b405151">
    <w:name w:val="Default Paragraph Font6b405151"/>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c89c255a">
    <w:name w:val="Normal Tablec89c255a"/>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a86742c8">
    <w:name w:val="footera86742c8"/>
    <w:basedOn w:val="22a2632b"/>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f418fc01">
    <w:name w:val="HTML Preformattedf418fc01"/>
    <w:basedOn w:val="22a2632b"/>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3417e2b1">
    <w:name w:val="Normal3417e2b1"/>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f63051c0">
    <w:name w:val="Default Paragraph Fontf63051c0"/>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ee2db1c9">
    <w:name w:val="Normal Tableee2db1c9"/>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3d126103">
    <w:name w:val="footer3d126103"/>
    <w:basedOn w:val="3417e2b1"/>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3f8c6bc7">
    <w:name w:val="HTML Preformatted3f8c6bc7"/>
    <w:basedOn w:val="3417e2b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e76f23c4">
    <w:name w:val="Normale76f23c4"/>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0f72784b">
    <w:name w:val="Default Paragraph Font0f72784b"/>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28189b1a">
    <w:name w:val="Normal Table28189b1a"/>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cb1cc184">
    <w:name w:val="footercb1cc184"/>
    <w:basedOn w:val="e76f23c4"/>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8af6793b">
    <w:name w:val="HTML Preformatted8af6793b"/>
    <w:basedOn w:val="e76f23c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525b6aae">
    <w:name w:val="Normal525b6aae"/>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92c92baf">
    <w:name w:val="Default Paragraph Font92c92baf"/>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caab1c94">
    <w:name w:val="Normal Tablecaab1c94"/>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416a6c3f">
    <w:name w:val="footer416a6c3f"/>
    <w:basedOn w:val="525b6aae"/>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8c86e818">
    <w:name w:val="HTML Preformatted8c86e818"/>
    <w:basedOn w:val="525b6aa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c489a8b7">
    <w:name w:val="Normalc489a8b7"/>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580351d3">
    <w:name w:val="Default Paragraph Font580351d3"/>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8073c003">
    <w:name w:val="Normal Table8073c003"/>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0597debd">
    <w:name w:val="footer0597debd"/>
    <w:basedOn w:val="c489a8b7"/>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37c7dbb4">
    <w:name w:val="HTML Preformatted37c7dbb4"/>
    <w:basedOn w:val="c489a8b7"/>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a6c0a32c">
    <w:name w:val="Normala6c0a32c"/>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cfbf1142">
    <w:name w:val="Default Paragraph Fontcfbf1142"/>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3f4f5645">
    <w:name w:val="Normal Table3f4f5645"/>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40ced4c9">
    <w:name w:val="footer40ced4c9"/>
    <w:basedOn w:val="a6c0a32c"/>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a5e65a3e">
    <w:name w:val="HTML Preformatteda5e65a3e"/>
    <w:basedOn w:val="a6c0a32c"/>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1a9298b3">
    <w:name w:val="Normal1a9298b3"/>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bfbc6c0c">
    <w:name w:val="Default Paragraph Fontbfbc6c0c"/>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e3e32c41">
    <w:name w:val="Normal Tablee3e32c41"/>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96f19efd">
    <w:name w:val="footer96f19efd"/>
    <w:basedOn w:val="1a9298b3"/>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9c4bd04b">
    <w:name w:val="HTML Preformatted9c4bd04b"/>
    <w:basedOn w:val="1a9298b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914ef9b0">
    <w:name w:val="Normal914ef9b0"/>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cdaca3c3">
    <w:name w:val="Default Paragraph Fontcdaca3c3"/>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8df2ebf3">
    <w:name w:val="Normal Table8df2ebf3"/>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0d22da5a">
    <w:name w:val="footer0d22da5a"/>
    <w:basedOn w:val="914ef9b0"/>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a61277a5">
    <w:name w:val="HTML Preformatteda61277a5"/>
    <w:basedOn w:val="914ef9b0"/>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009d4280">
    <w:name w:val="Normal009d4280"/>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4dbaa59f">
    <w:name w:val="Default Paragraph Font4dbaa59f"/>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13ee8234">
    <w:name w:val="Normal Table13ee8234"/>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9fdfe80d">
    <w:name w:val="footer9fdfe80d"/>
    <w:basedOn w:val="009d4280"/>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61c43003">
    <w:name w:val="HTML Preformatted61c43003"/>
    <w:basedOn w:val="009d4280"/>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eba9dab1">
    <w:name w:val="Normaleba9dab1"/>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76b73587">
    <w:name w:val="Default Paragraph Font76b73587"/>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44ca5337">
    <w:name w:val="Normal Table44ca5337"/>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5cb1a6ee">
    <w:name w:val="footer5cb1a6ee"/>
    <w:basedOn w:val="eba9dab1"/>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467d4b37">
    <w:name w:val="HTML Preformatted467d4b37"/>
    <w:basedOn w:val="eba9dab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407c15f2">
    <w:name w:val="Normal407c15f2"/>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09b8d2b6">
    <w:name w:val="Default Paragraph Font09b8d2b6"/>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7f4f72f6">
    <w:name w:val="Normal Table7f4f72f6"/>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501e6385">
    <w:name w:val="footer501e6385"/>
    <w:basedOn w:val="407c15f2"/>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fe97f0ee">
    <w:name w:val="HTML Preformattedfe97f0ee"/>
    <w:basedOn w:val="407c15f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bd7e8988">
    <w:name w:val="Normalbd7e8988"/>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3dd3b514">
    <w:name w:val="Default Paragraph Font3dd3b514"/>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1fcdc4c8">
    <w:name w:val="Normal Table1fcdc4c8"/>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6560e69c">
    <w:name w:val="footer6560e69c"/>
    <w:basedOn w:val="bd7e8988"/>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86599165">
    <w:name w:val="HTML Preformatted86599165"/>
    <w:basedOn w:val="bd7e8988"/>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e2437562">
    <w:name w:val="Normale2437562"/>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7120f194">
    <w:name w:val="Default Paragraph Font7120f194"/>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045421ff">
    <w:name w:val="Normal Table045421ff"/>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a95e13ad">
    <w:name w:val="footera95e13ad"/>
    <w:basedOn w:val="e2437562"/>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d7048c26">
    <w:name w:val="HTML Preformattedd7048c26"/>
    <w:basedOn w:val="e243756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fa12e7e1">
    <w:name w:val="Normalfa12e7e1"/>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a3ef11b6">
    <w:name w:val="Default Paragraph Fonta3ef11b6"/>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2ed45611">
    <w:name w:val="Normal Table2ed45611"/>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ba10ea9f">
    <w:name w:val="footerba10ea9f"/>
    <w:basedOn w:val="fa12e7e1"/>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a9234678">
    <w:name w:val="HTML Preformatteda9234678"/>
    <w:basedOn w:val="fa12e7e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80aa99c1">
    <w:name w:val="Normal80aa99c1"/>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7bcdbd53">
    <w:name w:val="Default Paragraph Font7bcdbd53"/>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bc876ad8">
    <w:name w:val="Normal Tablebc876ad8"/>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44c30cdd">
    <w:name w:val="footer44c30cdd"/>
    <w:basedOn w:val="80aa99c1"/>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744e295c">
    <w:name w:val="HTML Preformatted744e295c"/>
    <w:basedOn w:val="80aa99c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6c40f613">
    <w:name w:val="Normal6c40f613"/>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d792034a">
    <w:name w:val="Default Paragraph Fontd792034a"/>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0d0e1e57">
    <w:name w:val="Normal Table0d0e1e57"/>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d7143ded">
    <w:name w:val="footerd7143ded"/>
    <w:basedOn w:val="6c40f613"/>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2ed6cbe7">
    <w:name w:val="HTML Preformatted2ed6cbe7"/>
    <w:basedOn w:val="6c40f61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9241ab34">
    <w:name w:val="Normal9241ab34"/>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fc23bbf6">
    <w:name w:val="Default Paragraph Fontfc23bbf6"/>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bcd42d2e">
    <w:name w:val="Normal Tablebcd42d2e"/>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5f493f15">
    <w:name w:val="footer5f493f15"/>
    <w:basedOn w:val="9241ab34"/>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2a6561a3">
    <w:name w:val="HTML Preformatted2a6561a3"/>
    <w:basedOn w:val="9241ab3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76c0b846">
    <w:name w:val="Normal76c0b846"/>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d06f76bb">
    <w:name w:val="Default Paragraph Fontd06f76bb"/>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7497fbd6">
    <w:name w:val="Normal Table7497fbd6"/>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d790e3af">
    <w:name w:val="footerd790e3af"/>
    <w:basedOn w:val="76c0b846"/>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bbfba766">
    <w:name w:val="HTML Preformattedbbfba766"/>
    <w:basedOn w:val="76c0b846"/>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4cf77c0b">
    <w:name w:val="Normal4cf77c0b"/>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a0099a4e">
    <w:name w:val="Default Paragraph Fonta0099a4e"/>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21ee1e26">
    <w:name w:val="Normal Table21ee1e26"/>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caa24b7f">
    <w:name w:val="footercaa24b7f"/>
    <w:basedOn w:val="4cf77c0b"/>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1e514724">
    <w:name w:val="HTML Preformatted1e514724"/>
    <w:basedOn w:val="4cf77c0b"/>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a491c881">
    <w:name w:val="Normala491c881"/>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eb4e770f">
    <w:name w:val="Default Paragraph Fonteb4e770f"/>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ad4dae5e">
    <w:name w:val="Normal Tablead4dae5e"/>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eaef9a63">
    <w:name w:val="footereaef9a63"/>
    <w:basedOn w:val="a491c881"/>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90f1ca58">
    <w:name w:val="HTML Preformatted90f1ca58"/>
    <w:basedOn w:val="a491c88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ab5e00c0">
    <w:name w:val="Normalab5e00c0"/>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ce74b8d8">
    <w:name w:val="Default Paragraph Fontce74b8d8"/>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7a78a813">
    <w:name w:val="Normal Table7a78a813"/>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53b30c22">
    <w:name w:val="footer53b30c22"/>
    <w:basedOn w:val="ab5e00c0"/>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4263caf5">
    <w:name w:val="HTML Preformatted4263caf5"/>
    <w:basedOn w:val="ab5e00c0"/>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b7ce2812">
    <w:name w:val="Normalb7ce2812"/>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4dd56ca7">
    <w:name w:val="Default Paragraph Font4dd56ca7"/>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ef666abb">
    <w:name w:val="Normal Tableef666abb"/>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f5c89d10">
    <w:name w:val="footerf5c89d10"/>
    <w:basedOn w:val="b7ce2812"/>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c75161c5">
    <w:name w:val="HTML Preformattedc75161c5"/>
    <w:basedOn w:val="b7ce281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ccf7f510">
    <w:name w:val="Normalccf7f510"/>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b4d37c90">
    <w:name w:val="Default Paragraph Fontb4d37c90"/>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dbcb7b42">
    <w:name w:val="Normal Tabledbcb7b42"/>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6ae6bac1">
    <w:name w:val="footer6ae6bac1"/>
    <w:basedOn w:val="ccf7f510"/>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96d16d5d">
    <w:name w:val="HTML Preformatted96d16d5d"/>
    <w:basedOn w:val="ccf7f510"/>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ea6ae9fc">
    <w:name w:val="Normalea6ae9fc"/>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a1d11eac">
    <w:name w:val="Default Paragraph Fonta1d11eac"/>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82273e8f">
    <w:name w:val="Normal Table82273e8f"/>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d128516f">
    <w:name w:val="footerd128516f"/>
    <w:basedOn w:val="ea6ae9fc"/>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795dfc3d">
    <w:name w:val="HTML Preformatted795dfc3d"/>
    <w:basedOn w:val="ea6ae9fc"/>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3f73b0dc">
    <w:name w:val="Normal3f73b0dc"/>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d2ef36ad">
    <w:name w:val="Default Paragraph Fontd2ef36ad"/>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7e31df0d">
    <w:name w:val="Normal Table7e31df0d"/>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7d374074">
    <w:name w:val="footer7d374074"/>
    <w:basedOn w:val="3f73b0dc"/>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019adc03">
    <w:name w:val="HTML Preformatted019adc03"/>
    <w:basedOn w:val="3f73b0dc"/>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adac1a32">
    <w:name w:val="Normaladac1a32"/>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b1f8d32d">
    <w:name w:val="Default Paragraph Fontb1f8d32d"/>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88dffcec">
    <w:name w:val="Normal Table88dffcec"/>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7d381e54">
    <w:name w:val="footer7d381e54"/>
    <w:basedOn w:val="adac1a32"/>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329c636f">
    <w:name w:val="HTML Preformatted329c636f"/>
    <w:basedOn w:val="adac1a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e46f0ada">
    <w:name w:val="Normale46f0ada"/>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9d88713b">
    <w:name w:val="Default Paragraph Font9d88713b"/>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1150fb8d">
    <w:name w:val="Normal Table1150fb8d"/>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6c12a6b2">
    <w:name w:val="footer6c12a6b2"/>
    <w:basedOn w:val="e46f0ada"/>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e832d4ce">
    <w:name w:val="HTML Preformattede832d4ce"/>
    <w:basedOn w:val="e46f0ada"/>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8ba63e1a">
    <w:name w:val="Normal8ba63e1a"/>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6e37e415">
    <w:name w:val="Default Paragraph Font6e37e415"/>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5a64b9cd">
    <w:name w:val="Normal Table5a64b9cd"/>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c86ea245">
    <w:name w:val="footerc86ea245"/>
    <w:basedOn w:val="8ba63e1a"/>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aa3abdce">
    <w:name w:val="HTML Preformattedaa3abdce"/>
    <w:basedOn w:val="8ba63e1a"/>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8e358d96">
    <w:name w:val="Normal8e358d96"/>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0186494c">
    <w:name w:val="Default Paragraph Font0186494c"/>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cb7a2162">
    <w:name w:val="Normal Tablecb7a2162"/>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19cb18e9">
    <w:name w:val="footer19cb18e9"/>
    <w:basedOn w:val="8e358d96"/>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9483aa7a">
    <w:name w:val="HTML Preformatted9483aa7a"/>
    <w:basedOn w:val="8e358d96"/>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a31a5033">
    <w:name w:val="Normala31a5033"/>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d7c54a22">
    <w:name w:val="Default Paragraph Fontd7c54a22"/>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16c29e84">
    <w:name w:val="Normal Table16c29e84"/>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e6e9a804">
    <w:name w:val="footere6e9a804"/>
    <w:basedOn w:val="a31a5033"/>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1ffb2c5f">
    <w:name w:val="HTML Preformatted1ffb2c5f"/>
    <w:basedOn w:val="a31a503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04ef0294">
    <w:name w:val="Normal04ef0294"/>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cfb9f8f7">
    <w:name w:val="Default Paragraph Fontcfb9f8f7"/>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6d4baf2a">
    <w:name w:val="Normal Table6d4baf2a"/>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e996ad18">
    <w:name w:val="footere996ad18"/>
    <w:basedOn w:val="04ef0294"/>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0e8fa403">
    <w:name w:val="HTML Preformatted0e8fa403"/>
    <w:basedOn w:val="04ef029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84ee7f65">
    <w:name w:val="Normal84ee7f65"/>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8e81bf0a">
    <w:name w:val="Default Paragraph Font8e81bf0a"/>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8fbb7a09">
    <w:name w:val="Normal Table8fbb7a09"/>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ae4f125d">
    <w:name w:val="footerae4f125d"/>
    <w:basedOn w:val="84ee7f65"/>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dfb0c5fa">
    <w:name w:val="HTML Preformatteddfb0c5fa"/>
    <w:basedOn w:val="84ee7f65"/>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bd8da5c0">
    <w:name w:val="Normalbd8da5c0"/>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5b2119fa">
    <w:name w:val="Default Paragraph Font5b2119fa"/>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29e171ee">
    <w:name w:val="Normal Table29e171ee"/>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e6cab878">
    <w:name w:val="footere6cab878"/>
    <w:basedOn w:val="bd8da5c0"/>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5e891e0a">
    <w:name w:val="HTML Preformatted5e891e0a"/>
    <w:basedOn w:val="bd8da5c0"/>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c66dcb7f">
    <w:name w:val="Normalc66dcb7f"/>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b3877831">
    <w:name w:val="Default Paragraph Fontb3877831"/>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ad681df1">
    <w:name w:val="Normal Tablead681df1"/>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cff8a6b8">
    <w:name w:val="footercff8a6b8"/>
    <w:basedOn w:val="c66dcb7f"/>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c4d6c85d">
    <w:name w:val="HTML Preformattedc4d6c85d"/>
    <w:basedOn w:val="c66dcb7f"/>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4e7fadad">
    <w:name w:val="Normal4e7fadad"/>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24474ee9">
    <w:name w:val="Default Paragraph Font24474ee9"/>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f0f98941">
    <w:name w:val="Normal Tablef0f98941"/>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65266f82">
    <w:name w:val="footer65266f82"/>
    <w:basedOn w:val="4e7fadad"/>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6b874c04">
    <w:name w:val="HTML Preformatted6b874c04"/>
    <w:basedOn w:val="4e7fada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4c04a69c">
    <w:name w:val="Normal4c04a69c"/>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6ff0a1e3">
    <w:name w:val="Default Paragraph Font6ff0a1e3"/>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a5677680">
    <w:name w:val="Normal Tablea5677680"/>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b39d4823">
    <w:name w:val="footerb39d4823"/>
    <w:basedOn w:val="4c04a69c"/>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2a0e429d">
    <w:name w:val="HTML Preformatted2a0e429d"/>
    <w:basedOn w:val="4c04a69c"/>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xmlns:v="urn:schemas-microsoft-com:vml" xmlns:w10="urn:schemas-microsoft-com:office:word" xmlns:sl="http://schemas.openxmlformats.org/schemaLibrary/2006/main" xmlns:m="http://schemas.openxmlformats.org/officeDocument/2006/math" xmlns:o="urn:schemas-microsoft-com:office:office" w:type="paragraph" w:styleId="740ed9b3">
    <w:name w:val="Normal740ed9b3"/>
    <w:uiPriority w:val="0"/>
    <w:pPr>
      <w:widowControl w:val="0"/>
      <w:jc w:val="both"/>
    </w:pPr>
    <w:rPr>
      <w:rFonts w:ascii="Calibri" w:hAnsi="Calibri" w:eastAsia="宋体" w:cs="Times New Roman"/>
      <w:kern w:val="2"/>
      <w:sz w:val="21"/>
      <w:szCs w:val="24"/>
      <w:lang w:val="en-US" w:eastAsia="zh-CN" w:bidi="ar-SA"/>
    </w:rPr>
  </w:style>
  <w:style xmlns:v="urn:schemas-microsoft-com:vml" xmlns:w10="urn:schemas-microsoft-com:office:word" xmlns:sl="http://schemas.openxmlformats.org/schemaLibrary/2006/main" xmlns:m="http://schemas.openxmlformats.org/officeDocument/2006/math" xmlns:o="urn:schemas-microsoft-com:office:office" w:type="character" w:styleId="2c048c3e">
    <w:name w:val="Default Paragraph Font2c048c3e"/>
    <w:semiHidden/>
    <w:unhideWhenUsed/>
    <w:uiPriority w:val="1"/>
  </w:style>
  <w:style xmlns:v="urn:schemas-microsoft-com:vml" xmlns:w10="urn:schemas-microsoft-com:office:word" xmlns:sl="http://schemas.openxmlformats.org/schemaLibrary/2006/main" xmlns:m="http://schemas.openxmlformats.org/officeDocument/2006/math" xmlns:o="urn:schemas-microsoft-com:office:office" w:type="table" w:styleId="48e9cc66">
    <w:name w:val="Normal Table48e9cc66"/>
    <w:semiHidden/>
    <w:unhideWhenUsed/>
    <w:uiPriority w:val="99"/>
    <w:tblPr>
      <w:tblCellMar>
        <w:top w:w="0" w:type="dxa"/>
        <w:left w:w="108" w:type="dxa"/>
        <w:bottom w:w="0" w:type="dxa"/>
        <w:right w:w="108" w:type="dxa"/>
      </w:tblCellMar>
    </w:tblPr>
  </w:style>
  <w:style xmlns:v="urn:schemas-microsoft-com:vml" xmlns:w10="urn:schemas-microsoft-com:office:word" xmlns:sl="http://schemas.openxmlformats.org/schemaLibrary/2006/main" xmlns:m="http://schemas.openxmlformats.org/officeDocument/2006/math" xmlns:o="urn:schemas-microsoft-com:office:office" w:type="paragraph" w:styleId="8c5c1cba">
    <w:name w:val="footer8c5c1cba"/>
    <w:basedOn w:val="740ed9b3"/>
    <w:qFormat/>
    <w:uiPriority w:val="0"/>
    <w:pPr>
      <w:snapToGrid w:val="0"/>
      <w:jc w:val="left"/>
    </w:pPr>
    <w:rPr>
      <w:sz w:val="18"/>
      <w:szCs w:val="18"/>
    </w:rPr>
  </w:style>
  <w:style xmlns:v="urn:schemas-microsoft-com:vml" xmlns:w10="urn:schemas-microsoft-com:office:word" xmlns:sl="http://schemas.openxmlformats.org/schemaLibrary/2006/main" xmlns:m="http://schemas.openxmlformats.org/officeDocument/2006/math" xmlns:o="urn:schemas-microsoft-com:office:office" w:type="paragraph" w:styleId="582d723a">
    <w:name w:val="HTML Preformatted582d723a"/>
    <w:basedOn w:val="740ed9b3"/>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no"?><Relationships xmlns="http://schemas.openxmlformats.org/package/2006/relationships"><Relationship Id="rId1" Target="settings.xml" Type="http://schemas.openxmlformats.org/officeDocument/2006/relationships/settings"/><Relationship Id="rId10" Target="numbering.xml" Type="http://schemas.openxmlformats.org/officeDocument/2006/relationships/numbering"/><Relationship Id="rId11" Target="styles.xml" Type="http://schemas.openxmlformats.org/officeDocument/2006/relationships/styles"/><Relationship Id="rId2" Target="webSettings.xml" Type="http://schemas.openxmlformats.org/officeDocument/2006/relationships/webSettings"/><Relationship Id="rId3" Target="fontTable.xml" Type="http://schemas.openxmlformats.org/officeDocument/2006/relationships/fontTable"/><Relationship Id="rId4" Target="../customXml/item1.xml" Type="http://schemas.openxmlformats.org/officeDocument/2006/relationships/customXml"/><Relationship Id="rId5" Target="../customXml/item2.xml" Type="http://schemas.openxmlformats.org/officeDocument/2006/relationships/customXml"/><Relationship Id="rId6" Target="header1.xml" Type="http://schemas.openxmlformats.org/officeDocument/2006/relationships/header"/><Relationship Id="rId7" Target="header2.xml" Type="http://schemas.openxmlformats.org/officeDocument/2006/relationships/header"/><Relationship Id="rId8" Target="footer1.xml" Type="http://schemas.openxmlformats.org/officeDocument/2006/relationships/footer"/><Relationship Id="rId9"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31D1453-81C8-4B6E-B815-1E3FAD06651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42</Pages>
  <Words>1707</Words>
  <Characters>9735</Characters>
  <Application>Microsoft Office Word</Application>
  <DocSecurity>0</DocSecurity>
  <Lines>81</Lines>
  <Paragraphs>22</Paragraphs>
  <ScaleCrop>false</ScaleCrop>
  <Company>dell</Company>
  <LinksUpToDate>false</LinksUpToDate>
  <CharactersWithSpaces>11420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2024-06-28T09:11:00Z</dcterms:created>
  <dc:creator>刘菁</dc:creator>
  <cp:lastModifiedBy>H226963@365mmt.com</cp:lastModifiedBy>
  <cp:lastPrinted>2021-11-30T07:30:00Z</cp:lastPrinted>
  <dcterms:modified xsi:type="dcterms:W3CDTF">2026-07-14T10:57:00Z</dcterms:modified>
  <cp:revision>162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BCF77FBE8CB04702AFA823AAF44C33F0</vt:lpwstr>
  </property>
  <property fmtid="{D5CDD505-2E9C-101B-9397-08002B2CF9AE}" pid="3" name="KSOProductBuildVer">
    <vt:lpwstr>2052-11.1.0.11875</vt:lpwstr>
  </property>
</Properties>
</file>