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ind w:firstLine="0" w:firstLineChars="0"/>
        <w:rPr>
          <w:rFonts w:ascii="Times New Roman" w:hAnsi="Times New Roman" w:eastAsia="方正小标宋简体" w:cs="Times New Roman"/>
          <w:bCs/>
          <w:sz w:val="52"/>
          <w:szCs w:val="52"/>
        </w:rPr>
      </w:pPr>
    </w:p>
    <w:p>
      <w:pPr>
        <w:pStyle w:val="2"/>
        <w:widowControl w:val="0"/>
        <w:ind w:firstLine="0" w:firstLineChars="0"/>
        <w:rPr>
          <w:rFonts w:ascii="Times New Roman" w:hAnsi="Times New Roman" w:eastAsia="方正小标宋简体" w:cs="Times New Roman"/>
          <w:bCs/>
          <w:sz w:val="52"/>
          <w:szCs w:val="52"/>
        </w:rPr>
      </w:pPr>
    </w:p>
    <w:p>
      <w:pPr>
        <w:widowControl w:val="0"/>
        <w:adjustRightInd/>
        <w:snapToGrid/>
        <w:spacing w:after="0" w:line="700" w:lineRule="exact"/>
        <w:jc w:val="center"/>
        <w:rPr>
          <w:rFonts w:ascii="Times New Roman" w:hAnsi="Times New Roman" w:eastAsia="方正小标宋简体" w:cs="Times New Roman"/>
          <w:b/>
          <w:sz w:val="52"/>
          <w:szCs w:val="52"/>
        </w:rPr>
      </w:pPr>
      <w:r>
        <w:rPr>
          <w:rFonts w:ascii="Times New Roman" w:hAnsi="Times New Roman" w:eastAsia="方正小标宋简体" w:cs="Times New Roman"/>
          <w:b/>
          <w:sz w:val="52"/>
          <w:szCs w:val="52"/>
        </w:rPr>
        <w:t>南安市国民经济和社会发展</w:t>
      </w:r>
    </w:p>
    <w:p>
      <w:pPr>
        <w:widowControl w:val="0"/>
        <w:adjustRightInd/>
        <w:snapToGrid/>
        <w:spacing w:after="0" w:line="700" w:lineRule="exact"/>
        <w:jc w:val="center"/>
        <w:rPr>
          <w:rFonts w:ascii="Times New Roman" w:hAnsi="Times New Roman" w:eastAsia="方正小标宋简体" w:cs="Times New Roman"/>
          <w:b/>
          <w:sz w:val="52"/>
          <w:szCs w:val="52"/>
        </w:rPr>
      </w:pPr>
      <w:r>
        <w:rPr>
          <w:rFonts w:ascii="Times New Roman" w:hAnsi="Times New Roman" w:eastAsia="方正小标宋简体" w:cs="Times New Roman"/>
          <w:b/>
          <w:sz w:val="52"/>
          <w:szCs w:val="52"/>
        </w:rPr>
        <w:t>第十四个五年规划和二〇三五年</w:t>
      </w:r>
    </w:p>
    <w:p>
      <w:pPr>
        <w:widowControl w:val="0"/>
        <w:adjustRightInd/>
        <w:snapToGrid/>
        <w:spacing w:after="0" w:line="700" w:lineRule="exact"/>
        <w:jc w:val="center"/>
        <w:rPr>
          <w:rFonts w:ascii="Times New Roman" w:hAnsi="Times New Roman" w:eastAsia="方正小标宋简体" w:cs="Times New Roman"/>
          <w:b/>
          <w:sz w:val="52"/>
          <w:szCs w:val="52"/>
        </w:rPr>
      </w:pPr>
      <w:r>
        <w:rPr>
          <w:rFonts w:ascii="Times New Roman" w:hAnsi="Times New Roman" w:eastAsia="方正小标宋简体" w:cs="Times New Roman"/>
          <w:b/>
          <w:sz w:val="52"/>
          <w:szCs w:val="52"/>
        </w:rPr>
        <w:t>远景目标纲要</w:t>
      </w:r>
    </w:p>
    <w:p>
      <w:pPr>
        <w:widowControl w:val="0"/>
        <w:spacing w:after="0" w:line="620" w:lineRule="exact"/>
        <w:jc w:val="center"/>
        <w:rPr>
          <w:rFonts w:ascii="Times New Roman" w:hAnsi="Times New Roman" w:eastAsia="楷体_GB2312" w:cs="Times New Roman"/>
          <w:b/>
          <w:bCs/>
          <w:sz w:val="32"/>
          <w:szCs w:val="32"/>
        </w:rPr>
      </w:pPr>
    </w:p>
    <w:p>
      <w:pPr>
        <w:widowControl w:val="0"/>
        <w:spacing w:after="0" w:line="620" w:lineRule="exact"/>
        <w:jc w:val="center"/>
        <w:rPr>
          <w:rFonts w:hint="eastAsia" w:ascii="Times New Roman" w:hAnsi="Times New Roman" w:eastAsia="方正楷体简体" w:cs="Times New Roman"/>
          <w:b/>
          <w:bCs/>
          <w:sz w:val="32"/>
          <w:szCs w:val="32"/>
          <w:lang w:val="en-US" w:eastAsia="zh-CN"/>
        </w:rPr>
      </w:pPr>
      <w:r>
        <w:rPr>
          <w:rFonts w:hint="eastAsia" w:ascii="Times New Roman" w:hAnsi="Times New Roman" w:eastAsia="方正楷体简体" w:cs="Times New Roman"/>
          <w:b/>
          <w:bCs/>
          <w:sz w:val="32"/>
          <w:szCs w:val="32"/>
          <w:lang w:val="en-US" w:eastAsia="zh-CN"/>
        </w:rPr>
        <w:t>2020年12月29日</w:t>
      </w:r>
      <w:r>
        <w:rPr>
          <w:rFonts w:hint="eastAsia" w:ascii="Times New Roman" w:hAnsi="Times New Roman" w:eastAsia="方正楷体简体" w:cs="Times New Roman"/>
          <w:b/>
          <w:bCs/>
          <w:sz w:val="32"/>
          <w:szCs w:val="32"/>
        </w:rPr>
        <w:t>市第十七届</w:t>
      </w:r>
      <w:r>
        <w:rPr>
          <w:rFonts w:hint="eastAsia" w:ascii="Times New Roman" w:hAnsi="Times New Roman" w:eastAsia="方正楷体简体" w:cs="Times New Roman"/>
          <w:b/>
          <w:bCs/>
          <w:sz w:val="32"/>
          <w:szCs w:val="32"/>
          <w:lang w:eastAsia="zh-CN"/>
        </w:rPr>
        <w:t>人大</w:t>
      </w:r>
      <w:r>
        <w:rPr>
          <w:rFonts w:hint="eastAsia" w:ascii="Times New Roman" w:hAnsi="Times New Roman" w:eastAsia="方正楷体简体" w:cs="Times New Roman"/>
          <w:b/>
          <w:bCs/>
          <w:sz w:val="32"/>
          <w:szCs w:val="32"/>
        </w:rPr>
        <w:t>五次会议</w:t>
      </w:r>
      <w:r>
        <w:rPr>
          <w:rFonts w:hint="eastAsia" w:ascii="Times New Roman" w:hAnsi="Times New Roman" w:eastAsia="方正楷体简体" w:cs="Times New Roman"/>
          <w:b/>
          <w:bCs/>
          <w:sz w:val="32"/>
          <w:szCs w:val="32"/>
          <w:lang w:val="en-US" w:eastAsia="zh-CN"/>
        </w:rPr>
        <w:t>批准</w:t>
      </w:r>
    </w:p>
    <w:p>
      <w:pPr>
        <w:widowControl w:val="0"/>
        <w:spacing w:after="0" w:line="620" w:lineRule="exact"/>
        <w:jc w:val="both"/>
        <w:rPr>
          <w:rFonts w:ascii="Times New Roman" w:hAnsi="Times New Roman" w:eastAsia="方正楷体简体" w:cs="Times New Roman"/>
          <w:b/>
          <w:bCs/>
          <w:sz w:val="32"/>
          <w:szCs w:val="32"/>
        </w:rPr>
      </w:pPr>
    </w:p>
    <w:p>
      <w:pPr>
        <w:pStyle w:val="2"/>
        <w:widowControl w:val="0"/>
        <w:ind w:firstLine="560"/>
        <w:rPr>
          <w:rFonts w:ascii="Times New Roman" w:hAnsi="Times New Roman" w:cs="Times New Roman"/>
        </w:rPr>
      </w:pPr>
    </w:p>
    <w:p>
      <w:pPr>
        <w:pStyle w:val="2"/>
        <w:widowControl w:val="0"/>
        <w:ind w:firstLine="560"/>
        <w:rPr>
          <w:rFonts w:ascii="Times New Roman" w:hAnsi="Times New Roman" w:cs="Times New Roman"/>
        </w:rPr>
      </w:pPr>
    </w:p>
    <w:p>
      <w:pPr>
        <w:pStyle w:val="2"/>
        <w:widowControl w:val="0"/>
        <w:ind w:firstLine="560"/>
        <w:rPr>
          <w:rFonts w:ascii="Times New Roman" w:hAnsi="Times New Roman" w:cs="Times New Roman"/>
        </w:rPr>
      </w:pPr>
    </w:p>
    <w:p>
      <w:pPr>
        <w:pStyle w:val="2"/>
        <w:widowControl w:val="0"/>
        <w:ind w:firstLine="560"/>
        <w:rPr>
          <w:rFonts w:ascii="Times New Roman" w:hAnsi="Times New Roman" w:cs="Times New Roman"/>
        </w:rPr>
      </w:pPr>
    </w:p>
    <w:p>
      <w:pPr>
        <w:pStyle w:val="2"/>
        <w:widowControl w:val="0"/>
        <w:ind w:firstLine="560"/>
        <w:rPr>
          <w:rFonts w:ascii="Times New Roman" w:hAnsi="Times New Roman" w:cs="Times New Roman"/>
        </w:rPr>
      </w:pPr>
    </w:p>
    <w:p>
      <w:pPr>
        <w:pStyle w:val="2"/>
        <w:widowControl w:val="0"/>
        <w:ind w:firstLine="560"/>
        <w:rPr>
          <w:rFonts w:ascii="Times New Roman" w:hAnsi="Times New Roman" w:cs="Times New Roman"/>
        </w:rPr>
      </w:pPr>
    </w:p>
    <w:p>
      <w:pPr>
        <w:pStyle w:val="2"/>
        <w:widowControl w:val="0"/>
        <w:ind w:firstLine="560"/>
        <w:rPr>
          <w:rFonts w:ascii="Times New Roman" w:hAnsi="Times New Roman" w:cs="Times New Roman"/>
        </w:rPr>
      </w:pPr>
    </w:p>
    <w:p>
      <w:pPr>
        <w:pStyle w:val="2"/>
        <w:widowControl w:val="0"/>
        <w:ind w:firstLine="560"/>
        <w:rPr>
          <w:rFonts w:ascii="Times New Roman" w:hAnsi="Times New Roman" w:cs="Times New Roman"/>
        </w:rPr>
      </w:pPr>
    </w:p>
    <w:p>
      <w:pPr>
        <w:pStyle w:val="2"/>
        <w:ind w:firstLine="0" w:firstLineChars="0"/>
      </w:pPr>
    </w:p>
    <w:p>
      <w:pPr>
        <w:pStyle w:val="2"/>
        <w:ind w:firstLine="560"/>
        <w:rPr>
          <w:rFonts w:ascii="Times New Roman" w:hAnsi="Times New Roman" w:cs="Times New Roman"/>
        </w:rPr>
      </w:pPr>
    </w:p>
    <w:p>
      <w:pPr>
        <w:pStyle w:val="2"/>
        <w:ind w:firstLine="560"/>
        <w:rPr>
          <w:rFonts w:ascii="Times New Roman" w:hAnsi="Times New Roman" w:cs="Times New Roman"/>
        </w:rPr>
      </w:pPr>
    </w:p>
    <w:p>
      <w:pPr>
        <w:pStyle w:val="2"/>
        <w:ind w:firstLine="560"/>
        <w:rPr>
          <w:rFonts w:ascii="Times New Roman" w:hAnsi="Times New Roman" w:cs="Times New Roman"/>
        </w:rPr>
      </w:pPr>
    </w:p>
    <w:p>
      <w:pPr>
        <w:widowControl w:val="0"/>
        <w:adjustRightInd/>
        <w:snapToGrid/>
        <w:spacing w:after="0" w:line="620" w:lineRule="exact"/>
        <w:ind w:left="440" w:leftChars="200"/>
        <w:jc w:val="center"/>
        <w:rPr>
          <w:rFonts w:ascii="Times New Roman" w:hAnsi="Times New Roman" w:eastAsia="方正黑体简体" w:cs="Times New Roman"/>
          <w:bCs/>
          <w:sz w:val="32"/>
          <w:szCs w:val="32"/>
        </w:rPr>
      </w:pPr>
    </w:p>
    <w:p>
      <w:pPr>
        <w:widowControl w:val="0"/>
        <w:adjustRightInd/>
        <w:snapToGrid/>
        <w:spacing w:after="0" w:line="620" w:lineRule="exact"/>
        <w:ind w:left="440" w:leftChars="200"/>
        <w:jc w:val="center"/>
        <w:rPr>
          <w:rFonts w:ascii="Times New Roman" w:hAnsi="Times New Roman" w:eastAsia="方正黑体简体" w:cs="Times New Roman"/>
          <w:bCs/>
          <w:sz w:val="32"/>
          <w:szCs w:val="32"/>
        </w:rPr>
      </w:pPr>
      <w:r>
        <w:rPr>
          <w:rFonts w:hint="eastAsia" w:ascii="Times New Roman" w:hAnsi="Times New Roman" w:eastAsia="方正黑体简体" w:cs="Times New Roman"/>
          <w:bCs/>
          <w:sz w:val="32"/>
          <w:szCs w:val="32"/>
          <w:lang w:val="en-US" w:eastAsia="zh-CN"/>
        </w:rPr>
        <w:t>2020</w:t>
      </w:r>
      <w:r>
        <w:rPr>
          <w:rFonts w:ascii="Times New Roman" w:hAnsi="Times New Roman" w:eastAsia="方正黑体简体" w:cs="Times New Roman"/>
          <w:bCs/>
          <w:sz w:val="32"/>
          <w:szCs w:val="32"/>
        </w:rPr>
        <w:t>年</w:t>
      </w:r>
      <w:r>
        <w:rPr>
          <w:rFonts w:hint="eastAsia" w:ascii="Times New Roman" w:hAnsi="Times New Roman" w:eastAsia="方正黑体简体" w:cs="Times New Roman"/>
          <w:bCs/>
          <w:sz w:val="32"/>
          <w:szCs w:val="32"/>
          <w:lang w:val="en-US" w:eastAsia="zh-CN"/>
        </w:rPr>
        <w:t>12</w:t>
      </w:r>
      <w:r>
        <w:rPr>
          <w:rFonts w:ascii="Times New Roman" w:hAnsi="Times New Roman" w:eastAsia="方正黑体简体" w:cs="Times New Roman"/>
          <w:bCs/>
          <w:sz w:val="32"/>
          <w:szCs w:val="32"/>
        </w:rPr>
        <w:t>月</w:t>
      </w:r>
    </w:p>
    <w:p>
      <w:pPr>
        <w:pStyle w:val="2"/>
        <w:widowControl w:val="0"/>
        <w:ind w:firstLine="560"/>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after="0" w:line="560" w:lineRule="exact"/>
        <w:ind w:right="0" w:rightChars="0"/>
        <w:jc w:val="center"/>
        <w:textAlignment w:val="auto"/>
        <w:rPr>
          <w:rFonts w:ascii="Times New Roman" w:hAnsi="Times New Roman" w:eastAsia="方正仿宋简体"/>
          <w:sz w:val="30"/>
          <w:szCs w:val="32"/>
        </w:rPr>
      </w:pPr>
    </w:p>
    <w:p>
      <w:pPr>
        <w:keepNext w:val="0"/>
        <w:keepLines w:val="0"/>
        <w:pageBreakBefore w:val="0"/>
        <w:widowControl w:val="0"/>
        <w:kinsoku/>
        <w:wordWrap/>
        <w:overflowPunct/>
        <w:topLinePunct w:val="0"/>
        <w:autoSpaceDE/>
        <w:autoSpaceDN/>
        <w:bidi w:val="0"/>
        <w:adjustRightInd/>
        <w:snapToGrid/>
        <w:spacing w:after="0" w:line="560" w:lineRule="exact"/>
        <w:ind w:right="0" w:rightChars="0"/>
        <w:jc w:val="center"/>
        <w:textAlignment w:val="auto"/>
        <w:rPr>
          <w:rFonts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right="0" w:rightChars="0"/>
        <w:jc w:val="both"/>
        <w:textAlignment w:val="auto"/>
        <w:rPr>
          <w:rFonts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right="0" w:rightChars="0"/>
        <w:jc w:val="center"/>
        <w:textAlignment w:val="auto"/>
        <w:rPr>
          <w:rFonts w:ascii="Times New Roman" w:hAnsi="Times New Roman" w:eastAsia="方正仿宋简体"/>
          <w:sz w:val="32"/>
          <w:szCs w:val="32"/>
        </w:rPr>
      </w:pPr>
    </w:p>
    <w:p>
      <w:pPr>
        <w:keepNext w:val="0"/>
        <w:keepLines w:val="0"/>
        <w:pageBreakBefore w:val="0"/>
        <w:kinsoku/>
        <w:wordWrap/>
        <w:overflowPunct/>
        <w:topLinePunct w:val="0"/>
        <w:autoSpaceDE/>
        <w:autoSpaceDN/>
        <w:bidi w:val="0"/>
        <w:spacing w:after="0" w:line="560" w:lineRule="exact"/>
        <w:ind w:right="0" w:rightChars="0"/>
        <w:jc w:val="center"/>
        <w:textAlignment w:val="auto"/>
        <w:rPr>
          <w:rFonts w:ascii="Times New Roman" w:hAnsi="Times New Roman" w:eastAsia="方正仿宋简体"/>
          <w:sz w:val="32"/>
          <w:szCs w:val="32"/>
        </w:rPr>
      </w:pPr>
      <w:r>
        <w:rPr>
          <w:rFonts w:ascii="Times New Roman" w:hAnsi="Times New Roman" w:eastAsia="方正仿宋简体"/>
          <w:sz w:val="32"/>
          <w:szCs w:val="32"/>
        </w:rPr>
        <w:t>南政〔</w:t>
      </w:r>
      <w:r>
        <w:rPr>
          <w:rFonts w:hint="eastAsia" w:ascii="Times New Roman" w:hAnsi="Times New Roman" w:eastAsia="方正仿宋简体"/>
          <w:sz w:val="32"/>
          <w:szCs w:val="32"/>
          <w:lang w:val="en-US" w:eastAsia="zh-CN"/>
        </w:rPr>
        <w:t>2021</w:t>
      </w:r>
      <w:r>
        <w:rPr>
          <w:rFonts w:ascii="Times New Roman" w:hAnsi="Times New Roman" w:eastAsia="方正仿宋简体"/>
          <w:sz w:val="32"/>
          <w:szCs w:val="32"/>
        </w:rPr>
        <w:t>〕</w:t>
      </w:r>
      <w:r>
        <w:rPr>
          <w:rFonts w:hint="eastAsia" w:ascii="Times New Roman" w:hAnsi="Times New Roman" w:eastAsia="方正仿宋简体"/>
          <w:sz w:val="32"/>
          <w:szCs w:val="32"/>
          <w:lang w:val="en-US" w:eastAsia="zh-CN"/>
        </w:rPr>
        <w:t>12</w:t>
      </w:r>
      <w:r>
        <w:rPr>
          <w:rFonts w:ascii="Times New Roman" w:hAnsi="Times New Roman" w:eastAsia="方正仿宋简体"/>
          <w:sz w:val="32"/>
          <w:szCs w:val="32"/>
        </w:rPr>
        <w:t>号</w:t>
      </w:r>
    </w:p>
    <w:p>
      <w:pPr>
        <w:keepNext w:val="0"/>
        <w:keepLines w:val="0"/>
        <w:pageBreakBefore w:val="0"/>
        <w:kinsoku/>
        <w:wordWrap/>
        <w:overflowPunct/>
        <w:topLinePunct w:val="0"/>
        <w:autoSpaceDE/>
        <w:autoSpaceDN/>
        <w:bidi w:val="0"/>
        <w:spacing w:after="0" w:line="560" w:lineRule="exact"/>
        <w:ind w:right="0" w:rightChars="0"/>
        <w:jc w:val="center"/>
        <w:textAlignment w:val="auto"/>
        <w:rPr>
          <w:rFonts w:hint="eastAsia" w:ascii="Times New Roman" w:hAnsi="Times New Roman" w:eastAsia="方正仿宋简体"/>
          <w:sz w:val="32"/>
          <w:szCs w:val="32"/>
        </w:rPr>
      </w:pPr>
    </w:p>
    <w:p>
      <w:pPr>
        <w:keepNext w:val="0"/>
        <w:keepLines w:val="0"/>
        <w:pageBreakBefore w:val="0"/>
        <w:kinsoku/>
        <w:wordWrap/>
        <w:overflowPunct/>
        <w:topLinePunct w:val="0"/>
        <w:autoSpaceDE/>
        <w:autoSpaceDN/>
        <w:bidi w:val="0"/>
        <w:spacing w:after="0" w:line="560" w:lineRule="exact"/>
        <w:ind w:right="0" w:rightChars="0"/>
        <w:jc w:val="center"/>
        <w:textAlignment w:val="auto"/>
        <w:rPr>
          <w:rFonts w:hint="eastAsia" w:ascii="Times New Roman" w:hAnsi="Times New Roman" w:eastAsia="方正仿宋简体"/>
          <w:sz w:val="32"/>
          <w:szCs w:val="32"/>
        </w:rPr>
      </w:pPr>
    </w:p>
    <w:p>
      <w:pPr>
        <w:keepNext w:val="0"/>
        <w:keepLines w:val="0"/>
        <w:pageBreakBefore w:val="0"/>
        <w:kinsoku/>
        <w:wordWrap/>
        <w:overflowPunct/>
        <w:topLinePunct w:val="0"/>
        <w:autoSpaceDE/>
        <w:autoSpaceDN/>
        <w:bidi w:val="0"/>
        <w:spacing w:after="0" w:line="560" w:lineRule="exact"/>
        <w:ind w:right="0" w:rightChars="0"/>
        <w:jc w:val="center"/>
        <w:textAlignment w:val="auto"/>
        <w:rPr>
          <w:rFonts w:hint="eastAsia" w:ascii="方正小标宋简体" w:hAnsi="Times New Roman" w:eastAsia="方正小标宋简体"/>
          <w:color w:val="000000"/>
          <w:sz w:val="44"/>
          <w:szCs w:val="44"/>
          <w:shd w:val="clear" w:color="auto" w:fill="FFFFFF"/>
        </w:rPr>
      </w:pPr>
      <w:r>
        <w:rPr>
          <w:rFonts w:hint="eastAsia" w:ascii="方正小标宋简体" w:hAnsi="Times New Roman" w:eastAsia="方正小标宋简体"/>
          <w:color w:val="000000"/>
          <w:sz w:val="44"/>
          <w:szCs w:val="44"/>
          <w:shd w:val="clear" w:color="auto" w:fill="FFFFFF"/>
        </w:rPr>
        <w:t>南安市人民政府关于印发</w:t>
      </w:r>
      <w:r>
        <w:rPr>
          <w:rFonts w:hint="eastAsia" w:ascii="方正小标宋简体" w:hAnsi="Times New Roman" w:eastAsia="方正小标宋简体"/>
          <w:color w:val="000000"/>
          <w:sz w:val="44"/>
          <w:szCs w:val="44"/>
          <w:shd w:val="clear" w:color="auto" w:fill="FFFFFF"/>
          <w:lang w:eastAsia="zh-CN"/>
        </w:rPr>
        <w:t>南安</w:t>
      </w:r>
      <w:r>
        <w:rPr>
          <w:rFonts w:hint="eastAsia" w:ascii="方正小标宋简体" w:hAnsi="Times New Roman" w:eastAsia="方正小标宋简体"/>
          <w:color w:val="000000"/>
          <w:sz w:val="44"/>
          <w:szCs w:val="44"/>
          <w:shd w:val="clear" w:color="auto" w:fill="FFFFFF"/>
        </w:rPr>
        <w:t>市国民经济和</w:t>
      </w:r>
    </w:p>
    <w:p>
      <w:pPr>
        <w:keepNext w:val="0"/>
        <w:keepLines w:val="0"/>
        <w:pageBreakBefore w:val="0"/>
        <w:kinsoku/>
        <w:wordWrap/>
        <w:overflowPunct/>
        <w:topLinePunct w:val="0"/>
        <w:autoSpaceDE/>
        <w:autoSpaceDN/>
        <w:bidi w:val="0"/>
        <w:spacing w:after="0" w:line="560" w:lineRule="exact"/>
        <w:ind w:right="0" w:rightChars="0"/>
        <w:jc w:val="center"/>
        <w:textAlignment w:val="auto"/>
        <w:rPr>
          <w:rFonts w:hint="eastAsia" w:ascii="方正小标宋简体" w:hAnsi="Times New Roman" w:eastAsia="方正小标宋简体"/>
          <w:color w:val="000000"/>
          <w:sz w:val="44"/>
          <w:szCs w:val="44"/>
          <w:shd w:val="clear" w:color="auto" w:fill="FFFFFF"/>
        </w:rPr>
      </w:pPr>
      <w:r>
        <w:rPr>
          <w:rFonts w:hint="eastAsia" w:ascii="方正小标宋简体" w:hAnsi="Times New Roman" w:eastAsia="方正小标宋简体"/>
          <w:color w:val="000000"/>
          <w:sz w:val="44"/>
          <w:szCs w:val="44"/>
          <w:shd w:val="clear" w:color="auto" w:fill="FFFFFF"/>
        </w:rPr>
        <w:t>社会发展第十四个五年规划和二〇三五年</w:t>
      </w:r>
    </w:p>
    <w:p>
      <w:pPr>
        <w:keepNext w:val="0"/>
        <w:keepLines w:val="0"/>
        <w:pageBreakBefore w:val="0"/>
        <w:kinsoku/>
        <w:wordWrap/>
        <w:overflowPunct/>
        <w:topLinePunct w:val="0"/>
        <w:autoSpaceDE/>
        <w:autoSpaceDN/>
        <w:bidi w:val="0"/>
        <w:spacing w:after="0" w:line="560" w:lineRule="exact"/>
        <w:ind w:right="0" w:rightChars="0"/>
        <w:jc w:val="center"/>
        <w:textAlignment w:val="auto"/>
        <w:rPr>
          <w:rFonts w:hint="eastAsia" w:ascii="方正小标宋简体" w:hAnsi="Times New Roman" w:eastAsia="方正小标宋简体"/>
          <w:sz w:val="44"/>
          <w:szCs w:val="44"/>
        </w:rPr>
      </w:pPr>
      <w:r>
        <w:rPr>
          <w:rFonts w:hint="eastAsia" w:ascii="方正小标宋简体" w:hAnsi="Times New Roman" w:eastAsia="方正小标宋简体"/>
          <w:color w:val="000000"/>
          <w:sz w:val="44"/>
          <w:szCs w:val="44"/>
          <w:shd w:val="clear" w:color="auto" w:fill="FFFFFF"/>
        </w:rPr>
        <w:t>远景目标纲要的通知</w:t>
      </w:r>
    </w:p>
    <w:p>
      <w:pPr>
        <w:keepNext w:val="0"/>
        <w:keepLines w:val="0"/>
        <w:pageBreakBefore w:val="0"/>
        <w:kinsoku/>
        <w:wordWrap/>
        <w:overflowPunct/>
        <w:topLinePunct w:val="0"/>
        <w:autoSpaceDE/>
        <w:autoSpaceDN/>
        <w:bidi w:val="0"/>
        <w:spacing w:after="0" w:line="560" w:lineRule="exact"/>
        <w:ind w:right="0" w:rightChars="0" w:firstLine="640" w:firstLineChars="200"/>
        <w:textAlignment w:val="auto"/>
        <w:rPr>
          <w:rFonts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rPr>
          <w:rFonts w:ascii="Times New Roman" w:hAnsi="Times New Roman" w:eastAsia="方正仿宋简体"/>
          <w:sz w:val="32"/>
          <w:szCs w:val="32"/>
        </w:rPr>
      </w:pPr>
      <w:r>
        <w:rPr>
          <w:rFonts w:ascii="Times New Roman" w:hAnsi="Times New Roman" w:eastAsia="方正仿宋简体"/>
          <w:sz w:val="32"/>
          <w:szCs w:val="32"/>
        </w:rPr>
        <w:t>各乡镇（街道）人民政府（办事处）、雪峰开发区、经济开发区管委会，市直</w:t>
      </w:r>
      <w:r>
        <w:rPr>
          <w:rFonts w:hint="eastAsia" w:ascii="Times New Roman" w:hAnsi="Times New Roman" w:eastAsia="方正仿宋简体"/>
          <w:sz w:val="32"/>
          <w:szCs w:val="32"/>
          <w:lang w:eastAsia="zh-CN"/>
        </w:rPr>
        <w:t>各</w:t>
      </w:r>
      <w:r>
        <w:rPr>
          <w:rFonts w:ascii="Times New Roman" w:hAnsi="Times New Roman" w:eastAsia="方正仿宋简体"/>
          <w:sz w:val="32"/>
          <w:szCs w:val="32"/>
        </w:rPr>
        <w:t>单位：</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w:t>
      </w:r>
      <w:r>
        <w:rPr>
          <w:rFonts w:hint="eastAsia" w:ascii="Times New Roman" w:hAnsi="Times New Roman" w:eastAsia="方正仿宋简体"/>
          <w:sz w:val="32"/>
          <w:szCs w:val="32"/>
          <w:lang w:eastAsia="zh-CN"/>
        </w:rPr>
        <w:t>南安</w:t>
      </w:r>
      <w:r>
        <w:rPr>
          <w:rFonts w:hint="eastAsia" w:ascii="Times New Roman" w:hAnsi="Times New Roman" w:eastAsia="方正仿宋简体"/>
          <w:sz w:val="32"/>
          <w:szCs w:val="32"/>
        </w:rPr>
        <w:t>市国民经济和社会发展第十四个五年规划和二〇三五年远景目标纲要</w:t>
      </w:r>
      <w:r>
        <w:rPr>
          <w:rFonts w:ascii="Times New Roman" w:hAnsi="Times New Roman" w:eastAsia="方正仿宋简体"/>
          <w:sz w:val="32"/>
          <w:szCs w:val="32"/>
        </w:rPr>
        <w:t>》已经</w:t>
      </w:r>
      <w:r>
        <w:rPr>
          <w:rFonts w:hint="eastAsia" w:ascii="Times New Roman" w:hAnsi="Times New Roman" w:eastAsia="方正仿宋简体"/>
          <w:sz w:val="32"/>
          <w:szCs w:val="32"/>
          <w:lang w:eastAsia="zh-CN"/>
        </w:rPr>
        <w:t>市</w:t>
      </w:r>
      <w:r>
        <w:rPr>
          <w:rFonts w:hint="eastAsia" w:ascii="Times New Roman" w:hAnsi="Times New Roman" w:eastAsia="方正仿宋简体"/>
          <w:sz w:val="32"/>
          <w:szCs w:val="32"/>
          <w:lang w:val="en-US" w:eastAsia="zh-CN"/>
        </w:rPr>
        <w:t>十七届人大五次会议审议通过</w:t>
      </w:r>
      <w:r>
        <w:rPr>
          <w:rFonts w:ascii="Times New Roman" w:hAnsi="Times New Roman" w:eastAsia="方正仿宋简体"/>
          <w:sz w:val="32"/>
          <w:szCs w:val="32"/>
        </w:rPr>
        <w:t>，现印发给你们，请认真</w:t>
      </w:r>
      <w:r>
        <w:rPr>
          <w:rFonts w:hint="eastAsia" w:ascii="Times New Roman" w:hAnsi="Times New Roman" w:eastAsia="方正仿宋简体"/>
          <w:sz w:val="32"/>
          <w:szCs w:val="32"/>
          <w:lang w:eastAsia="zh-CN"/>
        </w:rPr>
        <w:t>组织实施</w:t>
      </w:r>
      <w:r>
        <w:rPr>
          <w:rFonts w:ascii="Times New Roman" w:hAnsi="Times New Roman" w:eastAsia="方正仿宋简体"/>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textAlignment w:val="auto"/>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textAlignment w:val="auto"/>
        <w:rPr>
          <w:rFonts w:hint="eastAsia" w:ascii="Times New Roman" w:hAnsi="Times New Roman" w:eastAsia="方正仿宋简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after="0" w:line="560" w:lineRule="exact"/>
        <w:ind w:right="0" w:rightChars="0"/>
        <w:jc w:val="both"/>
        <w:textAlignment w:val="auto"/>
        <w:rPr>
          <w:rFonts w:ascii="Times New Roman" w:hAnsi="Times New Roman" w:eastAsia="方正仿宋简体"/>
          <w:sz w:val="32"/>
          <w:szCs w:val="32"/>
        </w:rPr>
      </w:pP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南安市人民政府</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jc w:val="center"/>
        <w:textAlignment w:val="auto"/>
        <w:rPr>
          <w:rFonts w:ascii="Times New Roman" w:hAnsi="Times New Roman" w:eastAsia="方正仿宋简体"/>
          <w:sz w:val="32"/>
          <w:szCs w:val="32"/>
        </w:rPr>
      </w:pP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20</w:t>
      </w:r>
      <w:r>
        <w:rPr>
          <w:rFonts w:hint="eastAsia" w:ascii="Times New Roman" w:hAnsi="Times New Roman" w:eastAsia="方正仿宋简体"/>
          <w:sz w:val="32"/>
          <w:szCs w:val="32"/>
          <w:lang w:val="en-US" w:eastAsia="zh-CN"/>
        </w:rPr>
        <w:t>21</w:t>
      </w:r>
      <w:r>
        <w:rPr>
          <w:rFonts w:ascii="Times New Roman" w:hAnsi="Times New Roman" w:eastAsia="方正仿宋简体"/>
          <w:sz w:val="32"/>
          <w:szCs w:val="32"/>
        </w:rPr>
        <w:t>年</w:t>
      </w:r>
      <w:r>
        <w:rPr>
          <w:rFonts w:hint="eastAsia" w:ascii="Times New Roman" w:hAnsi="Times New Roman" w:eastAsia="方正仿宋简体"/>
          <w:sz w:val="32"/>
          <w:szCs w:val="32"/>
          <w:lang w:val="en-US" w:eastAsia="zh-CN"/>
        </w:rPr>
        <w:t>5</w:t>
      </w:r>
      <w:r>
        <w:rPr>
          <w:rFonts w:ascii="Times New Roman" w:hAnsi="Times New Roman" w:eastAsia="方正仿宋简体"/>
          <w:sz w:val="32"/>
          <w:szCs w:val="32"/>
        </w:rPr>
        <w:t>月</w:t>
      </w:r>
      <w:r>
        <w:rPr>
          <w:rFonts w:hint="eastAsia" w:ascii="Times New Roman" w:hAnsi="Times New Roman" w:eastAsia="方正仿宋简体"/>
          <w:sz w:val="32"/>
          <w:szCs w:val="32"/>
          <w:lang w:val="en-US" w:eastAsia="zh-CN"/>
        </w:rPr>
        <w:t>21</w:t>
      </w:r>
      <w:r>
        <w:rPr>
          <w:rFonts w:ascii="Times New Roman" w:hAnsi="Times New Roman" w:eastAsia="方正仿宋简体"/>
          <w:sz w:val="32"/>
          <w:szCs w:val="32"/>
        </w:rPr>
        <w:t>日</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（此件主动公开）</w:t>
      </w:r>
    </w:p>
    <w:p>
      <w:pPr>
        <w:pStyle w:val="2"/>
        <w:widowControl w:val="0"/>
        <w:ind w:firstLine="0" w:firstLineChars="0"/>
        <w:rPr>
          <w:rFonts w:ascii="Times New Roman" w:hAnsi="Times New Roman" w:eastAsia="方正小标宋简体" w:cs="Times New Roman"/>
          <w:bCs/>
          <w:sz w:val="52"/>
          <w:szCs w:val="5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textAlignment w:val="auto"/>
        <w:rPr>
          <w:rFonts w:ascii="Times New Roman" w:hAnsi="Times New Roman" w:eastAsia="方正仿宋简体"/>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textAlignment w:val="auto"/>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rPr>
          <w:rFonts w:ascii="Times New Roman" w:hAnsi="Times New Roman" w:eastAsia="方正仿宋简体"/>
          <w:sz w:val="32"/>
          <w:szCs w:val="32"/>
        </w:rPr>
      </w:pPr>
    </w:p>
    <w:p>
      <w:pPr>
        <w:pStyle w:val="2"/>
        <w:ind w:left="0" w:leftChars="0" w:firstLine="0" w:firstLineChars="0"/>
        <w:rPr>
          <w:rFonts w:ascii="Times New Roman" w:hAnsi="Times New Roman" w:eastAsia="方正仿宋简体"/>
          <w:sz w:val="32"/>
          <w:szCs w:val="32"/>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抄送：市委办、市委各部门，省、泉属驻南各单位，人武部，各人</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after="0" w:line="560" w:lineRule="exact"/>
        <w:ind w:firstLine="1400" w:firstLineChars="5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民团体。</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after="0" w:line="560" w:lineRule="exact"/>
        <w:ind w:firstLine="1400" w:firstLineChars="5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市纪委监委、人大办、政协办、市法院、检察院。</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after="0" w:line="560" w:lineRule="exact"/>
        <w:ind w:firstLine="1400" w:firstLineChars="5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各民主党派南安市委员会，市工商联。</w:t>
      </w:r>
    </w:p>
    <w:p>
      <w:pPr>
        <w:keepNext w:val="0"/>
        <w:keepLines w:val="0"/>
        <w:pageBreakBefore w:val="0"/>
        <w:widowControl w:val="0"/>
        <w:pBdr>
          <w:bottom w:val="single" w:color="auto" w:sz="4" w:space="0"/>
        </w:pBdr>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南安市人民政府办公室                   2021年6月18日印发</w:t>
      </w:r>
    </w:p>
    <w:p>
      <w:pPr>
        <w:pStyle w:val="2"/>
        <w:widowControl w:val="0"/>
        <w:ind w:left="0" w:leftChars="0" w:firstLine="0" w:firstLineChars="0"/>
        <w:rPr>
          <w:rFonts w:ascii="Times New Roman" w:hAnsi="Times New Roman" w:cs="Times New Roman"/>
        </w:rPr>
        <w:sectPr>
          <w:pgSz w:w="11906" w:h="16838"/>
          <w:pgMar w:top="1440" w:right="1417" w:bottom="1440" w:left="1417" w:header="851" w:footer="992" w:gutter="0"/>
          <w:pgNumType w:fmt="upperRoman" w:start="1"/>
          <w:cols w:space="0" w:num="1"/>
          <w:titlePg/>
          <w:docGrid w:linePitch="312" w:charSpace="0"/>
        </w:sectPr>
      </w:pPr>
    </w:p>
    <w:p>
      <w:pPr>
        <w:pStyle w:val="40"/>
        <w:widowControl w:val="0"/>
        <w:jc w:val="center"/>
        <w:rPr>
          <w:rFonts w:ascii="Times New Roman" w:hAnsi="Times New Roman" w:cs="Times New Roman"/>
          <w:color w:val="0D0D0D"/>
          <w:sz w:val="32"/>
          <w:szCs w:val="32"/>
        </w:rPr>
      </w:pPr>
      <w:r>
        <w:rPr>
          <w:rFonts w:ascii="Times New Roman" w:hAnsi="Times New Roman" w:cs="Times New Roman"/>
          <w:color w:val="0D0D0D"/>
          <w:sz w:val="32"/>
          <w:szCs w:val="32"/>
          <w:lang w:val="zh-CN"/>
        </w:rPr>
        <w:t>目  录</w:t>
      </w:r>
    </w:p>
    <w:p>
      <w:pPr>
        <w:pStyle w:val="13"/>
        <w:tabs>
          <w:tab w:val="right" w:leader="dot" w:pos="9072"/>
        </w:tabs>
      </w:pPr>
      <w:r>
        <w:rPr>
          <w:rFonts w:ascii="Times New Roman" w:hAnsi="Times New Roman" w:cs="Times New Roman"/>
          <w:sz w:val="23"/>
        </w:rPr>
        <w:fldChar w:fldCharType="begin"/>
      </w:r>
      <w:r>
        <w:rPr>
          <w:rFonts w:ascii="Times New Roman" w:hAnsi="Times New Roman" w:cs="Times New Roman"/>
          <w:sz w:val="23"/>
        </w:rPr>
        <w:instrText xml:space="preserve"> TOC \o "1-3" \h \z \u </w:instrText>
      </w:r>
      <w:r>
        <w:rPr>
          <w:rFonts w:ascii="Times New Roman" w:hAnsi="Times New Roman" w:cs="Times New Roman"/>
          <w:sz w:val="23"/>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_Toc19611 </w:instrText>
      </w:r>
      <w:r>
        <w:rPr>
          <w:rFonts w:ascii="Times New Roman" w:hAnsi="Times New Roman" w:cs="Times New Roman"/>
        </w:rPr>
        <w:fldChar w:fldCharType="separate"/>
      </w:r>
      <w:r>
        <w:rPr>
          <w:rFonts w:ascii="Times New Roman" w:hAnsi="Times New Roman" w:eastAsia="方正小标宋简体" w:cs="Times New Roman"/>
          <w:szCs w:val="36"/>
        </w:rPr>
        <w:t>第一章  发展背景</w:t>
      </w:r>
      <w:r>
        <w:tab/>
      </w:r>
      <w:r>
        <w:fldChar w:fldCharType="begin"/>
      </w:r>
      <w:r>
        <w:instrText xml:space="preserve"> PAGEREF _Toc19611 </w:instrText>
      </w:r>
      <w:r>
        <w:fldChar w:fldCharType="separate"/>
      </w:r>
      <w:r>
        <w:t>1</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_Toc4651 </w:instrText>
      </w:r>
      <w:r>
        <w:rPr>
          <w:rFonts w:ascii="Times New Roman" w:hAnsi="Times New Roman" w:cs="Times New Roman"/>
        </w:rPr>
        <w:fldChar w:fldCharType="separate"/>
      </w:r>
      <w:r>
        <w:rPr>
          <w:rFonts w:ascii="Times New Roman" w:hAnsi="Times New Roman" w:eastAsia="方正黑体简体" w:cs="Times New Roman"/>
          <w:bCs/>
          <w:szCs w:val="32"/>
        </w:rPr>
        <w:t>第一节  发展基础</w:t>
      </w:r>
      <w:r>
        <w:tab/>
      </w:r>
      <w:r>
        <w:fldChar w:fldCharType="begin"/>
      </w:r>
      <w:r>
        <w:instrText xml:space="preserve"> PAGEREF _Toc4651 </w:instrText>
      </w:r>
      <w:r>
        <w:fldChar w:fldCharType="separate"/>
      </w:r>
      <w:r>
        <w:t>1</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_Toc20006 </w:instrText>
      </w:r>
      <w:r>
        <w:rPr>
          <w:rFonts w:ascii="Times New Roman" w:hAnsi="Times New Roman" w:cs="Times New Roman"/>
        </w:rPr>
        <w:fldChar w:fldCharType="separate"/>
      </w:r>
      <w:r>
        <w:rPr>
          <w:rFonts w:ascii="Times New Roman" w:hAnsi="Times New Roman" w:eastAsia="方正黑体简体" w:cs="Times New Roman"/>
          <w:bCs/>
          <w:szCs w:val="32"/>
        </w:rPr>
        <w:t>第二节  发展环境</w:t>
      </w:r>
      <w:r>
        <w:tab/>
      </w:r>
      <w:r>
        <w:fldChar w:fldCharType="begin"/>
      </w:r>
      <w:r>
        <w:instrText xml:space="preserve"> PAGEREF _Toc20006 </w:instrText>
      </w:r>
      <w:r>
        <w:fldChar w:fldCharType="separate"/>
      </w:r>
      <w:r>
        <w:t>5</w:t>
      </w:r>
      <w:r>
        <w:fldChar w:fldCharType="end"/>
      </w:r>
      <w:r>
        <w:rPr>
          <w:rFonts w:ascii="Times New Roman" w:hAnsi="Times New Roman" w:cs="Times New Roman"/>
        </w:rPr>
        <w:fldChar w:fldCharType="end"/>
      </w:r>
    </w:p>
    <w:p>
      <w:pPr>
        <w:pStyle w:val="13"/>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_Toc26656 </w:instrText>
      </w:r>
      <w:r>
        <w:rPr>
          <w:rFonts w:ascii="Times New Roman" w:hAnsi="Times New Roman" w:cs="Times New Roman"/>
        </w:rPr>
        <w:fldChar w:fldCharType="separate"/>
      </w:r>
      <w:r>
        <w:rPr>
          <w:rFonts w:ascii="Times New Roman" w:hAnsi="Times New Roman" w:eastAsia="方正小标宋简体" w:cs="Times New Roman"/>
          <w:szCs w:val="36"/>
        </w:rPr>
        <w:t>第二章  总体要求</w:t>
      </w:r>
      <w:r>
        <w:tab/>
      </w:r>
      <w:r>
        <w:fldChar w:fldCharType="begin"/>
      </w:r>
      <w:r>
        <w:instrText xml:space="preserve"> PAGEREF _Toc26656 </w:instrText>
      </w:r>
      <w:r>
        <w:fldChar w:fldCharType="separate"/>
      </w:r>
      <w:r>
        <w:t>9</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_Toc5280 </w:instrText>
      </w:r>
      <w:r>
        <w:rPr>
          <w:rFonts w:ascii="Times New Roman" w:hAnsi="Times New Roman" w:cs="Times New Roman"/>
        </w:rPr>
        <w:fldChar w:fldCharType="separate"/>
      </w:r>
      <w:r>
        <w:rPr>
          <w:rFonts w:ascii="Times New Roman" w:hAnsi="Times New Roman" w:eastAsia="方正黑体简体" w:cs="Times New Roman"/>
          <w:bCs/>
          <w:szCs w:val="32"/>
        </w:rPr>
        <w:t>第一节  指导思想</w:t>
      </w:r>
      <w:r>
        <w:tab/>
      </w:r>
      <w:r>
        <w:fldChar w:fldCharType="begin"/>
      </w:r>
      <w:r>
        <w:instrText xml:space="preserve"> PAGEREF _Toc5280 </w:instrText>
      </w:r>
      <w:r>
        <w:fldChar w:fldCharType="separate"/>
      </w:r>
      <w:r>
        <w:t>9</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_Toc13127 </w:instrText>
      </w:r>
      <w:r>
        <w:rPr>
          <w:rFonts w:ascii="Times New Roman" w:hAnsi="Times New Roman" w:cs="Times New Roman"/>
        </w:rPr>
        <w:fldChar w:fldCharType="separate"/>
      </w:r>
      <w:r>
        <w:rPr>
          <w:rFonts w:ascii="Times New Roman" w:hAnsi="Times New Roman" w:eastAsia="方正黑体简体" w:cs="Times New Roman"/>
          <w:bCs/>
          <w:szCs w:val="32"/>
        </w:rPr>
        <w:t>第二节  基本原则</w:t>
      </w:r>
      <w:r>
        <w:tab/>
      </w:r>
      <w:r>
        <w:fldChar w:fldCharType="begin"/>
      </w:r>
      <w:r>
        <w:instrText xml:space="preserve"> PAGEREF _Toc13127 </w:instrText>
      </w:r>
      <w:r>
        <w:fldChar w:fldCharType="separate"/>
      </w:r>
      <w:r>
        <w:t>9</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_Toc28817 </w:instrText>
      </w:r>
      <w:r>
        <w:rPr>
          <w:rFonts w:ascii="Times New Roman" w:hAnsi="Times New Roman" w:cs="Times New Roman"/>
        </w:rPr>
        <w:fldChar w:fldCharType="separate"/>
      </w:r>
      <w:r>
        <w:rPr>
          <w:rFonts w:ascii="Times New Roman" w:hAnsi="Times New Roman" w:eastAsia="方正黑体简体" w:cs="Times New Roman"/>
          <w:bCs/>
          <w:szCs w:val="32"/>
        </w:rPr>
        <w:t xml:space="preserve">第三节  </w:t>
      </w:r>
      <w:r>
        <w:rPr>
          <w:rFonts w:hint="eastAsia" w:ascii="Times New Roman" w:hAnsi="Times New Roman" w:eastAsia="方正黑体简体" w:cs="Times New Roman"/>
          <w:bCs/>
          <w:szCs w:val="32"/>
        </w:rPr>
        <w:t>发展</w:t>
      </w:r>
      <w:r>
        <w:rPr>
          <w:rFonts w:ascii="Times New Roman" w:hAnsi="Times New Roman" w:eastAsia="方正黑体简体" w:cs="Times New Roman"/>
          <w:bCs/>
          <w:szCs w:val="32"/>
        </w:rPr>
        <w:t>定位</w:t>
      </w:r>
      <w:r>
        <w:tab/>
      </w:r>
      <w:r>
        <w:fldChar w:fldCharType="begin"/>
      </w:r>
      <w:r>
        <w:instrText xml:space="preserve"> PAGEREF _Toc28817 </w:instrText>
      </w:r>
      <w:r>
        <w:fldChar w:fldCharType="separate"/>
      </w:r>
      <w:r>
        <w:t>11</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_Toc7141 </w:instrText>
      </w:r>
      <w:r>
        <w:rPr>
          <w:rFonts w:ascii="Times New Roman" w:hAnsi="Times New Roman" w:cs="Times New Roman"/>
        </w:rPr>
        <w:fldChar w:fldCharType="separate"/>
      </w:r>
      <w:r>
        <w:rPr>
          <w:rFonts w:ascii="Times New Roman" w:hAnsi="Times New Roman" w:eastAsia="方正黑体简体" w:cs="Times New Roman"/>
          <w:bCs/>
          <w:szCs w:val="32"/>
        </w:rPr>
        <w:t>第四节  规划目标</w:t>
      </w:r>
      <w:r>
        <w:tab/>
      </w:r>
      <w:r>
        <w:fldChar w:fldCharType="begin"/>
      </w:r>
      <w:r>
        <w:instrText xml:space="preserve"> PAGEREF _Toc7141 </w:instrText>
      </w:r>
      <w:r>
        <w:fldChar w:fldCharType="separate"/>
      </w:r>
      <w:r>
        <w:t>13</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_Toc9087 </w:instrText>
      </w:r>
      <w:r>
        <w:rPr>
          <w:rFonts w:ascii="Times New Roman" w:hAnsi="Times New Roman" w:cs="Times New Roman"/>
        </w:rPr>
        <w:fldChar w:fldCharType="separate"/>
      </w:r>
      <w:r>
        <w:rPr>
          <w:rFonts w:ascii="Times New Roman" w:hAnsi="Times New Roman" w:eastAsia="方正黑体简体" w:cs="Times New Roman"/>
          <w:bCs/>
          <w:szCs w:val="32"/>
        </w:rPr>
        <w:t>第五节  空间布局</w:t>
      </w:r>
      <w:r>
        <w:tab/>
      </w:r>
      <w:r>
        <w:fldChar w:fldCharType="begin"/>
      </w:r>
      <w:r>
        <w:instrText xml:space="preserve"> PAGEREF _Toc9087 </w:instrText>
      </w:r>
      <w:r>
        <w:fldChar w:fldCharType="separate"/>
      </w:r>
      <w:r>
        <w:t>17</w:t>
      </w:r>
      <w:r>
        <w:fldChar w:fldCharType="end"/>
      </w:r>
      <w:r>
        <w:rPr>
          <w:rFonts w:ascii="Times New Roman" w:hAnsi="Times New Roman" w:cs="Times New Roman"/>
        </w:rPr>
        <w:fldChar w:fldCharType="end"/>
      </w:r>
    </w:p>
    <w:p>
      <w:pPr>
        <w:pStyle w:val="13"/>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_Toc5725 </w:instrText>
      </w:r>
      <w:r>
        <w:rPr>
          <w:rFonts w:ascii="Times New Roman" w:hAnsi="Times New Roman" w:cs="Times New Roman"/>
        </w:rPr>
        <w:fldChar w:fldCharType="separate"/>
      </w:r>
      <w:r>
        <w:rPr>
          <w:rFonts w:ascii="Times New Roman" w:hAnsi="Times New Roman" w:eastAsia="方正小标宋简体" w:cs="Times New Roman"/>
          <w:szCs w:val="36"/>
        </w:rPr>
        <w:t>第三章  打造更具竞争力的现代产业体系</w:t>
      </w:r>
      <w:r>
        <w:tab/>
      </w:r>
      <w:r>
        <w:fldChar w:fldCharType="begin"/>
      </w:r>
      <w:r>
        <w:instrText xml:space="preserve"> PAGEREF _Toc5725 </w:instrText>
      </w:r>
      <w:r>
        <w:fldChar w:fldCharType="separate"/>
      </w:r>
      <w:r>
        <w:t>19</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_Toc28016 </w:instrText>
      </w:r>
      <w:r>
        <w:rPr>
          <w:rFonts w:ascii="Times New Roman" w:hAnsi="Times New Roman" w:cs="Times New Roman"/>
        </w:rPr>
        <w:fldChar w:fldCharType="separate"/>
      </w:r>
      <w:r>
        <w:rPr>
          <w:rFonts w:ascii="Times New Roman" w:hAnsi="Times New Roman" w:eastAsia="方正黑体简体" w:cs="Times New Roman"/>
          <w:bCs/>
          <w:szCs w:val="32"/>
        </w:rPr>
        <w:t>第一节  五大支柱产业集群</w:t>
      </w:r>
      <w:r>
        <w:tab/>
      </w:r>
      <w:r>
        <w:fldChar w:fldCharType="begin"/>
      </w:r>
      <w:r>
        <w:instrText xml:space="preserve"> PAGEREF _Toc28016 </w:instrText>
      </w:r>
      <w:r>
        <w:fldChar w:fldCharType="separate"/>
      </w:r>
      <w:r>
        <w:t>20</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_Toc13086 </w:instrText>
      </w:r>
      <w:r>
        <w:rPr>
          <w:rFonts w:ascii="Times New Roman" w:hAnsi="Times New Roman" w:cs="Times New Roman"/>
        </w:rPr>
        <w:fldChar w:fldCharType="separate"/>
      </w:r>
      <w:r>
        <w:rPr>
          <w:rFonts w:ascii="Times New Roman" w:hAnsi="Times New Roman" w:eastAsia="方正黑体简体" w:cs="Times New Roman"/>
          <w:bCs/>
          <w:szCs w:val="32"/>
        </w:rPr>
        <w:t>第二节  培育战略性新兴产业</w:t>
      </w:r>
      <w:r>
        <w:tab/>
      </w:r>
      <w:r>
        <w:fldChar w:fldCharType="begin"/>
      </w:r>
      <w:r>
        <w:instrText xml:space="preserve"> PAGEREF _Toc13086 </w:instrText>
      </w:r>
      <w:r>
        <w:fldChar w:fldCharType="separate"/>
      </w:r>
      <w:r>
        <w:t>22</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_Toc13201 </w:instrText>
      </w:r>
      <w:r>
        <w:rPr>
          <w:rFonts w:ascii="Times New Roman" w:hAnsi="Times New Roman" w:cs="Times New Roman"/>
        </w:rPr>
        <w:fldChar w:fldCharType="separate"/>
      </w:r>
      <w:r>
        <w:rPr>
          <w:rFonts w:ascii="Times New Roman" w:hAnsi="Times New Roman" w:eastAsia="方正黑体简体" w:cs="Times New Roman"/>
          <w:bCs/>
          <w:szCs w:val="32"/>
        </w:rPr>
        <w:t>第三节  做优现代服务产业</w:t>
      </w:r>
      <w:r>
        <w:tab/>
      </w:r>
      <w:r>
        <w:fldChar w:fldCharType="begin"/>
      </w:r>
      <w:r>
        <w:instrText xml:space="preserve"> PAGEREF _Toc13201 </w:instrText>
      </w:r>
      <w:r>
        <w:fldChar w:fldCharType="separate"/>
      </w:r>
      <w:r>
        <w:t>25</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_Toc26421 </w:instrText>
      </w:r>
      <w:r>
        <w:rPr>
          <w:rFonts w:ascii="Times New Roman" w:hAnsi="Times New Roman" w:cs="Times New Roman"/>
        </w:rPr>
        <w:fldChar w:fldCharType="separate"/>
      </w:r>
      <w:r>
        <w:rPr>
          <w:rFonts w:ascii="Times New Roman" w:hAnsi="Times New Roman" w:eastAsia="方正黑体简体" w:cs="Times New Roman"/>
          <w:bCs/>
          <w:szCs w:val="32"/>
        </w:rPr>
        <w:t>第四节  现代特色农业</w:t>
      </w:r>
      <w:r>
        <w:tab/>
      </w:r>
      <w:r>
        <w:fldChar w:fldCharType="begin"/>
      </w:r>
      <w:r>
        <w:instrText xml:space="preserve"> PAGEREF _Toc26421 </w:instrText>
      </w:r>
      <w:r>
        <w:fldChar w:fldCharType="separate"/>
      </w:r>
      <w:r>
        <w:t>28</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_Toc28928 </w:instrText>
      </w:r>
      <w:r>
        <w:rPr>
          <w:rFonts w:ascii="Times New Roman" w:hAnsi="Times New Roman" w:cs="Times New Roman"/>
        </w:rPr>
        <w:fldChar w:fldCharType="separate"/>
      </w:r>
      <w:r>
        <w:rPr>
          <w:rFonts w:ascii="Times New Roman" w:hAnsi="Times New Roman" w:eastAsia="方正黑体简体" w:cs="Times New Roman"/>
          <w:bCs/>
          <w:szCs w:val="32"/>
        </w:rPr>
        <w:t>第五节  建筑业</w:t>
      </w:r>
      <w:r>
        <w:tab/>
      </w:r>
      <w:r>
        <w:fldChar w:fldCharType="begin"/>
      </w:r>
      <w:r>
        <w:instrText xml:space="preserve"> PAGEREF _Toc28928 </w:instrText>
      </w:r>
      <w:r>
        <w:fldChar w:fldCharType="separate"/>
      </w:r>
      <w:r>
        <w:t>29</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_Toc23142 </w:instrText>
      </w:r>
      <w:r>
        <w:rPr>
          <w:rFonts w:ascii="Times New Roman" w:hAnsi="Times New Roman" w:cs="Times New Roman"/>
        </w:rPr>
        <w:fldChar w:fldCharType="separate"/>
      </w:r>
      <w:r>
        <w:rPr>
          <w:rFonts w:ascii="Times New Roman" w:hAnsi="Times New Roman" w:eastAsia="方正黑体简体" w:cs="Times New Roman"/>
          <w:bCs/>
          <w:szCs w:val="32"/>
        </w:rPr>
        <w:t>第六节  现代化产业园区</w:t>
      </w:r>
      <w:r>
        <w:tab/>
      </w:r>
      <w:r>
        <w:fldChar w:fldCharType="begin"/>
      </w:r>
      <w:r>
        <w:instrText xml:space="preserve"> PAGEREF _Toc23142 </w:instrText>
      </w:r>
      <w:r>
        <w:fldChar w:fldCharType="separate"/>
      </w:r>
      <w:r>
        <w:t>30</w:t>
      </w:r>
      <w:r>
        <w:fldChar w:fldCharType="end"/>
      </w:r>
      <w:r>
        <w:rPr>
          <w:rFonts w:ascii="Times New Roman" w:hAnsi="Times New Roman" w:cs="Times New Roman"/>
        </w:rPr>
        <w:fldChar w:fldCharType="end"/>
      </w:r>
    </w:p>
    <w:p>
      <w:pPr>
        <w:pStyle w:val="13"/>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_Toc27410 </w:instrText>
      </w:r>
      <w:r>
        <w:rPr>
          <w:rFonts w:ascii="Times New Roman" w:hAnsi="Times New Roman" w:cs="Times New Roman"/>
        </w:rPr>
        <w:fldChar w:fldCharType="separate"/>
      </w:r>
      <w:r>
        <w:rPr>
          <w:rFonts w:ascii="Times New Roman" w:hAnsi="Times New Roman" w:eastAsia="方正小标宋简体" w:cs="Times New Roman"/>
          <w:szCs w:val="36"/>
        </w:rPr>
        <w:t>第四章  打造更具创新力的软实力体系</w:t>
      </w:r>
      <w:r>
        <w:tab/>
      </w:r>
      <w:r>
        <w:fldChar w:fldCharType="begin"/>
      </w:r>
      <w:r>
        <w:instrText xml:space="preserve"> PAGEREF _Toc27410 </w:instrText>
      </w:r>
      <w:r>
        <w:fldChar w:fldCharType="separate"/>
      </w:r>
      <w:r>
        <w:t>33</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_Toc28393 </w:instrText>
      </w:r>
      <w:r>
        <w:rPr>
          <w:rFonts w:ascii="Times New Roman" w:hAnsi="Times New Roman" w:cs="Times New Roman"/>
        </w:rPr>
        <w:fldChar w:fldCharType="separate"/>
      </w:r>
      <w:r>
        <w:rPr>
          <w:rFonts w:ascii="Times New Roman" w:hAnsi="Times New Roman" w:eastAsia="方正黑体简体" w:cs="Times New Roman"/>
          <w:bCs/>
          <w:szCs w:val="32"/>
        </w:rPr>
        <w:t>第一节  拓展双循环新通道</w:t>
      </w:r>
      <w:r>
        <w:tab/>
      </w:r>
      <w:r>
        <w:fldChar w:fldCharType="begin"/>
      </w:r>
      <w:r>
        <w:instrText xml:space="preserve"> PAGEREF _Toc28393 </w:instrText>
      </w:r>
      <w:r>
        <w:fldChar w:fldCharType="separate"/>
      </w:r>
      <w:r>
        <w:t>33</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_Toc11395 </w:instrText>
      </w:r>
      <w:r>
        <w:rPr>
          <w:rFonts w:ascii="Times New Roman" w:hAnsi="Times New Roman" w:cs="Times New Roman"/>
        </w:rPr>
        <w:fldChar w:fldCharType="separate"/>
      </w:r>
      <w:r>
        <w:rPr>
          <w:rFonts w:ascii="Times New Roman" w:hAnsi="Times New Roman" w:eastAsia="方正黑体简体" w:cs="Times New Roman"/>
          <w:bCs/>
          <w:szCs w:val="32"/>
        </w:rPr>
        <w:t>第二节 深化重点领域改革</w:t>
      </w:r>
      <w:r>
        <w:tab/>
      </w:r>
      <w:r>
        <w:fldChar w:fldCharType="begin"/>
      </w:r>
      <w:r>
        <w:instrText xml:space="preserve"> PAGEREF _Toc11395 </w:instrText>
      </w:r>
      <w:r>
        <w:fldChar w:fldCharType="separate"/>
      </w:r>
      <w:r>
        <w:t>38</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_Toc6214 </w:instrText>
      </w:r>
      <w:r>
        <w:rPr>
          <w:rFonts w:ascii="Times New Roman" w:hAnsi="Times New Roman" w:cs="Times New Roman"/>
        </w:rPr>
        <w:fldChar w:fldCharType="separate"/>
      </w:r>
      <w:r>
        <w:rPr>
          <w:rFonts w:ascii="Times New Roman" w:hAnsi="Times New Roman" w:eastAsia="方正黑体简体" w:cs="Times New Roman"/>
          <w:bCs/>
          <w:szCs w:val="32"/>
        </w:rPr>
        <w:t>第三节 打造一流营商环境</w:t>
      </w:r>
      <w:r>
        <w:tab/>
      </w:r>
      <w:r>
        <w:fldChar w:fldCharType="begin"/>
      </w:r>
      <w:r>
        <w:instrText xml:space="preserve"> PAGEREF _Toc6214 </w:instrText>
      </w:r>
      <w:r>
        <w:fldChar w:fldCharType="separate"/>
      </w:r>
      <w:r>
        <w:t>42</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_Toc10103 </w:instrText>
      </w:r>
      <w:r>
        <w:rPr>
          <w:rFonts w:ascii="Times New Roman" w:hAnsi="Times New Roman" w:cs="Times New Roman"/>
        </w:rPr>
        <w:fldChar w:fldCharType="separate"/>
      </w:r>
      <w:r>
        <w:rPr>
          <w:rFonts w:ascii="Times New Roman" w:hAnsi="Times New Roman" w:eastAsia="方正黑体简体" w:cs="Times New Roman"/>
          <w:bCs/>
          <w:szCs w:val="32"/>
        </w:rPr>
        <w:t>第四节  夯实创新创业创造载体</w:t>
      </w:r>
      <w:r>
        <w:tab/>
      </w:r>
      <w:r>
        <w:fldChar w:fldCharType="begin"/>
      </w:r>
      <w:r>
        <w:instrText xml:space="preserve"> PAGEREF _Toc10103 </w:instrText>
      </w:r>
      <w:r>
        <w:fldChar w:fldCharType="separate"/>
      </w:r>
      <w:r>
        <w:t>44</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_Toc489 </w:instrText>
      </w:r>
      <w:r>
        <w:rPr>
          <w:rFonts w:ascii="Times New Roman" w:hAnsi="Times New Roman" w:cs="Times New Roman"/>
        </w:rPr>
        <w:fldChar w:fldCharType="separate"/>
      </w:r>
      <w:r>
        <w:rPr>
          <w:rFonts w:ascii="Times New Roman" w:hAnsi="Times New Roman" w:eastAsia="方正黑体简体" w:cs="Times New Roman"/>
          <w:bCs/>
          <w:szCs w:val="32"/>
        </w:rPr>
        <w:t>第五节  激发人才创新创业创造活力</w:t>
      </w:r>
      <w:r>
        <w:tab/>
      </w:r>
      <w:r>
        <w:fldChar w:fldCharType="begin"/>
      </w:r>
      <w:r>
        <w:instrText xml:space="preserve"> PAGEREF _Toc489 </w:instrText>
      </w:r>
      <w:r>
        <w:fldChar w:fldCharType="separate"/>
      </w:r>
      <w:r>
        <w:t>46</w:t>
      </w:r>
      <w:r>
        <w:fldChar w:fldCharType="end"/>
      </w:r>
      <w:r>
        <w:rPr>
          <w:rFonts w:ascii="Times New Roman" w:hAnsi="Times New Roman" w:cs="Times New Roman"/>
        </w:rPr>
        <w:fldChar w:fldCharType="end"/>
      </w:r>
    </w:p>
    <w:p>
      <w:pPr>
        <w:pStyle w:val="13"/>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_Toc7222 </w:instrText>
      </w:r>
      <w:r>
        <w:rPr>
          <w:rFonts w:ascii="Times New Roman" w:hAnsi="Times New Roman" w:cs="Times New Roman"/>
        </w:rPr>
        <w:fldChar w:fldCharType="separate"/>
      </w:r>
      <w:r>
        <w:rPr>
          <w:rFonts w:ascii="Times New Roman" w:hAnsi="Times New Roman" w:eastAsia="方正小标宋简体" w:cs="Times New Roman"/>
          <w:szCs w:val="36"/>
        </w:rPr>
        <w:t>第五章  打造更具吸引力的品质城市体系</w:t>
      </w:r>
      <w:r>
        <w:tab/>
      </w:r>
      <w:r>
        <w:fldChar w:fldCharType="begin"/>
      </w:r>
      <w:r>
        <w:instrText xml:space="preserve"> PAGEREF _Toc7222 </w:instrText>
      </w:r>
      <w:r>
        <w:fldChar w:fldCharType="separate"/>
      </w:r>
      <w:r>
        <w:t>48</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_Toc19289 </w:instrText>
      </w:r>
      <w:r>
        <w:rPr>
          <w:rFonts w:ascii="Times New Roman" w:hAnsi="Times New Roman" w:cs="Times New Roman"/>
        </w:rPr>
        <w:fldChar w:fldCharType="separate"/>
      </w:r>
      <w:r>
        <w:rPr>
          <w:rFonts w:ascii="Times New Roman" w:hAnsi="Times New Roman" w:eastAsia="方正黑体简体" w:cs="Times New Roman"/>
          <w:bCs/>
          <w:szCs w:val="32"/>
        </w:rPr>
        <w:t>第一节  加速</w:t>
      </w:r>
      <w:r>
        <w:rPr>
          <w:rFonts w:hint="eastAsia" w:ascii="Times New Roman" w:hAnsi="Times New Roman" w:eastAsia="方正黑体简体" w:cs="Times New Roman"/>
          <w:bCs/>
          <w:szCs w:val="32"/>
          <w:lang w:val="en-US" w:eastAsia="zh-CN"/>
        </w:rPr>
        <w:t>产城</w:t>
      </w:r>
      <w:r>
        <w:rPr>
          <w:rFonts w:ascii="Times New Roman" w:hAnsi="Times New Roman" w:eastAsia="方正黑体简体" w:cs="Times New Roman"/>
          <w:bCs/>
          <w:szCs w:val="32"/>
        </w:rPr>
        <w:t>人文融合，提升城市竞争力</w:t>
      </w:r>
      <w:r>
        <w:tab/>
      </w:r>
      <w:r>
        <w:fldChar w:fldCharType="begin"/>
      </w:r>
      <w:r>
        <w:instrText xml:space="preserve"> PAGEREF _Toc19289 </w:instrText>
      </w:r>
      <w:r>
        <w:fldChar w:fldCharType="separate"/>
      </w:r>
      <w:r>
        <w:t>48</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_Toc4865 </w:instrText>
      </w:r>
      <w:r>
        <w:rPr>
          <w:rFonts w:ascii="Times New Roman" w:hAnsi="Times New Roman" w:cs="Times New Roman"/>
        </w:rPr>
        <w:fldChar w:fldCharType="separate"/>
      </w:r>
      <w:r>
        <w:rPr>
          <w:rFonts w:ascii="Times New Roman" w:hAnsi="Times New Roman" w:eastAsia="方正黑体简体" w:cs="Times New Roman"/>
          <w:bCs/>
          <w:szCs w:val="32"/>
        </w:rPr>
        <w:t>第二节  加速品质社区建设，提升未来生活空间</w:t>
      </w:r>
      <w:r>
        <w:tab/>
      </w:r>
      <w:r>
        <w:fldChar w:fldCharType="begin"/>
      </w:r>
      <w:r>
        <w:instrText xml:space="preserve"> PAGEREF _Toc4865 </w:instrText>
      </w:r>
      <w:r>
        <w:fldChar w:fldCharType="separate"/>
      </w:r>
      <w:r>
        <w:t>51</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_Toc3905 </w:instrText>
      </w:r>
      <w:r>
        <w:rPr>
          <w:rFonts w:ascii="Times New Roman" w:hAnsi="Times New Roman" w:cs="Times New Roman"/>
        </w:rPr>
        <w:fldChar w:fldCharType="separate"/>
      </w:r>
      <w:r>
        <w:rPr>
          <w:rFonts w:ascii="Times New Roman" w:hAnsi="Times New Roman" w:eastAsia="方正黑体简体" w:cs="Times New Roman"/>
          <w:bCs/>
          <w:szCs w:val="32"/>
        </w:rPr>
        <w:t>第三节  实施乡村振兴战略，描绘繁荣复兴新三农</w:t>
      </w:r>
      <w:r>
        <w:tab/>
      </w:r>
      <w:r>
        <w:fldChar w:fldCharType="begin"/>
      </w:r>
      <w:r>
        <w:instrText xml:space="preserve"> PAGEREF _Toc3905 </w:instrText>
      </w:r>
      <w:r>
        <w:fldChar w:fldCharType="separate"/>
      </w:r>
      <w:r>
        <w:t>52</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_Toc27010 </w:instrText>
      </w:r>
      <w:r>
        <w:rPr>
          <w:rFonts w:ascii="Times New Roman" w:hAnsi="Times New Roman" w:cs="Times New Roman"/>
        </w:rPr>
        <w:fldChar w:fldCharType="separate"/>
      </w:r>
      <w:r>
        <w:rPr>
          <w:rFonts w:ascii="Times New Roman" w:hAnsi="Times New Roman" w:eastAsia="方正黑体简体" w:cs="Times New Roman"/>
          <w:bCs/>
          <w:szCs w:val="32"/>
        </w:rPr>
        <w:t>第四节  加速基础设施建设，提升城乡承载能力</w:t>
      </w:r>
      <w:r>
        <w:tab/>
      </w:r>
      <w:r>
        <w:fldChar w:fldCharType="begin"/>
      </w:r>
      <w:r>
        <w:instrText xml:space="preserve"> PAGEREF _Toc27010 </w:instrText>
      </w:r>
      <w:r>
        <w:fldChar w:fldCharType="separate"/>
      </w:r>
      <w:r>
        <w:t>55</w:t>
      </w:r>
      <w:r>
        <w:fldChar w:fldCharType="end"/>
      </w:r>
      <w:r>
        <w:rPr>
          <w:rFonts w:ascii="Times New Roman" w:hAnsi="Times New Roman" w:cs="Times New Roman"/>
        </w:rPr>
        <w:fldChar w:fldCharType="end"/>
      </w:r>
    </w:p>
    <w:p>
      <w:pPr>
        <w:pStyle w:val="13"/>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_Toc21421 </w:instrText>
      </w:r>
      <w:r>
        <w:rPr>
          <w:rFonts w:ascii="Times New Roman" w:hAnsi="Times New Roman" w:cs="Times New Roman"/>
        </w:rPr>
        <w:fldChar w:fldCharType="separate"/>
      </w:r>
      <w:r>
        <w:rPr>
          <w:rFonts w:ascii="Times New Roman" w:hAnsi="Times New Roman" w:eastAsia="方正小标宋简体" w:cs="Times New Roman"/>
          <w:szCs w:val="36"/>
        </w:rPr>
        <w:t>第六章  打造更具亲和力的幸福民生体系</w:t>
      </w:r>
      <w:r>
        <w:tab/>
      </w:r>
      <w:r>
        <w:fldChar w:fldCharType="begin"/>
      </w:r>
      <w:r>
        <w:instrText xml:space="preserve"> PAGEREF _Toc21421 </w:instrText>
      </w:r>
      <w:r>
        <w:fldChar w:fldCharType="separate"/>
      </w:r>
      <w:r>
        <w:t>62</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_Toc14483 </w:instrText>
      </w:r>
      <w:r>
        <w:rPr>
          <w:rFonts w:ascii="Times New Roman" w:hAnsi="Times New Roman" w:cs="Times New Roman"/>
        </w:rPr>
        <w:fldChar w:fldCharType="separate"/>
      </w:r>
      <w:r>
        <w:rPr>
          <w:rFonts w:ascii="Times New Roman" w:hAnsi="Times New Roman" w:eastAsia="方正黑体简体" w:cs="Times New Roman"/>
          <w:bCs/>
          <w:szCs w:val="32"/>
        </w:rPr>
        <w:t>第一节  持续促进城乡居民就业增收</w:t>
      </w:r>
      <w:r>
        <w:tab/>
      </w:r>
      <w:r>
        <w:fldChar w:fldCharType="begin"/>
      </w:r>
      <w:r>
        <w:instrText xml:space="preserve"> PAGEREF _Toc14483 </w:instrText>
      </w:r>
      <w:r>
        <w:fldChar w:fldCharType="separate"/>
      </w:r>
      <w:r>
        <w:t>62</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_Toc13599 </w:instrText>
      </w:r>
      <w:r>
        <w:rPr>
          <w:rFonts w:ascii="Times New Roman" w:hAnsi="Times New Roman" w:cs="Times New Roman"/>
        </w:rPr>
        <w:fldChar w:fldCharType="separate"/>
      </w:r>
      <w:r>
        <w:rPr>
          <w:rFonts w:ascii="Times New Roman" w:hAnsi="Times New Roman" w:eastAsia="方正黑体简体" w:cs="Times New Roman"/>
          <w:bCs/>
          <w:szCs w:val="32"/>
        </w:rPr>
        <w:t>第二节  办好人民满意的教育</w:t>
      </w:r>
      <w:r>
        <w:tab/>
      </w:r>
      <w:r>
        <w:fldChar w:fldCharType="begin"/>
      </w:r>
      <w:r>
        <w:instrText xml:space="preserve"> PAGEREF _Toc13599 </w:instrText>
      </w:r>
      <w:r>
        <w:fldChar w:fldCharType="separate"/>
      </w:r>
      <w:r>
        <w:t>63</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_Toc15734 </w:instrText>
      </w:r>
      <w:r>
        <w:rPr>
          <w:rFonts w:ascii="Times New Roman" w:hAnsi="Times New Roman" w:cs="Times New Roman"/>
        </w:rPr>
        <w:fldChar w:fldCharType="separate"/>
      </w:r>
      <w:r>
        <w:rPr>
          <w:rFonts w:ascii="Times New Roman" w:hAnsi="Times New Roman" w:eastAsia="方正黑体简体" w:cs="Times New Roman"/>
          <w:bCs/>
          <w:szCs w:val="32"/>
        </w:rPr>
        <w:t>第三节  全方位全周期保障人民健康</w:t>
      </w:r>
      <w:r>
        <w:tab/>
      </w:r>
      <w:r>
        <w:fldChar w:fldCharType="begin"/>
      </w:r>
      <w:r>
        <w:instrText xml:space="preserve"> PAGEREF _Toc15734 </w:instrText>
      </w:r>
      <w:r>
        <w:fldChar w:fldCharType="separate"/>
      </w:r>
      <w:r>
        <w:t>66</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_Toc27501 </w:instrText>
      </w:r>
      <w:r>
        <w:rPr>
          <w:rFonts w:ascii="Times New Roman" w:hAnsi="Times New Roman" w:cs="Times New Roman"/>
        </w:rPr>
        <w:fldChar w:fldCharType="separate"/>
      </w:r>
      <w:r>
        <w:rPr>
          <w:rFonts w:ascii="Times New Roman" w:hAnsi="Times New Roman" w:eastAsia="方正黑体简体" w:cs="Times New Roman"/>
          <w:bCs/>
          <w:szCs w:val="32"/>
        </w:rPr>
        <w:t>第四节  织密兜牢基本民生“网底”</w:t>
      </w:r>
      <w:r>
        <w:tab/>
      </w:r>
      <w:r>
        <w:fldChar w:fldCharType="begin"/>
      </w:r>
      <w:r>
        <w:instrText xml:space="preserve"> PAGEREF _Toc27501 </w:instrText>
      </w:r>
      <w:r>
        <w:fldChar w:fldCharType="separate"/>
      </w:r>
      <w:r>
        <w:t>68</w:t>
      </w:r>
      <w:r>
        <w:fldChar w:fldCharType="end"/>
      </w:r>
      <w:r>
        <w:rPr>
          <w:rFonts w:ascii="Times New Roman" w:hAnsi="Times New Roman" w:cs="Times New Roman"/>
        </w:rPr>
        <w:fldChar w:fldCharType="end"/>
      </w:r>
    </w:p>
    <w:p>
      <w:pPr>
        <w:pStyle w:val="13"/>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_Toc2497 </w:instrText>
      </w:r>
      <w:r>
        <w:rPr>
          <w:rFonts w:ascii="Times New Roman" w:hAnsi="Times New Roman" w:cs="Times New Roman"/>
        </w:rPr>
        <w:fldChar w:fldCharType="separate"/>
      </w:r>
      <w:r>
        <w:rPr>
          <w:rFonts w:ascii="Times New Roman" w:hAnsi="Times New Roman" w:eastAsia="方正小标宋简体" w:cs="Times New Roman"/>
          <w:szCs w:val="36"/>
        </w:rPr>
        <w:t>第七章  打造更具生命力的绿色生态体系</w:t>
      </w:r>
      <w:r>
        <w:tab/>
      </w:r>
      <w:r>
        <w:fldChar w:fldCharType="begin"/>
      </w:r>
      <w:r>
        <w:instrText xml:space="preserve"> PAGEREF _Toc2497 </w:instrText>
      </w:r>
      <w:r>
        <w:fldChar w:fldCharType="separate"/>
      </w:r>
      <w:r>
        <w:t>69</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_Toc6005 </w:instrText>
      </w:r>
      <w:r>
        <w:rPr>
          <w:rFonts w:ascii="Times New Roman" w:hAnsi="Times New Roman" w:cs="Times New Roman"/>
        </w:rPr>
        <w:fldChar w:fldCharType="separate"/>
      </w:r>
      <w:r>
        <w:rPr>
          <w:rFonts w:ascii="Times New Roman" w:hAnsi="Times New Roman" w:eastAsia="方正黑体简体" w:cs="Times New Roman"/>
          <w:bCs/>
          <w:szCs w:val="32"/>
        </w:rPr>
        <w:t>第一节  完善生态文明制度体系</w:t>
      </w:r>
      <w:r>
        <w:tab/>
      </w:r>
      <w:r>
        <w:fldChar w:fldCharType="begin"/>
      </w:r>
      <w:r>
        <w:instrText xml:space="preserve"> PAGEREF _Toc6005 </w:instrText>
      </w:r>
      <w:r>
        <w:fldChar w:fldCharType="separate"/>
      </w:r>
      <w:r>
        <w:t>69</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_Toc29373 </w:instrText>
      </w:r>
      <w:r>
        <w:rPr>
          <w:rFonts w:ascii="Times New Roman" w:hAnsi="Times New Roman" w:cs="Times New Roman"/>
        </w:rPr>
        <w:fldChar w:fldCharType="separate"/>
      </w:r>
      <w:r>
        <w:rPr>
          <w:rFonts w:ascii="Times New Roman" w:hAnsi="Times New Roman" w:eastAsia="方正黑体简体" w:cs="Times New Roman"/>
          <w:bCs/>
          <w:szCs w:val="32"/>
        </w:rPr>
        <w:t>第二节 推进差异化全域生态文明建设</w:t>
      </w:r>
      <w:r>
        <w:tab/>
      </w:r>
      <w:r>
        <w:fldChar w:fldCharType="begin"/>
      </w:r>
      <w:r>
        <w:instrText xml:space="preserve"> PAGEREF _Toc29373 </w:instrText>
      </w:r>
      <w:r>
        <w:fldChar w:fldCharType="separate"/>
      </w:r>
      <w:r>
        <w:t>70</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_Toc11914 </w:instrText>
      </w:r>
      <w:r>
        <w:rPr>
          <w:rFonts w:ascii="Times New Roman" w:hAnsi="Times New Roman" w:cs="Times New Roman"/>
        </w:rPr>
        <w:fldChar w:fldCharType="separate"/>
      </w:r>
      <w:r>
        <w:rPr>
          <w:rFonts w:ascii="Times New Roman" w:hAnsi="Times New Roman" w:eastAsia="方正黑体简体" w:cs="Times New Roman"/>
          <w:bCs/>
          <w:szCs w:val="32"/>
        </w:rPr>
        <w:t>第三节  持续打好污染防治攻坚战</w:t>
      </w:r>
      <w:r>
        <w:tab/>
      </w:r>
      <w:r>
        <w:fldChar w:fldCharType="begin"/>
      </w:r>
      <w:r>
        <w:instrText xml:space="preserve"> PAGEREF _Toc11914 </w:instrText>
      </w:r>
      <w:r>
        <w:fldChar w:fldCharType="separate"/>
      </w:r>
      <w:r>
        <w:t>71</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_Toc31788 </w:instrText>
      </w:r>
      <w:r>
        <w:rPr>
          <w:rFonts w:ascii="Times New Roman" w:hAnsi="Times New Roman" w:cs="Times New Roman"/>
        </w:rPr>
        <w:fldChar w:fldCharType="separate"/>
      </w:r>
      <w:r>
        <w:rPr>
          <w:rFonts w:ascii="Times New Roman" w:hAnsi="Times New Roman" w:eastAsia="方正黑体简体" w:cs="Times New Roman"/>
          <w:bCs/>
          <w:szCs w:val="32"/>
        </w:rPr>
        <w:t>第四节  加大落实生态安全管理力度</w:t>
      </w:r>
      <w:r>
        <w:tab/>
      </w:r>
      <w:r>
        <w:fldChar w:fldCharType="begin"/>
      </w:r>
      <w:r>
        <w:instrText xml:space="preserve"> PAGEREF _Toc31788 </w:instrText>
      </w:r>
      <w:r>
        <w:fldChar w:fldCharType="separate"/>
      </w:r>
      <w:r>
        <w:t>73</w:t>
      </w:r>
      <w:r>
        <w:fldChar w:fldCharType="end"/>
      </w:r>
      <w:r>
        <w:rPr>
          <w:rFonts w:ascii="Times New Roman" w:hAnsi="Times New Roman" w:cs="Times New Roman"/>
        </w:rPr>
        <w:fldChar w:fldCharType="end"/>
      </w:r>
    </w:p>
    <w:p>
      <w:pPr>
        <w:pStyle w:val="13"/>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_Toc13030 </w:instrText>
      </w:r>
      <w:r>
        <w:rPr>
          <w:rFonts w:ascii="Times New Roman" w:hAnsi="Times New Roman" w:cs="Times New Roman"/>
        </w:rPr>
        <w:fldChar w:fldCharType="separate"/>
      </w:r>
      <w:r>
        <w:rPr>
          <w:rFonts w:ascii="Times New Roman" w:hAnsi="Times New Roman" w:eastAsia="方正小标宋简体" w:cs="Times New Roman"/>
          <w:szCs w:val="36"/>
        </w:rPr>
        <w:t>第八章  打造更具凝聚力的先进文化体系</w:t>
      </w:r>
      <w:r>
        <w:tab/>
      </w:r>
      <w:r>
        <w:fldChar w:fldCharType="begin"/>
      </w:r>
      <w:r>
        <w:instrText xml:space="preserve"> PAGEREF _Toc13030 </w:instrText>
      </w:r>
      <w:r>
        <w:fldChar w:fldCharType="separate"/>
      </w:r>
      <w:r>
        <w:t>74</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_Toc6918 </w:instrText>
      </w:r>
      <w:r>
        <w:rPr>
          <w:rFonts w:ascii="Times New Roman" w:hAnsi="Times New Roman" w:cs="Times New Roman"/>
        </w:rPr>
        <w:fldChar w:fldCharType="separate"/>
      </w:r>
      <w:r>
        <w:rPr>
          <w:rFonts w:ascii="Times New Roman" w:hAnsi="Times New Roman" w:eastAsia="方正黑体简体" w:cs="Times New Roman"/>
          <w:bCs/>
          <w:szCs w:val="32"/>
        </w:rPr>
        <w:t>第一节 构建现代文明体系</w:t>
      </w:r>
      <w:r>
        <w:tab/>
      </w:r>
      <w:r>
        <w:fldChar w:fldCharType="begin"/>
      </w:r>
      <w:r>
        <w:instrText xml:space="preserve"> PAGEREF _Toc6918 </w:instrText>
      </w:r>
      <w:r>
        <w:fldChar w:fldCharType="separate"/>
      </w:r>
      <w:r>
        <w:t>74</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_Toc15407 </w:instrText>
      </w:r>
      <w:r>
        <w:rPr>
          <w:rFonts w:ascii="Times New Roman" w:hAnsi="Times New Roman" w:cs="Times New Roman"/>
        </w:rPr>
        <w:fldChar w:fldCharType="separate"/>
      </w:r>
      <w:r>
        <w:rPr>
          <w:rFonts w:ascii="Times New Roman" w:hAnsi="Times New Roman" w:eastAsia="方正黑体简体" w:cs="Times New Roman"/>
          <w:bCs/>
          <w:szCs w:val="32"/>
        </w:rPr>
        <w:t>第二节 完善现代公共文化服务体系</w:t>
      </w:r>
      <w:r>
        <w:tab/>
      </w:r>
      <w:r>
        <w:fldChar w:fldCharType="begin"/>
      </w:r>
      <w:r>
        <w:instrText xml:space="preserve"> PAGEREF _Toc15407 </w:instrText>
      </w:r>
      <w:r>
        <w:fldChar w:fldCharType="separate"/>
      </w:r>
      <w:r>
        <w:t>75</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_Toc4295 </w:instrText>
      </w:r>
      <w:r>
        <w:rPr>
          <w:rFonts w:ascii="Times New Roman" w:hAnsi="Times New Roman" w:cs="Times New Roman"/>
        </w:rPr>
        <w:fldChar w:fldCharType="separate"/>
      </w:r>
      <w:r>
        <w:rPr>
          <w:rFonts w:ascii="Times New Roman" w:hAnsi="Times New Roman" w:eastAsia="方正黑体简体" w:cs="Times New Roman"/>
          <w:bCs/>
          <w:szCs w:val="32"/>
        </w:rPr>
        <w:t>第三节  激发文化创新创造活力</w:t>
      </w:r>
      <w:r>
        <w:tab/>
      </w:r>
      <w:r>
        <w:fldChar w:fldCharType="begin"/>
      </w:r>
      <w:r>
        <w:instrText xml:space="preserve"> PAGEREF _Toc4295 </w:instrText>
      </w:r>
      <w:r>
        <w:fldChar w:fldCharType="separate"/>
      </w:r>
      <w:r>
        <w:t>77</w:t>
      </w:r>
      <w:r>
        <w:fldChar w:fldCharType="end"/>
      </w:r>
      <w:r>
        <w:rPr>
          <w:rFonts w:ascii="Times New Roman" w:hAnsi="Times New Roman" w:cs="Times New Roman"/>
        </w:rPr>
        <w:fldChar w:fldCharType="end"/>
      </w:r>
    </w:p>
    <w:p>
      <w:pPr>
        <w:pStyle w:val="13"/>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_Toc23731 </w:instrText>
      </w:r>
      <w:r>
        <w:rPr>
          <w:rFonts w:ascii="Times New Roman" w:hAnsi="Times New Roman" w:cs="Times New Roman"/>
        </w:rPr>
        <w:fldChar w:fldCharType="separate"/>
      </w:r>
      <w:r>
        <w:rPr>
          <w:rFonts w:ascii="Times New Roman" w:hAnsi="Times New Roman" w:eastAsia="方正小标宋简体" w:cs="Times New Roman"/>
          <w:szCs w:val="36"/>
        </w:rPr>
        <w:t>第九章  打造更具持久力的社会治理体系</w:t>
      </w:r>
      <w:r>
        <w:tab/>
      </w:r>
      <w:r>
        <w:fldChar w:fldCharType="begin"/>
      </w:r>
      <w:r>
        <w:instrText xml:space="preserve"> PAGEREF _Toc23731 </w:instrText>
      </w:r>
      <w:r>
        <w:fldChar w:fldCharType="separate"/>
      </w:r>
      <w:r>
        <w:t>78</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_Toc1538 </w:instrText>
      </w:r>
      <w:r>
        <w:rPr>
          <w:rFonts w:ascii="Times New Roman" w:hAnsi="Times New Roman" w:cs="Times New Roman"/>
        </w:rPr>
        <w:fldChar w:fldCharType="separate"/>
      </w:r>
      <w:r>
        <w:rPr>
          <w:rFonts w:ascii="Times New Roman" w:hAnsi="Times New Roman" w:eastAsia="方正黑体简体" w:cs="Times New Roman"/>
          <w:bCs/>
          <w:szCs w:val="32"/>
        </w:rPr>
        <w:t>第一节  建设更高水平的法治南安</w:t>
      </w:r>
      <w:r>
        <w:tab/>
      </w:r>
      <w:r>
        <w:fldChar w:fldCharType="begin"/>
      </w:r>
      <w:r>
        <w:instrText xml:space="preserve"> PAGEREF _Toc1538 </w:instrText>
      </w:r>
      <w:r>
        <w:fldChar w:fldCharType="separate"/>
      </w:r>
      <w:r>
        <w:t>78</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_Toc25680 </w:instrText>
      </w:r>
      <w:r>
        <w:rPr>
          <w:rFonts w:ascii="Times New Roman" w:hAnsi="Times New Roman" w:cs="Times New Roman"/>
        </w:rPr>
        <w:fldChar w:fldCharType="separate"/>
      </w:r>
      <w:r>
        <w:rPr>
          <w:rFonts w:ascii="Times New Roman" w:hAnsi="Times New Roman" w:eastAsia="方正黑体简体" w:cs="Times New Roman"/>
          <w:bCs/>
          <w:szCs w:val="32"/>
        </w:rPr>
        <w:t>第二节  建设更高水平的平安南安</w:t>
      </w:r>
      <w:r>
        <w:tab/>
      </w:r>
      <w:r>
        <w:fldChar w:fldCharType="begin"/>
      </w:r>
      <w:r>
        <w:instrText xml:space="preserve"> PAGEREF _Toc25680 </w:instrText>
      </w:r>
      <w:r>
        <w:fldChar w:fldCharType="separate"/>
      </w:r>
      <w:r>
        <w:t>79</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_Toc30309 </w:instrText>
      </w:r>
      <w:r>
        <w:rPr>
          <w:rFonts w:ascii="Times New Roman" w:hAnsi="Times New Roman" w:cs="Times New Roman"/>
        </w:rPr>
        <w:fldChar w:fldCharType="separate"/>
      </w:r>
      <w:r>
        <w:rPr>
          <w:rFonts w:ascii="Times New Roman" w:hAnsi="Times New Roman" w:eastAsia="方正黑体简体" w:cs="Times New Roman"/>
          <w:bCs/>
          <w:szCs w:val="32"/>
        </w:rPr>
        <w:t>第三节  建设更高水平的和谐南安</w:t>
      </w:r>
      <w:r>
        <w:tab/>
      </w:r>
      <w:r>
        <w:fldChar w:fldCharType="begin"/>
      </w:r>
      <w:r>
        <w:instrText xml:space="preserve"> PAGEREF _Toc30309 </w:instrText>
      </w:r>
      <w:r>
        <w:fldChar w:fldCharType="separate"/>
      </w:r>
      <w:r>
        <w:t>81</w:t>
      </w:r>
      <w:r>
        <w:fldChar w:fldCharType="end"/>
      </w:r>
      <w:r>
        <w:rPr>
          <w:rFonts w:ascii="Times New Roman" w:hAnsi="Times New Roman" w:cs="Times New Roman"/>
        </w:rPr>
        <w:fldChar w:fldCharType="end"/>
      </w:r>
    </w:p>
    <w:p>
      <w:pPr>
        <w:pStyle w:val="13"/>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_Toc17947 </w:instrText>
      </w:r>
      <w:r>
        <w:rPr>
          <w:rFonts w:ascii="Times New Roman" w:hAnsi="Times New Roman" w:cs="Times New Roman"/>
        </w:rPr>
        <w:fldChar w:fldCharType="separate"/>
      </w:r>
      <w:r>
        <w:rPr>
          <w:rFonts w:ascii="Times New Roman" w:hAnsi="Times New Roman" w:eastAsia="方正小标宋简体" w:cs="Times New Roman"/>
          <w:szCs w:val="36"/>
        </w:rPr>
        <w:t>第十章  确保规划顺利实施</w:t>
      </w:r>
      <w:r>
        <w:tab/>
      </w:r>
      <w:r>
        <w:fldChar w:fldCharType="begin"/>
      </w:r>
      <w:r>
        <w:instrText xml:space="preserve"> PAGEREF _Toc17947 </w:instrText>
      </w:r>
      <w:r>
        <w:fldChar w:fldCharType="separate"/>
      </w:r>
      <w:r>
        <w:t>82</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_Toc24140 </w:instrText>
      </w:r>
      <w:r>
        <w:rPr>
          <w:rFonts w:ascii="Times New Roman" w:hAnsi="Times New Roman" w:cs="Times New Roman"/>
        </w:rPr>
        <w:fldChar w:fldCharType="separate"/>
      </w:r>
      <w:r>
        <w:rPr>
          <w:rFonts w:hint="eastAsia" w:ascii="Times New Roman" w:hAnsi="Times New Roman" w:eastAsia="方正黑体简体" w:cs="Times New Roman"/>
          <w:bCs/>
          <w:szCs w:val="32"/>
        </w:rPr>
        <w:t>第一节 坚持党对经济社会发展的全面领导</w:t>
      </w:r>
      <w:r>
        <w:tab/>
      </w:r>
      <w:r>
        <w:fldChar w:fldCharType="begin"/>
      </w:r>
      <w:r>
        <w:instrText xml:space="preserve"> PAGEREF _Toc24140 </w:instrText>
      </w:r>
      <w:r>
        <w:fldChar w:fldCharType="separate"/>
      </w:r>
      <w:r>
        <w:t>83</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_Toc29744 </w:instrText>
      </w:r>
      <w:r>
        <w:rPr>
          <w:rFonts w:ascii="Times New Roman" w:hAnsi="Times New Roman" w:cs="Times New Roman"/>
        </w:rPr>
        <w:fldChar w:fldCharType="separate"/>
      </w:r>
      <w:r>
        <w:rPr>
          <w:rFonts w:ascii="Times New Roman" w:hAnsi="Times New Roman" w:eastAsia="方正黑体简体" w:cs="Times New Roman"/>
          <w:bCs/>
          <w:szCs w:val="32"/>
        </w:rPr>
        <w:t>第</w:t>
      </w:r>
      <w:r>
        <w:rPr>
          <w:rFonts w:hint="eastAsia" w:ascii="Times New Roman" w:hAnsi="Times New Roman" w:eastAsia="方正黑体简体" w:cs="Times New Roman"/>
          <w:bCs/>
          <w:szCs w:val="32"/>
        </w:rPr>
        <w:t>二</w:t>
      </w:r>
      <w:r>
        <w:rPr>
          <w:rFonts w:ascii="Times New Roman" w:hAnsi="Times New Roman" w:eastAsia="方正黑体简体" w:cs="Times New Roman"/>
          <w:bCs/>
          <w:szCs w:val="32"/>
        </w:rPr>
        <w:t>节  完善规划实施机制</w:t>
      </w:r>
      <w:r>
        <w:tab/>
      </w:r>
      <w:r>
        <w:fldChar w:fldCharType="begin"/>
      </w:r>
      <w:r>
        <w:instrText xml:space="preserve"> PAGEREF _Toc29744 </w:instrText>
      </w:r>
      <w:r>
        <w:fldChar w:fldCharType="separate"/>
      </w:r>
      <w:r>
        <w:t>83</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_Toc31177 </w:instrText>
      </w:r>
      <w:r>
        <w:rPr>
          <w:rFonts w:ascii="Times New Roman" w:hAnsi="Times New Roman" w:cs="Times New Roman"/>
        </w:rPr>
        <w:fldChar w:fldCharType="separate"/>
      </w:r>
      <w:r>
        <w:rPr>
          <w:rFonts w:ascii="Times New Roman" w:hAnsi="Times New Roman" w:eastAsia="方正黑体简体" w:cs="Times New Roman"/>
          <w:bCs/>
          <w:szCs w:val="32"/>
        </w:rPr>
        <w:t>第</w:t>
      </w:r>
      <w:r>
        <w:rPr>
          <w:rFonts w:hint="eastAsia" w:ascii="Times New Roman" w:hAnsi="Times New Roman" w:eastAsia="方正黑体简体" w:cs="Times New Roman"/>
          <w:bCs/>
          <w:szCs w:val="32"/>
        </w:rPr>
        <w:t>三</w:t>
      </w:r>
      <w:r>
        <w:rPr>
          <w:rFonts w:ascii="Times New Roman" w:hAnsi="Times New Roman" w:eastAsia="方正黑体简体" w:cs="Times New Roman"/>
          <w:bCs/>
          <w:szCs w:val="32"/>
        </w:rPr>
        <w:t>节  完善规划支撑体系</w:t>
      </w:r>
      <w:r>
        <w:tab/>
      </w:r>
      <w:r>
        <w:fldChar w:fldCharType="begin"/>
      </w:r>
      <w:r>
        <w:instrText xml:space="preserve"> PAGEREF _Toc31177 </w:instrText>
      </w:r>
      <w:r>
        <w:fldChar w:fldCharType="separate"/>
      </w:r>
      <w:r>
        <w:t>84</w:t>
      </w:r>
      <w:r>
        <w:fldChar w:fldCharType="end"/>
      </w:r>
      <w:r>
        <w:rPr>
          <w:rFonts w:ascii="Times New Roman" w:hAnsi="Times New Roman" w:cs="Times New Roman"/>
        </w:rPr>
        <w:fldChar w:fldCharType="end"/>
      </w:r>
    </w:p>
    <w:p>
      <w:pPr>
        <w:pStyle w:val="14"/>
        <w:tabs>
          <w:tab w:val="right" w:leader="dot" w:pos="9072"/>
        </w:tabs>
      </w:pPr>
      <w:r>
        <w:rPr>
          <w:rFonts w:ascii="Times New Roman" w:hAnsi="Times New Roman" w:cs="Times New Roman"/>
        </w:rPr>
        <w:fldChar w:fldCharType="begin"/>
      </w:r>
      <w:r>
        <w:rPr>
          <w:rFonts w:ascii="Times New Roman" w:hAnsi="Times New Roman" w:cs="Times New Roman"/>
        </w:rPr>
        <w:instrText xml:space="preserve"> HYPERLINK \l _Toc11039 </w:instrText>
      </w:r>
      <w:r>
        <w:rPr>
          <w:rFonts w:ascii="Times New Roman" w:hAnsi="Times New Roman" w:cs="Times New Roman"/>
        </w:rPr>
        <w:fldChar w:fldCharType="separate"/>
      </w:r>
      <w:r>
        <w:rPr>
          <w:rFonts w:hint="eastAsia" w:ascii="Times New Roman" w:hAnsi="Times New Roman" w:eastAsia="方正黑体简体" w:cs="Times New Roman"/>
          <w:bCs/>
          <w:szCs w:val="32"/>
        </w:rPr>
        <w:t>第四节</w:t>
      </w:r>
      <w:r>
        <w:rPr>
          <w:rFonts w:ascii="Times New Roman" w:hAnsi="Times New Roman" w:eastAsia="方正黑体简体" w:cs="Times New Roman"/>
          <w:bCs/>
          <w:szCs w:val="32"/>
        </w:rPr>
        <w:t xml:space="preserve"> 完善</w:t>
      </w:r>
      <w:r>
        <w:rPr>
          <w:rFonts w:hint="eastAsia" w:ascii="Times New Roman" w:hAnsi="Times New Roman" w:eastAsia="方正黑体简体" w:cs="Times New Roman"/>
          <w:bCs/>
          <w:szCs w:val="32"/>
        </w:rPr>
        <w:t>考评监督</w:t>
      </w:r>
      <w:r>
        <w:rPr>
          <w:rFonts w:ascii="Times New Roman" w:hAnsi="Times New Roman" w:eastAsia="方正黑体简体" w:cs="Times New Roman"/>
          <w:bCs/>
          <w:szCs w:val="32"/>
        </w:rPr>
        <w:t>体系</w:t>
      </w:r>
      <w:r>
        <w:tab/>
      </w:r>
      <w:r>
        <w:fldChar w:fldCharType="begin"/>
      </w:r>
      <w:r>
        <w:instrText xml:space="preserve"> PAGEREF _Toc11039 </w:instrText>
      </w:r>
      <w:r>
        <w:fldChar w:fldCharType="separate"/>
      </w:r>
      <w:r>
        <w:t>85</w:t>
      </w:r>
      <w:r>
        <w:fldChar w:fldCharType="end"/>
      </w:r>
      <w:r>
        <w:rPr>
          <w:rFonts w:ascii="Times New Roman" w:hAnsi="Times New Roman" w:cs="Times New Roman"/>
        </w:rPr>
        <w:fldChar w:fldCharType="end"/>
      </w:r>
    </w:p>
    <w:p>
      <w:pPr>
        <w:widowControl w:val="0"/>
        <w:spacing w:after="0" w:line="620" w:lineRule="exact"/>
        <w:jc w:val="both"/>
        <w:rPr>
          <w:rFonts w:ascii="Times New Roman" w:hAnsi="Times New Roman" w:eastAsia="方正楷体简体" w:cs="Times New Roman"/>
          <w:b/>
          <w:bCs/>
          <w:sz w:val="32"/>
          <w:szCs w:val="32"/>
        </w:rPr>
        <w:sectPr>
          <w:footerReference r:id="rId5" w:type="first"/>
          <w:footerReference r:id="rId4" w:type="default"/>
          <w:pgSz w:w="11906" w:h="16838"/>
          <w:pgMar w:top="1440" w:right="1417" w:bottom="1440" w:left="1417" w:header="851" w:footer="992" w:gutter="0"/>
          <w:pgNumType w:fmt="numberInDash" w:start="1"/>
          <w:cols w:space="0" w:num="1"/>
          <w:titlePg/>
          <w:docGrid w:linePitch="312" w:charSpace="0"/>
        </w:sectPr>
      </w:pPr>
      <w:r>
        <w:rPr>
          <w:rFonts w:ascii="Times New Roman" w:hAnsi="Times New Roman" w:cs="Times New Roman"/>
          <w:sz w:val="23"/>
        </w:rPr>
        <w:fldChar w:fldCharType="end"/>
      </w:r>
    </w:p>
    <w:p>
      <w:pPr>
        <w:widowControl w:val="0"/>
        <w:adjustRightInd/>
        <w:snapToGrid/>
        <w:spacing w:after="0" w:line="700" w:lineRule="exact"/>
        <w:jc w:val="center"/>
        <w:rPr>
          <w:rFonts w:ascii="Times New Roman" w:hAnsi="Times New Roman" w:eastAsia="方正小标宋简体" w:cs="Times New Roman"/>
          <w:b/>
          <w:sz w:val="52"/>
          <w:szCs w:val="52"/>
        </w:rPr>
      </w:pPr>
      <w:r>
        <w:rPr>
          <w:rFonts w:ascii="Times New Roman" w:hAnsi="Times New Roman" w:eastAsia="方正小标宋简体" w:cs="Times New Roman"/>
          <w:b/>
          <w:sz w:val="52"/>
          <w:szCs w:val="52"/>
        </w:rPr>
        <w:t>南安市国民经济和社会发展</w:t>
      </w:r>
    </w:p>
    <w:p>
      <w:pPr>
        <w:widowControl w:val="0"/>
        <w:adjustRightInd/>
        <w:snapToGrid/>
        <w:spacing w:after="0" w:line="700" w:lineRule="exact"/>
        <w:jc w:val="center"/>
        <w:rPr>
          <w:rFonts w:ascii="Times New Roman" w:hAnsi="Times New Roman" w:eastAsia="方正小标宋简体" w:cs="Times New Roman"/>
          <w:b/>
          <w:sz w:val="52"/>
          <w:szCs w:val="52"/>
        </w:rPr>
      </w:pPr>
      <w:r>
        <w:rPr>
          <w:rFonts w:ascii="Times New Roman" w:hAnsi="Times New Roman" w:eastAsia="方正小标宋简体" w:cs="Times New Roman"/>
          <w:b/>
          <w:sz w:val="52"/>
          <w:szCs w:val="52"/>
        </w:rPr>
        <w:t>第十四个五年规划和二〇三五年</w:t>
      </w:r>
    </w:p>
    <w:p>
      <w:pPr>
        <w:widowControl w:val="0"/>
        <w:spacing w:line="600" w:lineRule="exact"/>
        <w:ind w:firstLine="0" w:firstLineChars="0"/>
        <w:jc w:val="center"/>
        <w:rPr>
          <w:rFonts w:ascii="Times New Roman" w:hAnsi="Times New Roman" w:eastAsia="方正小标宋简体" w:cs="Times New Roman"/>
          <w:b/>
          <w:sz w:val="52"/>
          <w:szCs w:val="52"/>
        </w:rPr>
      </w:pPr>
      <w:r>
        <w:rPr>
          <w:rFonts w:ascii="Times New Roman" w:hAnsi="Times New Roman" w:eastAsia="方正小标宋简体" w:cs="Times New Roman"/>
          <w:b/>
          <w:sz w:val="52"/>
          <w:szCs w:val="52"/>
        </w:rPr>
        <w:t>远景目标纲要</w:t>
      </w:r>
    </w:p>
    <w:p>
      <w:pPr>
        <w:widowControl w:val="0"/>
        <w:spacing w:line="600" w:lineRule="exact"/>
        <w:ind w:firstLine="640" w:firstLineChars="200"/>
        <w:jc w:val="both"/>
        <w:rPr>
          <w:rFonts w:ascii="Times New Roman" w:hAnsi="Times New Roman" w:eastAsia="方正仿宋简体" w:cs="Times New Roman"/>
          <w:bCs/>
          <w:sz w:val="32"/>
          <w:szCs w:val="32"/>
        </w:rPr>
      </w:pPr>
    </w:p>
    <w:p>
      <w:pPr>
        <w:widowControl w:val="0"/>
        <w:spacing w:line="600" w:lineRule="exact"/>
        <w:ind w:firstLine="640" w:firstLineChars="200"/>
        <w:jc w:val="both"/>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lang w:val="en-US" w:eastAsia="zh-CN"/>
        </w:rPr>
        <w:t>本纲要根据《中共南安市委关于制定南安市国民经济和社会发展第十四个五年规划和二</w:t>
      </w:r>
      <w:r>
        <w:rPr>
          <w:rFonts w:hint="eastAsia" w:ascii="Times New Roman" w:hAnsi="Times New Roman" w:eastAsia="方正仿宋简体" w:cs="Times New Roman"/>
          <w:bCs/>
          <w:sz w:val="32"/>
          <w:szCs w:val="32"/>
        </w:rPr>
        <w:t>〇</w:t>
      </w:r>
      <w:r>
        <w:rPr>
          <w:rFonts w:hint="eastAsia" w:ascii="Times New Roman" w:hAnsi="Times New Roman" w:eastAsia="方正仿宋简体" w:cs="Times New Roman"/>
          <w:bCs/>
          <w:sz w:val="32"/>
          <w:szCs w:val="32"/>
          <w:lang w:val="en-US" w:eastAsia="zh-CN"/>
        </w:rPr>
        <w:t>三五年远景目标的建议》编制，主要是全面贯彻落实中共中央、福建省委、泉州市委及南安市委的战略部署，明确今后一个时期工作重点，引导市场主体行为，使之成为全市今后乃至更长一段时期经济社会发展的重要遵循。</w:t>
      </w:r>
    </w:p>
    <w:p>
      <w:pPr>
        <w:pStyle w:val="17"/>
        <w:widowControl w:val="0"/>
        <w:rPr>
          <w:rFonts w:ascii="Times New Roman" w:hAnsi="Times New Roman" w:eastAsia="方正小标宋简体" w:cs="Times New Roman"/>
          <w:sz w:val="36"/>
          <w:szCs w:val="36"/>
        </w:rPr>
      </w:pPr>
      <w:bookmarkStart w:id="0" w:name="_Toc1680"/>
      <w:bookmarkStart w:id="1" w:name="_Toc11352"/>
      <w:bookmarkStart w:id="2" w:name="_Toc20606"/>
      <w:bookmarkStart w:id="3" w:name="_Toc30538"/>
      <w:bookmarkStart w:id="4" w:name="_Toc5497"/>
      <w:bookmarkStart w:id="5" w:name="_Toc19549"/>
      <w:bookmarkStart w:id="6" w:name="_Toc12625"/>
      <w:bookmarkStart w:id="7" w:name="_Toc8072"/>
      <w:bookmarkStart w:id="8" w:name="_Toc68707630"/>
      <w:bookmarkStart w:id="9" w:name="_Toc12636"/>
      <w:bookmarkStart w:id="10" w:name="_Toc4362"/>
      <w:bookmarkStart w:id="11" w:name="_Toc9693"/>
      <w:bookmarkStart w:id="12" w:name="_Toc6743"/>
      <w:bookmarkStart w:id="13" w:name="_Toc19611"/>
      <w:bookmarkStart w:id="14" w:name="_Toc1721"/>
      <w:bookmarkStart w:id="15" w:name="_Toc1993"/>
      <w:bookmarkStart w:id="16" w:name="_Toc12014"/>
      <w:bookmarkStart w:id="17" w:name="_Toc59"/>
      <w:bookmarkStart w:id="18" w:name="_Toc6460"/>
      <w:bookmarkStart w:id="19" w:name="_Toc7098"/>
      <w:bookmarkStart w:id="20" w:name="_Toc25781"/>
      <w:bookmarkStart w:id="21" w:name="_Toc25798"/>
      <w:r>
        <w:rPr>
          <w:rFonts w:ascii="Times New Roman" w:hAnsi="Times New Roman" w:eastAsia="方正小标宋简体" w:cs="Times New Roman"/>
          <w:sz w:val="36"/>
          <w:szCs w:val="36"/>
        </w:rPr>
        <w:t>第一章  发展</w:t>
      </w:r>
      <w:bookmarkEnd w:id="0"/>
      <w:bookmarkEnd w:id="1"/>
      <w:bookmarkEnd w:id="2"/>
      <w:r>
        <w:rPr>
          <w:rFonts w:ascii="Times New Roman" w:hAnsi="Times New Roman" w:eastAsia="方正小标宋简体" w:cs="Times New Roman"/>
          <w:sz w:val="36"/>
          <w:szCs w:val="36"/>
        </w:rPr>
        <w:t>背景</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widowControl w:val="0"/>
        <w:spacing w:line="600" w:lineRule="exact"/>
        <w:ind w:firstLine="640" w:firstLineChars="200"/>
        <w:jc w:val="both"/>
        <w:rPr>
          <w:rFonts w:ascii="Times New Roman" w:hAnsi="Times New Roman" w:eastAsia="方正仿宋简体" w:cs="Times New Roman"/>
          <w:bCs/>
          <w:sz w:val="32"/>
          <w:szCs w:val="32"/>
        </w:rPr>
      </w:pPr>
      <w:bookmarkStart w:id="22" w:name="_Toc32021"/>
      <w:bookmarkStart w:id="23" w:name="_Toc15979"/>
      <w:bookmarkStart w:id="24" w:name="_Toc24419"/>
      <w:r>
        <w:rPr>
          <w:rFonts w:ascii="Times New Roman" w:hAnsi="Times New Roman" w:eastAsia="方正仿宋简体" w:cs="Times New Roman"/>
          <w:bCs/>
          <w:sz w:val="32"/>
          <w:szCs w:val="32"/>
        </w:rPr>
        <w:t>“十三五”以来，南安市坚持以习近平新时代中国特色社会主义思想为指导，贯彻落实党的十九大和十九届二中、三中、四中、五中全会精神，深入学习贯彻习近平总书记重要讲话重要指示批示精神，聚力高质量发展落实赶超，积极应对宏观形势变化，统筹推进疫情防控和经济社会发展，全力打好“三大攻坚战”，奋力建设现代化新南安，</w:t>
      </w:r>
      <w:r>
        <w:rPr>
          <w:rFonts w:hint="eastAsia" w:ascii="Times New Roman" w:hAnsi="Times New Roman" w:eastAsia="方正仿宋简体" w:cs="Times New Roman"/>
          <w:bCs/>
          <w:sz w:val="32"/>
          <w:szCs w:val="32"/>
          <w:lang w:val="en-US" w:eastAsia="zh-CN"/>
        </w:rPr>
        <w:t>推动经济平稳健康发展，保持社会和谐稳定，顺利完成“十三五”规划确定的主要目标和任务，全面建成小康社会，为开启全面建设社会主义现代化国家</w:t>
      </w:r>
      <w:bookmarkStart w:id="934" w:name="_GoBack"/>
      <w:bookmarkEnd w:id="934"/>
      <w:r>
        <w:rPr>
          <w:rFonts w:hint="eastAsia" w:ascii="Times New Roman" w:hAnsi="Times New Roman" w:eastAsia="方正仿宋简体" w:cs="Times New Roman"/>
          <w:bCs/>
          <w:sz w:val="32"/>
          <w:szCs w:val="32"/>
          <w:lang w:val="en-US" w:eastAsia="zh-CN"/>
        </w:rPr>
        <w:t>新征程奠定坚实基础</w:t>
      </w:r>
      <w:r>
        <w:rPr>
          <w:rFonts w:ascii="Times New Roman" w:hAnsi="Times New Roman" w:eastAsia="方正仿宋简体" w:cs="Times New Roman"/>
          <w:bCs/>
          <w:sz w:val="32"/>
          <w:szCs w:val="32"/>
        </w:rPr>
        <w:t>。</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25" w:name="_Toc13471"/>
      <w:bookmarkStart w:id="26" w:name="_Toc4651"/>
      <w:bookmarkStart w:id="27" w:name="_Toc3596"/>
      <w:bookmarkStart w:id="28" w:name="_Toc11122"/>
      <w:bookmarkStart w:id="29" w:name="_Toc396"/>
      <w:bookmarkStart w:id="30" w:name="_Toc27143"/>
      <w:bookmarkStart w:id="31" w:name="_Toc68707631"/>
      <w:bookmarkStart w:id="32" w:name="_Toc22454"/>
      <w:bookmarkStart w:id="33" w:name="_Toc21727"/>
      <w:bookmarkStart w:id="34" w:name="_Toc15034"/>
      <w:bookmarkStart w:id="35" w:name="_Toc15282"/>
      <w:bookmarkStart w:id="36" w:name="_Toc23539"/>
      <w:bookmarkStart w:id="37" w:name="_Toc19694"/>
      <w:bookmarkStart w:id="38" w:name="_Toc3850"/>
      <w:bookmarkStart w:id="39" w:name="_Toc20739"/>
      <w:bookmarkStart w:id="40" w:name="_Toc13408"/>
      <w:bookmarkStart w:id="41" w:name="_Toc25543"/>
      <w:bookmarkStart w:id="42" w:name="_Toc6061"/>
      <w:bookmarkStart w:id="43" w:name="_Toc30938"/>
      <w:r>
        <w:rPr>
          <w:rFonts w:ascii="Times New Roman" w:hAnsi="Times New Roman" w:eastAsia="方正黑体简体" w:cs="Times New Roman"/>
          <w:bCs/>
          <w:sz w:val="32"/>
          <w:szCs w:val="32"/>
        </w:rPr>
        <w:t>第一节  发展基础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一、突出目标导向、精准施策，综合实力质量效益稳步提升。</w:t>
      </w:r>
      <w:r>
        <w:rPr>
          <w:rFonts w:ascii="Times New Roman" w:hAnsi="Times New Roman" w:eastAsia="方正仿宋简体" w:cs="Times New Roman"/>
          <w:bCs/>
          <w:sz w:val="32"/>
          <w:szCs w:val="32"/>
        </w:rPr>
        <w:t>经济总量迈入“千亿县”行列。2016-20</w:t>
      </w:r>
      <w:r>
        <w:rPr>
          <w:rFonts w:hint="eastAsia" w:ascii="Times New Roman" w:hAnsi="Times New Roman" w:eastAsia="方正仿宋简体" w:cs="Times New Roman"/>
          <w:bCs/>
          <w:sz w:val="32"/>
          <w:szCs w:val="32"/>
        </w:rPr>
        <w:t>20</w:t>
      </w:r>
      <w:r>
        <w:rPr>
          <w:rFonts w:ascii="Times New Roman" w:hAnsi="Times New Roman" w:eastAsia="方正仿宋简体" w:cs="Times New Roman"/>
          <w:bCs/>
          <w:sz w:val="32"/>
          <w:szCs w:val="32"/>
        </w:rPr>
        <w:t>年GDP年均增长</w:t>
      </w:r>
      <w:r>
        <w:rPr>
          <w:rFonts w:hint="eastAsia" w:ascii="Times New Roman" w:hAnsi="Times New Roman" w:eastAsia="方正仿宋简体" w:cs="Times New Roman"/>
          <w:bCs/>
          <w:sz w:val="32"/>
          <w:szCs w:val="32"/>
        </w:rPr>
        <w:t>7.</w:t>
      </w:r>
      <w:r>
        <w:rPr>
          <w:rFonts w:hint="eastAsia" w:ascii="Times New Roman" w:hAnsi="Times New Roman" w:eastAsia="方正仿宋简体" w:cs="Times New Roman"/>
          <w:bCs/>
          <w:sz w:val="32"/>
          <w:szCs w:val="32"/>
          <w:lang w:val="en-US" w:eastAsia="zh-CN"/>
        </w:rPr>
        <w:t>7</w:t>
      </w:r>
      <w:r>
        <w:rPr>
          <w:rFonts w:ascii="Times New Roman" w:hAnsi="Times New Roman" w:eastAsia="方正仿宋简体" w:cs="Times New Roman"/>
          <w:bCs/>
          <w:sz w:val="32"/>
          <w:szCs w:val="32"/>
        </w:rPr>
        <w:t>%，20</w:t>
      </w:r>
      <w:r>
        <w:rPr>
          <w:rFonts w:hint="eastAsia" w:ascii="Times New Roman" w:hAnsi="Times New Roman" w:eastAsia="方正仿宋简体" w:cs="Times New Roman"/>
          <w:bCs/>
          <w:sz w:val="32"/>
          <w:szCs w:val="32"/>
        </w:rPr>
        <w:t>20</w:t>
      </w:r>
      <w:r>
        <w:rPr>
          <w:rFonts w:ascii="Times New Roman" w:hAnsi="Times New Roman" w:eastAsia="方正仿宋简体" w:cs="Times New Roman"/>
          <w:bCs/>
          <w:sz w:val="32"/>
          <w:szCs w:val="32"/>
        </w:rPr>
        <w:t>年</w:t>
      </w:r>
      <w:r>
        <w:rPr>
          <w:rFonts w:hint="eastAsia" w:ascii="Times New Roman" w:hAnsi="Times New Roman" w:eastAsia="方正仿宋简体" w:cs="Times New Roman"/>
          <w:bCs/>
          <w:sz w:val="32"/>
          <w:szCs w:val="32"/>
        </w:rPr>
        <w:t>GDP</w:t>
      </w:r>
      <w:r>
        <w:rPr>
          <w:rFonts w:ascii="Times New Roman" w:hAnsi="Times New Roman" w:eastAsia="方正仿宋简体" w:cs="Times New Roman"/>
          <w:bCs/>
          <w:sz w:val="32"/>
          <w:szCs w:val="32"/>
        </w:rPr>
        <w:t>突破1350亿元，一般公共预算总收入</w:t>
      </w:r>
      <w:r>
        <w:rPr>
          <w:rFonts w:hint="eastAsia" w:ascii="Times New Roman" w:hAnsi="Times New Roman" w:eastAsia="方正仿宋简体" w:cs="Times New Roman"/>
          <w:bCs/>
          <w:sz w:val="32"/>
          <w:szCs w:val="32"/>
        </w:rPr>
        <w:t>90.56</w:t>
      </w:r>
      <w:r>
        <w:rPr>
          <w:rFonts w:ascii="Times New Roman" w:hAnsi="Times New Roman" w:eastAsia="方正仿宋简体" w:cs="Times New Roman"/>
          <w:bCs/>
          <w:sz w:val="32"/>
          <w:szCs w:val="32"/>
        </w:rPr>
        <w:t>亿元，一般公共预算收入突破50亿元，三次产业结构从2015年的2.9:62.6:34.5调整为20</w:t>
      </w:r>
      <w:r>
        <w:rPr>
          <w:rFonts w:hint="eastAsia" w:ascii="Times New Roman" w:hAnsi="Times New Roman" w:eastAsia="方正仿宋简体" w:cs="Times New Roman"/>
          <w:bCs/>
          <w:sz w:val="32"/>
          <w:szCs w:val="32"/>
        </w:rPr>
        <w:t>20</w:t>
      </w:r>
      <w:r>
        <w:rPr>
          <w:rFonts w:ascii="Times New Roman" w:hAnsi="Times New Roman" w:eastAsia="方正仿宋简体" w:cs="Times New Roman"/>
          <w:bCs/>
          <w:sz w:val="32"/>
          <w:szCs w:val="32"/>
        </w:rPr>
        <w:t>年的2.</w:t>
      </w:r>
      <w:r>
        <w:rPr>
          <w:rFonts w:hint="eastAsia" w:ascii="Times New Roman" w:hAnsi="Times New Roman" w:eastAsia="方正仿宋简体" w:cs="Times New Roman"/>
          <w:bCs/>
          <w:sz w:val="32"/>
          <w:szCs w:val="32"/>
        </w:rPr>
        <w:t>7</w:t>
      </w:r>
      <w:r>
        <w:rPr>
          <w:rFonts w:ascii="Times New Roman" w:hAnsi="Times New Roman" w:eastAsia="方正仿宋简体" w:cs="Times New Roman"/>
          <w:bCs/>
          <w:sz w:val="32"/>
          <w:szCs w:val="32"/>
        </w:rPr>
        <w:t>:5</w:t>
      </w:r>
      <w:r>
        <w:rPr>
          <w:rFonts w:hint="eastAsia" w:ascii="Times New Roman" w:hAnsi="Times New Roman" w:eastAsia="方正仿宋简体" w:cs="Times New Roman"/>
          <w:bCs/>
          <w:sz w:val="32"/>
          <w:szCs w:val="32"/>
        </w:rPr>
        <w:t>8.5</w:t>
      </w:r>
      <w:r>
        <w:rPr>
          <w:rFonts w:ascii="Times New Roman" w:hAnsi="Times New Roman" w:eastAsia="方正仿宋简体" w:cs="Times New Roman"/>
          <w:bCs/>
          <w:sz w:val="32"/>
          <w:szCs w:val="32"/>
        </w:rPr>
        <w:t>:38.</w:t>
      </w:r>
      <w:r>
        <w:rPr>
          <w:rFonts w:hint="eastAsia" w:ascii="Times New Roman" w:hAnsi="Times New Roman" w:eastAsia="方正仿宋简体" w:cs="Times New Roman"/>
          <w:bCs/>
          <w:sz w:val="32"/>
          <w:szCs w:val="32"/>
        </w:rPr>
        <w:t>8</w:t>
      </w:r>
      <w:r>
        <w:rPr>
          <w:rFonts w:ascii="Times New Roman" w:hAnsi="Times New Roman" w:eastAsia="方正仿宋简体" w:cs="Times New Roman"/>
          <w:bCs/>
          <w:sz w:val="32"/>
          <w:szCs w:val="32"/>
        </w:rPr>
        <w:t>。城市综合实力不断增强，2020年位列中国县域经济综合竞争力百强县市第27位、中国工业百强县市第15位、中国营商环境百强县第17位、中国中小城市创新创业百强县市第38位、中国绿色发展百强县市第14位。</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二、突出实业立市、转型升级，特色现代化经济体系加快构建。</w:t>
      </w:r>
      <w:r>
        <w:rPr>
          <w:rFonts w:ascii="Times New Roman" w:hAnsi="Times New Roman" w:eastAsia="方正仿宋简体" w:cs="Times New Roman"/>
          <w:bCs/>
          <w:sz w:val="32"/>
          <w:szCs w:val="32"/>
        </w:rPr>
        <w:t>石材陶瓷、水暖厨卫、机械装备、鞋服轻纺业向中高端迈进，获批石材、水暖卫浴国家外贸转型升级示范基地，石材产业入选省千亿产业集群推进计划，水暖厨卫产业入围全国第四批产业集群区域品牌建设试点名单；南部“芯谷”列入海峡两岸集成电路产业合作试验区</w:t>
      </w:r>
      <w:r>
        <w:rPr>
          <w:rFonts w:hint="eastAsia" w:ascii="Times New Roman" w:hAnsi="Times New Roman" w:eastAsia="方正仿宋简体" w:cs="Times New Roman"/>
          <w:bCs/>
          <w:sz w:val="32"/>
          <w:szCs w:val="32"/>
          <w:lang w:eastAsia="zh-CN"/>
        </w:rPr>
        <w:t>，</w:t>
      </w:r>
      <w:r>
        <w:rPr>
          <w:rFonts w:ascii="Times New Roman" w:hAnsi="Times New Roman" w:eastAsia="方正仿宋简体" w:cs="Times New Roman"/>
          <w:bCs/>
          <w:sz w:val="32"/>
          <w:szCs w:val="32"/>
        </w:rPr>
        <w:t>三安、富宸、安芯等半导体项目投产</w:t>
      </w:r>
      <w:r>
        <w:rPr>
          <w:rFonts w:hint="eastAsia" w:ascii="Times New Roman" w:hAnsi="Times New Roman" w:eastAsia="方正仿宋简体" w:cs="Times New Roman"/>
          <w:bCs/>
          <w:sz w:val="32"/>
          <w:szCs w:val="32"/>
          <w:lang w:eastAsia="zh-CN"/>
        </w:rPr>
        <w:t>，</w:t>
      </w:r>
      <w:r>
        <w:rPr>
          <w:rFonts w:ascii="Times New Roman" w:hAnsi="Times New Roman" w:eastAsia="方正仿宋简体" w:cs="Times New Roman"/>
          <w:bCs/>
          <w:sz w:val="32"/>
          <w:szCs w:val="32"/>
        </w:rPr>
        <w:t>中部“智谷”雏形渐展。实施“第三产业提升年”，现代物流、电子商务、商贸会展业提质增效，天地汇、宏图华昌获网络货运经营者资质，“泛家居”线上平台交易流量超2</w:t>
      </w:r>
      <w:r>
        <w:rPr>
          <w:rFonts w:hint="eastAsia" w:ascii="Times New Roman" w:hAnsi="Times New Roman" w:eastAsia="方正仿宋简体" w:cs="Times New Roman"/>
          <w:bCs/>
          <w:sz w:val="32"/>
          <w:szCs w:val="32"/>
          <w:lang w:val="en-US" w:eastAsia="zh-CN"/>
        </w:rPr>
        <w:t>50</w:t>
      </w:r>
      <w:r>
        <w:rPr>
          <w:rFonts w:ascii="Times New Roman" w:hAnsi="Times New Roman" w:eastAsia="方正仿宋简体" w:cs="Times New Roman"/>
          <w:bCs/>
          <w:sz w:val="32"/>
          <w:szCs w:val="32"/>
        </w:rPr>
        <w:t>亿，中国水暖城获评省级现代服务业集聚示范区。融入福厦泉国家自主创新示范区，培育新平台、新业态、新模式，开展研发活动企业超289家，高新企业92家，科技小巨人领军企业127家，R&amp;D投入累计41.69亿元，7家公司上榜中国品牌价值评价榜单，金鹿、九牧入选新中国成立70周年70品牌，参与国家行业标准制定173项，位列全国首位。实施人才“港湾计划”，创新实行自主认定企业人才，人才总量、高层次人才总量均居泉州市前列。</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三、突出深化改革、扩大开放，发展活力内生动力持续增强。</w:t>
      </w:r>
      <w:r>
        <w:rPr>
          <w:rFonts w:ascii="Times New Roman" w:hAnsi="Times New Roman" w:eastAsia="方正仿宋简体" w:cs="Times New Roman"/>
          <w:bCs/>
          <w:sz w:val="32"/>
          <w:szCs w:val="32"/>
        </w:rPr>
        <w:t>大力推进“放管服”改革，线上办事覆盖面达96.1%，“最多跑一趟”和“一趟不用跑”事项达87.1%，企业开办时间缩减至1</w:t>
      </w:r>
      <w:r>
        <w:rPr>
          <w:rFonts w:hint="eastAsia" w:ascii="Times New Roman" w:hAnsi="Times New Roman" w:eastAsia="方正仿宋简体" w:cs="Times New Roman"/>
          <w:bCs/>
          <w:sz w:val="32"/>
          <w:szCs w:val="32"/>
          <w:lang w:eastAsia="zh-CN"/>
        </w:rPr>
        <w:t>个工作日</w:t>
      </w:r>
      <w:r>
        <w:rPr>
          <w:rFonts w:ascii="Times New Roman" w:hAnsi="Times New Roman" w:eastAsia="方正仿宋简体" w:cs="Times New Roman"/>
          <w:bCs/>
          <w:sz w:val="32"/>
          <w:szCs w:val="32"/>
        </w:rPr>
        <w:t>。完成党政机构改革任务。三大市属国有集团资产总额超4</w:t>
      </w:r>
      <w:r>
        <w:rPr>
          <w:rFonts w:hint="eastAsia" w:ascii="Times New Roman" w:hAnsi="Times New Roman" w:eastAsia="方正仿宋简体" w:cs="Times New Roman"/>
          <w:bCs/>
          <w:sz w:val="32"/>
          <w:szCs w:val="32"/>
        </w:rPr>
        <w:t>7</w:t>
      </w:r>
      <w:r>
        <w:rPr>
          <w:rFonts w:ascii="Times New Roman" w:hAnsi="Times New Roman" w:eastAsia="方正仿宋简体" w:cs="Times New Roman"/>
          <w:bCs/>
          <w:sz w:val="32"/>
          <w:szCs w:val="32"/>
        </w:rPr>
        <w:t>0亿元。防范化解金融风险，融资担保业务量居泉州市前列，县级城市综合信用指数居全国前列。石井口岸通过国家验收对外开放，泉金航线年运送旅客超16万人次。郑成功故里获批海峡两岸交流基地，凤山寺获批省对台交流基地，华侨革命历史博物馆获批中国华侨国际文化交流基地。</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四、突出城乡一体、融合发展，宜居城市乡村振兴齐头并进。</w:t>
      </w:r>
      <w:r>
        <w:rPr>
          <w:rFonts w:ascii="Times New Roman" w:hAnsi="Times New Roman" w:eastAsia="方正仿宋简体" w:cs="Times New Roman"/>
          <w:bCs/>
          <w:sz w:val="32"/>
          <w:szCs w:val="32"/>
        </w:rPr>
        <w:t>城市总体规划获批实施，“服务向心、生活向溪、产城一体”的组团空间结构初现雏形，常住人口城镇化率达61.2%。新行政服务中心等一批公共项目建成投用，市民“多彩出行”基本形成，老城更加舒适宜居，新城吸引力增强。厦漳泉城市联盟高速、纵三线省新至梅山公路、石井成功大道、市区外环线等建成通车，兴泉铁路、福厦客专等铁路项目进入攻坚阶段，“三纵一横四联”高速网建成171公里，公路网面积密度达204.8公里/百平方公里，乡镇、建制村公路通达率、通畅率均达100%。实施新型城镇化战略，水头、石井、仑苍、官桥全国千强镇排名稳步提升，洪梅被授予“中国水产餐饮第一镇”，罗东成为新型城镇化建设新典范。实施乡村振兴战略，“蓬华脐橙”获认国家农产品地理标志，“向阳好货”获评全国优秀创新创业项目，梅山镇蓉中村、霞美镇金山村</w:t>
      </w:r>
      <w:r>
        <w:rPr>
          <w:rFonts w:hint="eastAsia" w:ascii="Times New Roman" w:hAnsi="Times New Roman" w:eastAsia="方正仿宋简体" w:cs="Times New Roman"/>
          <w:bCs/>
          <w:sz w:val="32"/>
          <w:szCs w:val="32"/>
          <w:lang w:eastAsia="zh-CN"/>
        </w:rPr>
        <w:t>、溪美街道溪州村</w:t>
      </w:r>
      <w:r>
        <w:rPr>
          <w:rFonts w:ascii="Times New Roman" w:hAnsi="Times New Roman" w:eastAsia="方正仿宋简体" w:cs="Times New Roman"/>
          <w:bCs/>
          <w:sz w:val="32"/>
          <w:szCs w:val="32"/>
        </w:rPr>
        <w:t>获评全国文明村镇，眉山乡观山村入选中国传统村落名录，眉山皇旗尖</w:t>
      </w:r>
      <w:r>
        <w:rPr>
          <w:rFonts w:hint="eastAsia" w:ascii="Times New Roman" w:hAnsi="Times New Roman" w:eastAsia="方正仿宋简体" w:cs="Times New Roman"/>
          <w:bCs/>
          <w:sz w:val="32"/>
          <w:szCs w:val="32"/>
        </w:rPr>
        <w:t>休闲茶庄园</w:t>
      </w:r>
      <w:r>
        <w:rPr>
          <w:rFonts w:ascii="Times New Roman" w:hAnsi="Times New Roman" w:eastAsia="方正仿宋简体" w:cs="Times New Roman"/>
          <w:bCs/>
          <w:sz w:val="32"/>
          <w:szCs w:val="32"/>
        </w:rPr>
        <w:t>获评全国百个休闲农业和乡村旅游精品景点线路，乐峰印山林场列为国家森林康养基地试点，26个村入选全省“千村整治、百村示范”美丽乡村建设工程名单，27个村纳入省级乡村振兴示范试点。</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五、突出问题导向、铁腕治污，生态环境治理格局巩固优化。</w:t>
      </w:r>
      <w:r>
        <w:rPr>
          <w:rFonts w:ascii="Times New Roman" w:hAnsi="Times New Roman" w:eastAsia="方正仿宋简体" w:cs="Times New Roman"/>
          <w:bCs/>
          <w:sz w:val="32"/>
          <w:szCs w:val="32"/>
        </w:rPr>
        <w:t>狠抓环保督察反馈问题整改，打好蓝天、碧水、净土保卫战。率先推行“湾长制”，开展“碧水清源”行动，中小流域劣Ⅴ类水质全部消除，县级以上集中式饮用水源地水质100%达标，空气质量优良率99.1%。率先在全省出台涉矿土地平整方案，推行城乡环卫市域一体化PPP模式运作，行政村垃圾治理全覆盖。“点线面”推进生态连绵带建设，实施门户绿化提升工程，“两高一通道”沿线环境综合整治取得阶段性成效，涌现丰州燎原等样板，滨江休闲景观带成为“城市会客厅”，获评省级森林城市。</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六、突出以人为本、共建共享，民生福祉社会善治持续增进。</w:t>
      </w:r>
      <w:r>
        <w:rPr>
          <w:rFonts w:ascii="Times New Roman" w:hAnsi="Times New Roman" w:eastAsia="方正仿宋简体" w:cs="Times New Roman"/>
          <w:bCs/>
          <w:sz w:val="32"/>
          <w:szCs w:val="32"/>
        </w:rPr>
        <w:t>城乡居民养老保险参保人数达85.58万，城乡低保标准一体化，城乡医疗、养老保险待遇稳步上升，建成一批市级养老院、区域性养老服务中心、日间照料中心、农村幸福院，连续27年侨捐</w:t>
      </w:r>
      <w:r>
        <w:rPr>
          <w:rFonts w:hint="eastAsia" w:ascii="Times New Roman" w:hAnsi="Times New Roman" w:eastAsia="方正仿宋简体" w:cs="Times New Roman"/>
          <w:bCs/>
          <w:sz w:val="32"/>
          <w:szCs w:val="32"/>
          <w:lang w:eastAsia="zh-CN"/>
        </w:rPr>
        <w:t>金</w:t>
      </w:r>
      <w:r>
        <w:rPr>
          <w:rFonts w:ascii="Times New Roman" w:hAnsi="Times New Roman" w:eastAsia="方正仿宋简体" w:cs="Times New Roman"/>
          <w:bCs/>
          <w:sz w:val="32"/>
          <w:szCs w:val="32"/>
        </w:rPr>
        <w:t>额超亿元。致力教育补短板，“一中心两片区”教育格局基本形成，新改扩建幼儿园18所、中小学59所，新增幼儿园学位5670个、中小学学位21735个，昌财学村等投入使用，获评国家农村职业教育和成人教育示范县、国家三类城市语言文字工作评估达标城市。致力医疗补短板，新增床位数1932张、卫生技术人员</w:t>
      </w:r>
      <w:r>
        <w:rPr>
          <w:rFonts w:hint="eastAsia" w:ascii="Times New Roman" w:hAnsi="Times New Roman" w:eastAsia="方正仿宋简体" w:cs="Times New Roman"/>
          <w:bCs/>
          <w:sz w:val="32"/>
          <w:szCs w:val="32"/>
          <w:lang w:val="en-US" w:eastAsia="zh-CN"/>
        </w:rPr>
        <w:t>1295</w:t>
      </w:r>
      <w:r>
        <w:rPr>
          <w:rFonts w:ascii="Times New Roman" w:hAnsi="Times New Roman" w:eastAsia="方正仿宋简体" w:cs="Times New Roman"/>
          <w:bCs/>
          <w:sz w:val="32"/>
          <w:szCs w:val="32"/>
        </w:rPr>
        <w:t>人，新改扩建业务用房23.4万平方米，开展医联体建设，基层医疗卫生机构“空白村”全面消除，获评全国基层中医药工作先进单位。致力文化引领，开展移风易俗专项行动，市文化馆晋升国家一级馆，</w:t>
      </w:r>
      <w:r>
        <w:rPr>
          <w:rFonts w:hint="eastAsia" w:ascii="Times New Roman" w:hAnsi="Times New Roman" w:eastAsia="方正仿宋简体" w:cs="Times New Roman"/>
          <w:bCs/>
          <w:sz w:val="32"/>
          <w:szCs w:val="32"/>
          <w:lang w:eastAsia="zh-CN"/>
        </w:rPr>
        <w:t>南安</w:t>
      </w:r>
      <w:r>
        <w:rPr>
          <w:rFonts w:ascii="Times New Roman" w:hAnsi="Times New Roman" w:eastAsia="方正仿宋简体" w:cs="Times New Roman"/>
          <w:bCs/>
          <w:sz w:val="32"/>
          <w:szCs w:val="32"/>
        </w:rPr>
        <w:t>获评“中国曲艺之乡”；新增国家和省级重点文物保护单位3处和5处，丰州镇获省首批“千年古镇”，东田镇、英都镇良山村获省级历史文化名镇、名村；南安运动健儿32人次在国际、国内比赛中获得奖牌；入选全国社会足球场地设施建设重点推进城市。致力社区治理创新，开展“强基促稳”三年行动，构建推广“3+N”联合调解网络体系，群众安全感指数省测评达98.83%。率先将安全生产社会化向乡镇延伸，企业抱团委托，实现全域覆盖。实现全国双拥模范城“四连冠”。</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44" w:name="_Toc30833"/>
      <w:bookmarkStart w:id="45" w:name="_Toc18928"/>
      <w:bookmarkStart w:id="46" w:name="_Toc3078"/>
      <w:bookmarkStart w:id="47" w:name="_Toc19391"/>
      <w:bookmarkStart w:id="48" w:name="_Toc1457"/>
      <w:bookmarkStart w:id="49" w:name="_Toc12171"/>
      <w:bookmarkStart w:id="50" w:name="_Toc22582"/>
      <w:bookmarkStart w:id="51" w:name="_Toc27564"/>
      <w:bookmarkStart w:id="52" w:name="_Toc1093"/>
      <w:bookmarkStart w:id="53" w:name="_Toc21646"/>
      <w:bookmarkStart w:id="54" w:name="_Toc28891"/>
      <w:bookmarkStart w:id="55" w:name="_Toc22663"/>
      <w:bookmarkStart w:id="56" w:name="_Toc20006"/>
      <w:bookmarkStart w:id="57" w:name="_Toc10718"/>
      <w:bookmarkStart w:id="58" w:name="_Toc13231"/>
      <w:bookmarkStart w:id="59" w:name="_Toc11912"/>
      <w:bookmarkStart w:id="60" w:name="_Toc68707632"/>
      <w:bookmarkStart w:id="61" w:name="_Toc16862"/>
      <w:bookmarkStart w:id="62" w:name="_Toc326"/>
      <w:bookmarkStart w:id="63" w:name="_Toc26089"/>
      <w:bookmarkStart w:id="64" w:name="_Toc25817"/>
      <w:bookmarkStart w:id="65" w:name="_Toc13290"/>
      <w:r>
        <w:rPr>
          <w:rFonts w:ascii="Times New Roman" w:hAnsi="Times New Roman" w:eastAsia="方正黑体简体" w:cs="Times New Roman"/>
          <w:bCs/>
          <w:sz w:val="32"/>
          <w:szCs w:val="32"/>
        </w:rPr>
        <w:t>第二节  发展环境</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widowControl w:val="0"/>
        <w:spacing w:line="600" w:lineRule="exact"/>
        <w:ind w:firstLine="640" w:firstLineChars="200"/>
        <w:jc w:val="both"/>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当前和今后一个时期，我国发展仍然处于重要战略机遇期，但机遇和挑战都有新的发展变化。</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一、国际形势跌宕起伏、复杂多变，世界百年未有之大变局进入加速演变期。</w:t>
      </w:r>
      <w:r>
        <w:rPr>
          <w:rFonts w:ascii="Times New Roman" w:hAnsi="Times New Roman" w:eastAsia="方正仿宋简体" w:cs="Times New Roman"/>
          <w:bCs/>
          <w:sz w:val="32"/>
          <w:szCs w:val="32"/>
        </w:rPr>
        <w:t>新一轮科技革命和产业变革深入发展，</w:t>
      </w:r>
      <w:r>
        <w:rPr>
          <w:rFonts w:hint="eastAsia" w:ascii="Times New Roman" w:hAnsi="Times New Roman" w:eastAsia="方正仿宋简体" w:cs="Times New Roman"/>
          <w:bCs/>
          <w:sz w:val="32"/>
          <w:szCs w:val="32"/>
        </w:rPr>
        <w:t>信息技术、生物技术、新能源技术、新材料技术、智能制造技术等领域日新月异，</w:t>
      </w:r>
      <w:r>
        <w:rPr>
          <w:rFonts w:ascii="Times New Roman" w:hAnsi="Times New Roman" w:eastAsia="方正仿宋简体" w:cs="Times New Roman"/>
          <w:bCs/>
          <w:sz w:val="32"/>
          <w:szCs w:val="32"/>
        </w:rPr>
        <w:t>和平与发展仍然是时代主题，人类命运共同体理念深入人心。</w:t>
      </w:r>
      <w:r>
        <w:rPr>
          <w:rFonts w:hint="eastAsia" w:ascii="Times New Roman" w:hAnsi="Times New Roman" w:eastAsia="方正仿宋简体" w:cs="Times New Roman"/>
          <w:bCs/>
          <w:sz w:val="32"/>
          <w:szCs w:val="32"/>
        </w:rPr>
        <w:t>同时</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rPr>
        <w:t>国际环境中的</w:t>
      </w:r>
      <w:r>
        <w:rPr>
          <w:rFonts w:ascii="Times New Roman" w:hAnsi="Times New Roman" w:eastAsia="方正仿宋简体" w:cs="Times New Roman"/>
          <w:bCs/>
          <w:sz w:val="32"/>
          <w:szCs w:val="32"/>
        </w:rPr>
        <w:t>不稳定性不确定性明显增加，全球新冠肺炎疫情大流行带来巨大变量，经济全球化遭遇逆流，世界进入动荡变革期，单边主义、保护主义、霸权主义对世界和平与发展构成威胁。</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二、我国进入新发展阶段，开启全面建设社会主义现代化的新征程。</w:t>
      </w:r>
      <w:r>
        <w:rPr>
          <w:rFonts w:ascii="Times New Roman" w:hAnsi="Times New Roman" w:eastAsia="方正仿宋简体" w:cs="Times New Roman"/>
          <w:bCs/>
          <w:sz w:val="32"/>
          <w:szCs w:val="32"/>
        </w:rPr>
        <w:t>从全国看，</w:t>
      </w:r>
      <w:r>
        <w:rPr>
          <w:rFonts w:hint="eastAsia" w:ascii="Times New Roman" w:hAnsi="Times New Roman" w:eastAsia="方正仿宋简体" w:cs="Times New Roman"/>
          <w:bCs/>
          <w:sz w:val="32"/>
          <w:szCs w:val="32"/>
        </w:rPr>
        <w:t>制度优势</w:t>
      </w:r>
      <w:r>
        <w:rPr>
          <w:rFonts w:ascii="Times New Roman" w:hAnsi="Times New Roman" w:eastAsia="方正仿宋简体" w:cs="Times New Roman"/>
          <w:bCs/>
          <w:sz w:val="32"/>
          <w:szCs w:val="32"/>
        </w:rPr>
        <w:t>显著，</w:t>
      </w:r>
      <w:r>
        <w:rPr>
          <w:rFonts w:hint="eastAsia" w:ascii="Times New Roman" w:hAnsi="Times New Roman" w:eastAsia="方正仿宋简体" w:cs="Times New Roman"/>
          <w:bCs/>
          <w:sz w:val="32"/>
          <w:szCs w:val="32"/>
        </w:rPr>
        <w:t>治理效能</w:t>
      </w:r>
      <w:r>
        <w:rPr>
          <w:rFonts w:ascii="Times New Roman" w:hAnsi="Times New Roman" w:eastAsia="方正仿宋简体" w:cs="Times New Roman"/>
          <w:bCs/>
          <w:sz w:val="32"/>
          <w:szCs w:val="32"/>
        </w:rPr>
        <w:t>提升，经济长期向好，物质基础雄厚，人力资源丰富，市场空间广阔，发展韧性强劲，社会大局稳定，继续发展具有多方面优势和条件，同时，人民对美好生活的向往呈现多样化、多层次、多方面的特点</w:t>
      </w:r>
      <w:r>
        <w:rPr>
          <w:rFonts w:hint="eastAsia" w:ascii="Times New Roman" w:hAnsi="Times New Roman" w:eastAsia="方正仿宋简体" w:cs="Times New Roman"/>
          <w:bCs/>
          <w:sz w:val="32"/>
          <w:szCs w:val="32"/>
        </w:rPr>
        <w:t>。</w:t>
      </w:r>
      <w:r>
        <w:rPr>
          <w:rFonts w:ascii="Times New Roman" w:hAnsi="Times New Roman" w:eastAsia="方正仿宋简体" w:cs="Times New Roman"/>
          <w:bCs/>
          <w:sz w:val="32"/>
          <w:szCs w:val="32"/>
        </w:rPr>
        <w:t>从全省看，十九届五中全会明确支持福建探索海峡两岸融合发展新路，“多区”叠加政策给</w:t>
      </w:r>
      <w:r>
        <w:rPr>
          <w:rFonts w:hint="eastAsia" w:ascii="Times New Roman" w:hAnsi="Times New Roman" w:eastAsia="方正仿宋简体" w:cs="Times New Roman"/>
          <w:bCs/>
          <w:sz w:val="32"/>
          <w:szCs w:val="32"/>
        </w:rPr>
        <w:t>福建带来千载难逢的历史机遇</w:t>
      </w:r>
      <w:r>
        <w:rPr>
          <w:rFonts w:ascii="Times New Roman" w:hAnsi="Times New Roman" w:eastAsia="方正仿宋简体" w:cs="Times New Roman"/>
          <w:bCs/>
          <w:sz w:val="32"/>
          <w:szCs w:val="32"/>
        </w:rPr>
        <w:t>。我省正全方位推动高质量发展超越，处在工业化提升期、数字化融合期、城市化转型期、市场化深化期、基本公共服务均等化提质期。从泉州看，按照省委关于闽西南协同发展区、厦漳泉都市圈和省域中心城市等部署，实施“跨江发展、跨域融合”战略，进入做大做强中心城市的关键时期。</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三、南安站在一个新的历史起点，也面临着不进则退的严峻挑战。</w:t>
      </w:r>
      <w:r>
        <w:rPr>
          <w:rFonts w:ascii="Times New Roman" w:hAnsi="Times New Roman" w:eastAsia="方正仿宋简体" w:cs="Times New Roman"/>
          <w:bCs/>
          <w:sz w:val="32"/>
          <w:szCs w:val="32"/>
        </w:rPr>
        <w:t>产业结构不够优化，要素成本加速上升，传统优势产业转型升级压力增大，高新技术产业规模体量偏小，现代服务业短板明显；行业龙头企业偏少，明星梯队企业培育亟待提速；科技创新能力不强，高新技术、中高端人才积累不足，新旧动能转换亟待提速；中心市区综合承载力、辐射带动力不强，南翼新城融合度不高、协作性不强，北部区域和农村基础设施短板多、统筹不足；城市文化辨识度不高，海丝、闽南、华侨等特色文化资源优势释放不足，文化和自然遗产保护利用亟待提速；教育、卫生、养老等优质公共服务供给不足，与人民群众对美好生活的需求存在较大差距，城乡融合发展亟待提速；基层社会治理问题依然突出，公众参与度不高，营商环境仍需进一步优化。</w:t>
      </w:r>
    </w:p>
    <w:p>
      <w:pPr>
        <w:widowControl w:val="0"/>
        <w:spacing w:after="0" w:line="600" w:lineRule="exact"/>
        <w:jc w:val="center"/>
        <w:rPr>
          <w:rFonts w:ascii="Times New Roman" w:hAnsi="Times New Roman" w:eastAsia="方正黑体简体" w:cs="Times New Roman"/>
          <w:sz w:val="32"/>
          <w:szCs w:val="32"/>
        </w:rPr>
      </w:pPr>
      <w:bookmarkStart w:id="66" w:name="_Toc21493"/>
      <w:bookmarkStart w:id="67" w:name="_Toc4028"/>
    </w:p>
    <w:p>
      <w:pPr>
        <w:widowControl w:val="0"/>
        <w:spacing w:after="0" w:line="600" w:lineRule="exact"/>
        <w:jc w:val="center"/>
        <w:rPr>
          <w:rFonts w:ascii="Times New Roman" w:hAnsi="Times New Roman" w:eastAsia="方正黑体简体" w:cs="Times New Roman"/>
          <w:sz w:val="32"/>
          <w:szCs w:val="32"/>
        </w:rPr>
      </w:pPr>
      <w:r>
        <w:rPr>
          <w:rFonts w:ascii="Times New Roman" w:hAnsi="Times New Roman" w:eastAsia="方正黑体简体" w:cs="Times New Roman"/>
          <w:sz w:val="32"/>
          <w:szCs w:val="32"/>
        </w:rPr>
        <w:t>专栏1：南安市“十三五”规划主要指标完成情况</w:t>
      </w:r>
      <w:bookmarkEnd w:id="66"/>
      <w:bookmarkEnd w:id="67"/>
    </w:p>
    <w:tbl>
      <w:tblPr>
        <w:tblStyle w:val="19"/>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668"/>
        <w:gridCol w:w="1758"/>
        <w:gridCol w:w="1759"/>
        <w:gridCol w:w="1106"/>
        <w:gridCol w:w="1106"/>
        <w:gridCol w:w="1106"/>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66" w:type="dxa"/>
            <w:vMerge w:val="restart"/>
            <w:vAlign w:val="center"/>
          </w:tcPr>
          <w:p>
            <w:pPr>
              <w:pStyle w:val="2"/>
              <w:widowControl w:val="0"/>
              <w:tabs>
                <w:tab w:val="left" w:pos="362"/>
              </w:tabs>
              <w:spacing w:after="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分类</w:t>
            </w:r>
          </w:p>
        </w:tc>
        <w:tc>
          <w:tcPr>
            <w:tcW w:w="668" w:type="dxa"/>
            <w:vMerge w:val="restart"/>
            <w:vAlign w:val="center"/>
          </w:tcPr>
          <w:p>
            <w:pPr>
              <w:pStyle w:val="2"/>
              <w:widowControl w:val="0"/>
              <w:tabs>
                <w:tab w:val="left" w:pos="362"/>
              </w:tabs>
              <w:spacing w:after="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序号</w:t>
            </w:r>
          </w:p>
        </w:tc>
        <w:tc>
          <w:tcPr>
            <w:tcW w:w="3517" w:type="dxa"/>
            <w:gridSpan w:val="2"/>
            <w:vMerge w:val="restart"/>
            <w:vAlign w:val="center"/>
          </w:tcPr>
          <w:p>
            <w:pPr>
              <w:pStyle w:val="2"/>
              <w:widowControl w:val="0"/>
              <w:tabs>
                <w:tab w:val="left" w:pos="362"/>
              </w:tabs>
              <w:spacing w:after="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指标名称</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规划目标</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3517" w:type="dxa"/>
            <w:gridSpan w:val="2"/>
            <w:vMerge w:val="continue"/>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2020年</w:t>
            </w:r>
          </w:p>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目标值</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年均增长（%）</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2020年</w:t>
            </w:r>
          </w:p>
        </w:tc>
        <w:tc>
          <w:tcPr>
            <w:tcW w:w="110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年均增长（%）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restart"/>
            <w:vAlign w:val="center"/>
          </w:tcPr>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经</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济</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发</w:t>
            </w:r>
          </w:p>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b/>
                <w:bCs/>
                <w:sz w:val="21"/>
                <w:szCs w:val="21"/>
              </w:rPr>
              <w:t>展</w:t>
            </w: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地区生产总值（亿元）</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9</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110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7.</w:t>
            </w:r>
            <w:r>
              <w:rPr>
                <w:rFonts w:hint="eastAsia" w:ascii="Times New Roman" w:hAnsi="Times New Roman" w:eastAsia="仿宋_GB2312" w:cs="Times New Roman"/>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人均地区生产总值（万元）</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8.23</w:t>
            </w:r>
          </w:p>
        </w:tc>
        <w:tc>
          <w:tcPr>
            <w:tcW w:w="2214"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固定资产投资（亿元）</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1176.69</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18</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110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一般公共预算总收入（亿元）</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107.69</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11.4</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90.56</w:t>
            </w:r>
          </w:p>
        </w:tc>
        <w:tc>
          <w:tcPr>
            <w:tcW w:w="110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5</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一般公共预算收入（亿元）</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62.21</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11.2</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5</w:t>
            </w:r>
            <w:r>
              <w:rPr>
                <w:rFonts w:hint="eastAsia" w:ascii="Times New Roman" w:hAnsi="Times New Roman" w:eastAsia="仿宋_GB2312" w:cs="Times New Roman"/>
                <w:sz w:val="21"/>
                <w:szCs w:val="21"/>
              </w:rPr>
              <w:t>3.05</w:t>
            </w:r>
          </w:p>
        </w:tc>
        <w:tc>
          <w:tcPr>
            <w:tcW w:w="110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6</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社会消费品零售总额（亿元）</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14.0</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1108"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7</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外贸出口（亿美元）</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18.63</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5.0</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16</w:t>
            </w:r>
          </w:p>
        </w:tc>
        <w:tc>
          <w:tcPr>
            <w:tcW w:w="110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8</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实际利用外资（亿美元，验资口径）</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2.08</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5.0</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4</w:t>
            </w:r>
          </w:p>
        </w:tc>
        <w:tc>
          <w:tcPr>
            <w:tcW w:w="110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9</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规模以上工业产值（亿元）</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17.0</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110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restart"/>
            <w:vAlign w:val="center"/>
          </w:tcPr>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产</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业</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升</w:t>
            </w:r>
          </w:p>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b/>
                <w:bCs/>
                <w:sz w:val="21"/>
                <w:szCs w:val="21"/>
              </w:rPr>
              <w:t>级</w:t>
            </w: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10</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第三产业增加值占GDP比重（%）</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35</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11</w:t>
            </w:r>
          </w:p>
        </w:tc>
        <w:tc>
          <w:tcPr>
            <w:tcW w:w="3517" w:type="dxa"/>
            <w:gridSpan w:val="2"/>
            <w:vAlign w:val="center"/>
          </w:tcPr>
          <w:p>
            <w:pPr>
              <w:pStyle w:val="2"/>
              <w:widowControl w:val="0"/>
              <w:tabs>
                <w:tab w:val="left" w:pos="362"/>
              </w:tabs>
              <w:spacing w:after="0"/>
              <w:ind w:right="-121" w:rightChars="-55" w:firstLine="0" w:firstLineChars="0"/>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规上工业高技术产业增加值占规上工业增加值比重</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w:t>
            </w:r>
          </w:p>
        </w:tc>
        <w:tc>
          <w:tcPr>
            <w:tcW w:w="2212" w:type="dxa"/>
            <w:gridSpan w:val="2"/>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w:t>
            </w:r>
          </w:p>
        </w:tc>
        <w:tc>
          <w:tcPr>
            <w:tcW w:w="2214"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12</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轻重工业比例（%）</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31:69</w:t>
            </w:r>
          </w:p>
        </w:tc>
        <w:tc>
          <w:tcPr>
            <w:tcW w:w="2214"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38.3:61.7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13</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规模以上全员劳动生产率（万元/人）</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23</w:t>
            </w:r>
          </w:p>
        </w:tc>
        <w:tc>
          <w:tcPr>
            <w:tcW w:w="2214"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14</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互联网普及率（%）</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90</w:t>
            </w:r>
          </w:p>
        </w:tc>
        <w:tc>
          <w:tcPr>
            <w:tcW w:w="2214"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15</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R&amp;D经费支出占GDP比重（%）</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2.8</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16</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每万人发明专利拥有量（件）</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4.6</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restart"/>
            <w:vAlign w:val="center"/>
          </w:tcPr>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城</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市</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建</w:t>
            </w:r>
          </w:p>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b/>
                <w:bCs/>
                <w:sz w:val="21"/>
                <w:szCs w:val="21"/>
              </w:rPr>
              <w:t>设</w:t>
            </w: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17</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常住人口城镇化率（%）</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65.4</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18</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城市建成区面积（平方公里）</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55.7</w:t>
            </w:r>
          </w:p>
        </w:tc>
        <w:tc>
          <w:tcPr>
            <w:tcW w:w="2214"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19</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城市建成区人口（万）</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63.8</w:t>
            </w:r>
          </w:p>
        </w:tc>
        <w:tc>
          <w:tcPr>
            <w:tcW w:w="2214"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港口货物吞吐量（万吨）</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600</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613.6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restart"/>
            <w:vAlign w:val="center"/>
          </w:tcPr>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社</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会</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民</w:t>
            </w:r>
          </w:p>
          <w:p>
            <w:pPr>
              <w:pStyle w:val="2"/>
              <w:widowControl w:val="0"/>
              <w:tabs>
                <w:tab w:val="left" w:pos="362"/>
              </w:tabs>
              <w:spacing w:after="0"/>
              <w:ind w:firstLine="0" w:firstLineChars="0"/>
              <w:jc w:val="center"/>
              <w:rPr>
                <w:rFonts w:ascii="Times New Roman" w:hAnsi="Times New Roman" w:eastAsia="仿宋_GB2312" w:cs="Times New Roman"/>
                <w:sz w:val="18"/>
                <w:szCs w:val="18"/>
              </w:rPr>
            </w:pPr>
            <w:r>
              <w:rPr>
                <w:rFonts w:ascii="Times New Roman" w:hAnsi="Times New Roman" w:eastAsia="仿宋_GB2312" w:cs="Times New Roman"/>
                <w:b/>
                <w:bCs/>
                <w:sz w:val="21"/>
                <w:szCs w:val="21"/>
              </w:rPr>
              <w:t>生</w:t>
            </w: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21</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居民人均可支配收入（元）</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38768</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7.5</w:t>
            </w:r>
          </w:p>
        </w:tc>
        <w:tc>
          <w:tcPr>
            <w:tcW w:w="1106"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38822</w:t>
            </w:r>
          </w:p>
        </w:tc>
        <w:tc>
          <w:tcPr>
            <w:tcW w:w="110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22</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恩格尔系数（%）</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34.6</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本级现无统计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23</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城镇调查失业率（%）</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&lt;5</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24</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贫困发生率（%）</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&lt;0.3</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&lt;0.3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25</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城镇基本社保综合增长率（%）</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14.1</w:t>
            </w:r>
          </w:p>
        </w:tc>
        <w:tc>
          <w:tcPr>
            <w:tcW w:w="2214"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26</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保障性住房覆盖率（%）</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25</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27</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农村集中供水率（%）</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75</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28</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每万人口接受高等教育人数（人）</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748</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29</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每千人口医疗机构床位数（张，常住人口）</w:t>
            </w:r>
          </w:p>
        </w:tc>
        <w:tc>
          <w:tcPr>
            <w:tcW w:w="2212"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4.5</w:t>
            </w:r>
          </w:p>
        </w:tc>
        <w:tc>
          <w:tcPr>
            <w:tcW w:w="2214" w:type="dxa"/>
            <w:gridSpan w:val="2"/>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rPr>
              <w:t>4.5</w:t>
            </w:r>
            <w:r>
              <w:rPr>
                <w:rFonts w:hint="eastAsia" w:ascii="Times New Roman" w:hAnsi="Times New Roman" w:eastAsia="仿宋_GB2312" w:cs="Times New Roman"/>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30</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每千人口执业（助理）医生数（人，常住人口）</w:t>
            </w:r>
          </w:p>
        </w:tc>
        <w:tc>
          <w:tcPr>
            <w:tcW w:w="2212" w:type="dxa"/>
            <w:gridSpan w:val="2"/>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2</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31</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每千名老年人拥有养老床位数（张）</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30</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32</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基层民主参选率（%）</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93.5</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90.24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33</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注册志愿者人数占城市建成区常住人口比例（%）</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6.2</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restart"/>
            <w:vAlign w:val="center"/>
          </w:tcPr>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生</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态</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文</w:t>
            </w:r>
          </w:p>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b/>
                <w:bCs/>
                <w:sz w:val="21"/>
                <w:szCs w:val="21"/>
              </w:rPr>
              <w:t>明</w:t>
            </w: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34</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耕地保有量（万亩）</w:t>
            </w:r>
          </w:p>
        </w:tc>
        <w:tc>
          <w:tcPr>
            <w:tcW w:w="2212"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44.98</w:t>
            </w:r>
          </w:p>
        </w:tc>
        <w:tc>
          <w:tcPr>
            <w:tcW w:w="2214"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35</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万元GDP用水量（立方米）</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43</w:t>
            </w:r>
          </w:p>
        </w:tc>
        <w:tc>
          <w:tcPr>
            <w:tcW w:w="2214"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36</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单位GDP能源消耗降低（%）</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控制在泉州下达指标内</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下降30%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37</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单位GDP二氧化碳排放降低（%）</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控制在泉州下达指标内</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完成上级目标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Merge w:val="restart"/>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38</w:t>
            </w:r>
          </w:p>
        </w:tc>
        <w:tc>
          <w:tcPr>
            <w:tcW w:w="1758" w:type="dxa"/>
            <w:vMerge w:val="restart"/>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森林发展</w:t>
            </w:r>
          </w:p>
        </w:tc>
        <w:tc>
          <w:tcPr>
            <w:tcW w:w="1759"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森林蓄积量（万立方米）</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400</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473.63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1758" w:type="dxa"/>
            <w:vMerge w:val="continue"/>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p>
        </w:tc>
        <w:tc>
          <w:tcPr>
            <w:tcW w:w="1759"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森林覆盖率（%）</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52.7</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39</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城市空气颗粒物（PM2.5）浓度（mg/m3）</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≤0.027</w:t>
            </w:r>
          </w:p>
        </w:tc>
        <w:tc>
          <w:tcPr>
            <w:tcW w:w="2214"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0.021</w:t>
            </w:r>
          </w:p>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40</w:t>
            </w:r>
          </w:p>
        </w:tc>
        <w:tc>
          <w:tcPr>
            <w:tcW w:w="3517" w:type="dxa"/>
            <w:gridSpan w:val="2"/>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海水水质达到或优于二类水质标准的海域面积比例（%）</w:t>
            </w:r>
          </w:p>
        </w:tc>
        <w:tc>
          <w:tcPr>
            <w:tcW w:w="2212"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完成上级目标</w:t>
            </w:r>
          </w:p>
        </w:tc>
        <w:tc>
          <w:tcPr>
            <w:tcW w:w="2214" w:type="dxa"/>
            <w:gridSpan w:val="2"/>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Merge w:val="restart"/>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41</w:t>
            </w:r>
          </w:p>
        </w:tc>
        <w:tc>
          <w:tcPr>
            <w:tcW w:w="1758" w:type="dxa"/>
            <w:vMerge w:val="restart"/>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主要污染物排放减少（%）</w:t>
            </w:r>
          </w:p>
        </w:tc>
        <w:tc>
          <w:tcPr>
            <w:tcW w:w="1759"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二氧化硫排放量</w:t>
            </w:r>
          </w:p>
        </w:tc>
        <w:tc>
          <w:tcPr>
            <w:tcW w:w="2212" w:type="dxa"/>
            <w:gridSpan w:val="2"/>
            <w:vAlign w:val="center"/>
          </w:tcPr>
          <w:p>
            <w:pPr>
              <w:widowControl w:val="0"/>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完成上级目标</w:t>
            </w:r>
          </w:p>
        </w:tc>
        <w:tc>
          <w:tcPr>
            <w:tcW w:w="2214" w:type="dxa"/>
            <w:gridSpan w:val="2"/>
            <w:vAlign w:val="center"/>
          </w:tcPr>
          <w:p>
            <w:pPr>
              <w:widowControl w:val="0"/>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完成上级目标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1758" w:type="dxa"/>
            <w:vMerge w:val="continue"/>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p>
        </w:tc>
        <w:tc>
          <w:tcPr>
            <w:tcW w:w="1759" w:type="dxa"/>
            <w:vAlign w:val="center"/>
          </w:tcPr>
          <w:p>
            <w:pPr>
              <w:pStyle w:val="2"/>
              <w:widowControl w:val="0"/>
              <w:tabs>
                <w:tab w:val="left" w:pos="362"/>
              </w:tabs>
              <w:spacing w:after="0"/>
              <w:ind w:left="-103" w:leftChars="-47" w:right="-121" w:rightChars="-55"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化学需氧量排放量</w:t>
            </w:r>
          </w:p>
        </w:tc>
        <w:tc>
          <w:tcPr>
            <w:tcW w:w="2212" w:type="dxa"/>
            <w:gridSpan w:val="2"/>
            <w:vAlign w:val="center"/>
          </w:tcPr>
          <w:p>
            <w:pPr>
              <w:widowControl w:val="0"/>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完成上级目标</w:t>
            </w:r>
          </w:p>
        </w:tc>
        <w:tc>
          <w:tcPr>
            <w:tcW w:w="2214" w:type="dxa"/>
            <w:gridSpan w:val="2"/>
            <w:vAlign w:val="center"/>
          </w:tcPr>
          <w:p>
            <w:pPr>
              <w:widowControl w:val="0"/>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完成上级目标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1758" w:type="dxa"/>
            <w:vMerge w:val="continue"/>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p>
        </w:tc>
        <w:tc>
          <w:tcPr>
            <w:tcW w:w="1759"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氮氧化物排放量</w:t>
            </w:r>
          </w:p>
        </w:tc>
        <w:tc>
          <w:tcPr>
            <w:tcW w:w="2212" w:type="dxa"/>
            <w:gridSpan w:val="2"/>
            <w:vAlign w:val="center"/>
          </w:tcPr>
          <w:p>
            <w:pPr>
              <w:widowControl w:val="0"/>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完成上级目标</w:t>
            </w:r>
          </w:p>
        </w:tc>
        <w:tc>
          <w:tcPr>
            <w:tcW w:w="2214" w:type="dxa"/>
            <w:gridSpan w:val="2"/>
            <w:vAlign w:val="center"/>
          </w:tcPr>
          <w:p>
            <w:pPr>
              <w:widowControl w:val="0"/>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完成上级目标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66"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66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1758" w:type="dxa"/>
            <w:vMerge w:val="continue"/>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p>
        </w:tc>
        <w:tc>
          <w:tcPr>
            <w:tcW w:w="1759"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氨氮排放量</w:t>
            </w:r>
          </w:p>
        </w:tc>
        <w:tc>
          <w:tcPr>
            <w:tcW w:w="2212" w:type="dxa"/>
            <w:gridSpan w:val="2"/>
            <w:vAlign w:val="center"/>
          </w:tcPr>
          <w:p>
            <w:pPr>
              <w:widowControl w:val="0"/>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完成上级目标</w:t>
            </w:r>
          </w:p>
        </w:tc>
        <w:tc>
          <w:tcPr>
            <w:tcW w:w="2214" w:type="dxa"/>
            <w:gridSpan w:val="2"/>
            <w:vAlign w:val="center"/>
          </w:tcPr>
          <w:p>
            <w:pPr>
              <w:widowControl w:val="0"/>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完成上级目标</w:t>
            </w:r>
          </w:p>
        </w:tc>
      </w:tr>
    </w:tbl>
    <w:p>
      <w:pPr>
        <w:pStyle w:val="17"/>
        <w:widowControl w:val="0"/>
        <w:rPr>
          <w:rFonts w:ascii="Times New Roman" w:hAnsi="Times New Roman" w:eastAsia="方正小标宋简体" w:cs="Times New Roman"/>
          <w:sz w:val="36"/>
          <w:szCs w:val="36"/>
        </w:rPr>
      </w:pPr>
      <w:bookmarkStart w:id="68" w:name="_Toc68707633"/>
      <w:bookmarkStart w:id="69" w:name="_Toc33"/>
      <w:bookmarkStart w:id="70" w:name="_Toc22772"/>
      <w:bookmarkStart w:id="71" w:name="_Toc2071"/>
      <w:bookmarkStart w:id="72" w:name="_Toc24390"/>
      <w:bookmarkStart w:id="73" w:name="_Toc24021"/>
      <w:bookmarkStart w:id="74" w:name="_Toc8694"/>
      <w:bookmarkStart w:id="75" w:name="_Toc30894"/>
      <w:bookmarkStart w:id="76" w:name="_Toc10881"/>
      <w:bookmarkStart w:id="77" w:name="_Toc32046"/>
      <w:bookmarkStart w:id="78" w:name="_Toc3659"/>
      <w:bookmarkStart w:id="79" w:name="_Toc29601"/>
      <w:bookmarkStart w:id="80" w:name="_Toc7235"/>
      <w:bookmarkStart w:id="81" w:name="_Toc31304"/>
      <w:bookmarkStart w:id="82" w:name="_Toc24931"/>
      <w:bookmarkStart w:id="83" w:name="_Toc19045"/>
      <w:bookmarkStart w:id="84" w:name="_Toc5704"/>
      <w:bookmarkStart w:id="85" w:name="_Toc7756"/>
      <w:bookmarkStart w:id="86" w:name="_Toc20314"/>
      <w:bookmarkStart w:id="87" w:name="_Toc11302"/>
      <w:bookmarkStart w:id="88" w:name="_Toc26656"/>
      <w:bookmarkStart w:id="89" w:name="_Toc13928"/>
      <w:r>
        <w:rPr>
          <w:rFonts w:ascii="Times New Roman" w:hAnsi="Times New Roman" w:eastAsia="方正小标宋简体" w:cs="Times New Roman"/>
          <w:sz w:val="36"/>
          <w:szCs w:val="36"/>
        </w:rPr>
        <w:t>第二章  总体要求</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90" w:name="_Toc17639"/>
      <w:bookmarkStart w:id="91" w:name="_Toc21393"/>
      <w:bookmarkStart w:id="92" w:name="_Toc31670"/>
      <w:bookmarkStart w:id="93" w:name="_Toc19395"/>
      <w:bookmarkStart w:id="94" w:name="_Toc7067"/>
      <w:bookmarkStart w:id="95" w:name="_Toc3248"/>
      <w:bookmarkStart w:id="96" w:name="_Toc5960"/>
      <w:bookmarkStart w:id="97" w:name="_Toc5826"/>
      <w:bookmarkStart w:id="98" w:name="_Toc6578"/>
      <w:bookmarkStart w:id="99" w:name="_Toc24190"/>
      <w:bookmarkStart w:id="100" w:name="_Toc20794"/>
      <w:bookmarkStart w:id="101" w:name="_Toc2825"/>
      <w:bookmarkStart w:id="102" w:name="_Toc16611"/>
      <w:bookmarkStart w:id="103" w:name="_Toc18600"/>
      <w:bookmarkStart w:id="104" w:name="_Toc68707634"/>
      <w:bookmarkStart w:id="105" w:name="_Toc26779"/>
      <w:bookmarkStart w:id="106" w:name="_Toc6500"/>
      <w:bookmarkStart w:id="107" w:name="_Toc1203"/>
      <w:bookmarkStart w:id="108" w:name="_Toc31284"/>
      <w:bookmarkStart w:id="109" w:name="_Toc23485"/>
      <w:bookmarkStart w:id="110" w:name="_Toc5280"/>
      <w:bookmarkStart w:id="111" w:name="_Toc31047"/>
      <w:r>
        <w:rPr>
          <w:rFonts w:ascii="Times New Roman" w:hAnsi="Times New Roman" w:eastAsia="方正黑体简体" w:cs="Times New Roman"/>
          <w:bCs/>
          <w:sz w:val="32"/>
          <w:szCs w:val="32"/>
        </w:rPr>
        <w:t>第一节</w:t>
      </w:r>
      <w:bookmarkEnd w:id="90"/>
      <w:bookmarkEnd w:id="91"/>
      <w:bookmarkEnd w:id="92"/>
      <w:r>
        <w:rPr>
          <w:rFonts w:ascii="Times New Roman" w:hAnsi="Times New Roman" w:eastAsia="方正黑体简体" w:cs="Times New Roman"/>
          <w:bCs/>
          <w:sz w:val="32"/>
          <w:szCs w:val="32"/>
        </w:rPr>
        <w:t xml:space="preserve">  指导思想</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widowControl w:val="0"/>
        <w:spacing w:line="600" w:lineRule="exact"/>
        <w:ind w:firstLine="640" w:firstLineChars="200"/>
        <w:jc w:val="both"/>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lang w:val="en-US" w:eastAsia="zh-CN"/>
        </w:rPr>
        <w:t>高举</w:t>
      </w:r>
      <w:r>
        <w:rPr>
          <w:rFonts w:ascii="Times New Roman" w:hAnsi="Times New Roman" w:eastAsia="方正仿宋简体" w:cs="Times New Roman"/>
          <w:bCs/>
          <w:sz w:val="32"/>
          <w:szCs w:val="32"/>
        </w:rPr>
        <w:t>习近平新时代中国特色社会主义思想</w:t>
      </w:r>
      <w:r>
        <w:rPr>
          <w:rFonts w:hint="eastAsia" w:ascii="Times New Roman" w:hAnsi="Times New Roman" w:eastAsia="方正仿宋简体" w:cs="Times New Roman"/>
          <w:bCs/>
          <w:sz w:val="32"/>
          <w:szCs w:val="32"/>
          <w:lang w:val="en-US" w:eastAsia="zh-CN"/>
        </w:rPr>
        <w:t>伟大旗帜</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lang w:val="en-US" w:eastAsia="zh-CN"/>
        </w:rPr>
        <w:t>深入</w:t>
      </w:r>
      <w:r>
        <w:rPr>
          <w:rFonts w:ascii="Times New Roman" w:hAnsi="Times New Roman" w:eastAsia="方正仿宋简体" w:cs="Times New Roman"/>
          <w:bCs/>
          <w:sz w:val="32"/>
          <w:szCs w:val="32"/>
        </w:rPr>
        <w:t>贯彻党的十九大和十九届二中、三中、四中、五中全会精神，</w:t>
      </w:r>
      <w:r>
        <w:rPr>
          <w:rFonts w:hint="eastAsia" w:ascii="Times New Roman" w:hAnsi="Times New Roman" w:eastAsia="方正仿宋简体" w:cs="Times New Roman"/>
          <w:bCs/>
          <w:sz w:val="32"/>
          <w:szCs w:val="32"/>
          <w:lang w:val="en-US" w:eastAsia="zh-CN"/>
        </w:rPr>
        <w:t>全面</w:t>
      </w:r>
      <w:r>
        <w:rPr>
          <w:rFonts w:ascii="Times New Roman" w:hAnsi="Times New Roman" w:eastAsia="方正仿宋简体" w:cs="Times New Roman"/>
          <w:bCs/>
          <w:sz w:val="32"/>
          <w:szCs w:val="32"/>
        </w:rPr>
        <w:t>贯彻</w:t>
      </w:r>
      <w:r>
        <w:rPr>
          <w:rFonts w:hint="eastAsia" w:ascii="Times New Roman" w:hAnsi="Times New Roman" w:eastAsia="方正仿宋简体" w:cs="Times New Roman"/>
          <w:bCs/>
          <w:sz w:val="32"/>
          <w:szCs w:val="32"/>
          <w:lang w:val="en-US" w:eastAsia="zh-CN"/>
        </w:rPr>
        <w:t>党的基本理论、基本路线、基本方略，</w:t>
      </w:r>
      <w:r>
        <w:rPr>
          <w:rFonts w:ascii="Times New Roman" w:hAnsi="Times New Roman" w:eastAsia="方正仿宋简体" w:cs="Times New Roman"/>
          <w:bCs/>
          <w:sz w:val="32"/>
          <w:szCs w:val="32"/>
        </w:rPr>
        <w:t>紧紧围绕统筹推进“五位一体”总体布局和协调推进“四个全面”战略布局，</w:t>
      </w:r>
      <w:r>
        <w:rPr>
          <w:rFonts w:hint="eastAsia" w:ascii="Times New Roman" w:hAnsi="Times New Roman" w:eastAsia="方正仿宋简体" w:cs="Times New Roman"/>
          <w:bCs/>
          <w:sz w:val="32"/>
          <w:szCs w:val="32"/>
          <w:lang w:val="en-US" w:eastAsia="zh-CN"/>
        </w:rPr>
        <w:t>增强“四个意识”、坚定“四个自信”、做到“两个维护”，坚持党的全面领导，坚持以人民为中心，坚持</w:t>
      </w:r>
      <w:r>
        <w:rPr>
          <w:rFonts w:ascii="Times New Roman" w:hAnsi="Times New Roman" w:eastAsia="方正仿宋简体" w:cs="Times New Roman"/>
          <w:bCs/>
          <w:sz w:val="32"/>
          <w:szCs w:val="32"/>
        </w:rPr>
        <w:t>新发展理念，</w:t>
      </w:r>
      <w:r>
        <w:rPr>
          <w:rFonts w:hint="eastAsia" w:ascii="Times New Roman" w:hAnsi="Times New Roman" w:eastAsia="方正仿宋简体" w:cs="Times New Roman"/>
          <w:bCs/>
          <w:sz w:val="32"/>
          <w:szCs w:val="32"/>
          <w:lang w:val="en-US" w:eastAsia="zh-CN"/>
        </w:rPr>
        <w:t>坚持深化改革开放，坚持系统观念，</w:t>
      </w:r>
      <w:r>
        <w:rPr>
          <w:rFonts w:ascii="Times New Roman" w:hAnsi="Times New Roman" w:eastAsia="方正仿宋简体" w:cs="Times New Roman"/>
          <w:bCs/>
          <w:sz w:val="32"/>
          <w:szCs w:val="32"/>
        </w:rPr>
        <w:t>坚持稳中求进工作总基调，以</w:t>
      </w:r>
      <w:r>
        <w:rPr>
          <w:rFonts w:hint="eastAsia" w:ascii="Times New Roman" w:hAnsi="Times New Roman" w:eastAsia="方正仿宋简体" w:cs="Times New Roman"/>
          <w:bCs/>
          <w:sz w:val="32"/>
          <w:szCs w:val="32"/>
          <w:lang w:val="en-US" w:eastAsia="zh-CN"/>
        </w:rPr>
        <w:t>全方位</w:t>
      </w:r>
      <w:r>
        <w:rPr>
          <w:rFonts w:ascii="Times New Roman" w:hAnsi="Times New Roman" w:eastAsia="方正仿宋简体" w:cs="Times New Roman"/>
          <w:bCs/>
          <w:sz w:val="32"/>
          <w:szCs w:val="32"/>
        </w:rPr>
        <w:t>推动高质量发展</w:t>
      </w:r>
      <w:r>
        <w:rPr>
          <w:rFonts w:hint="eastAsia" w:ascii="Times New Roman" w:hAnsi="Times New Roman" w:eastAsia="方正仿宋简体" w:cs="Times New Roman"/>
          <w:bCs/>
          <w:sz w:val="32"/>
          <w:szCs w:val="32"/>
          <w:lang w:val="en-US" w:eastAsia="zh-CN"/>
        </w:rPr>
        <w:t>超越</w:t>
      </w:r>
      <w:r>
        <w:rPr>
          <w:rFonts w:ascii="Times New Roman" w:hAnsi="Times New Roman" w:eastAsia="方正仿宋简体" w:cs="Times New Roman"/>
          <w:bCs/>
          <w:sz w:val="32"/>
          <w:szCs w:val="32"/>
        </w:rPr>
        <w:t>为主题，以深化供给侧结构性改革为主线，以改革</w:t>
      </w:r>
      <w:r>
        <w:rPr>
          <w:rFonts w:hint="eastAsia" w:ascii="Times New Roman" w:hAnsi="Times New Roman" w:eastAsia="方正仿宋简体" w:cs="Times New Roman"/>
          <w:bCs/>
          <w:sz w:val="32"/>
          <w:szCs w:val="32"/>
          <w:lang w:val="en-US" w:eastAsia="zh-CN"/>
        </w:rPr>
        <w:t>创新</w:t>
      </w:r>
      <w:r>
        <w:rPr>
          <w:rFonts w:ascii="Times New Roman" w:hAnsi="Times New Roman" w:eastAsia="方正仿宋简体" w:cs="Times New Roman"/>
          <w:bCs/>
          <w:sz w:val="32"/>
          <w:szCs w:val="32"/>
        </w:rPr>
        <w:t>为根本动力，以满足人民日益增长的美好生活需要为根本目的，统筹发展和安全，</w:t>
      </w:r>
      <w:r>
        <w:rPr>
          <w:rFonts w:hint="eastAsia" w:ascii="Times New Roman" w:hAnsi="Times New Roman" w:eastAsia="方正仿宋简体" w:cs="Times New Roman"/>
          <w:bCs/>
          <w:sz w:val="32"/>
          <w:szCs w:val="32"/>
          <w:lang w:val="en-US" w:eastAsia="zh-CN"/>
        </w:rPr>
        <w:t>积极服务并深度融入新发展格局，</w:t>
      </w:r>
      <w:r>
        <w:rPr>
          <w:rFonts w:hint="eastAsia" w:ascii="Times New Roman" w:hAnsi="Times New Roman" w:eastAsia="方正仿宋简体" w:cs="Times New Roman"/>
          <w:bCs/>
          <w:sz w:val="32"/>
          <w:szCs w:val="32"/>
        </w:rPr>
        <w:t>着力打造海丝先行先试新门户、两岸融合发展示范区、东南沿海智造业基地、绿色生态美丽新市域、文明和谐善治幸福城，开启现代化南安建设新征程，奋力在全省、泉州市全方位高质量发展超越大局中走前列作贡献，实现县域发展综合实力全国领先。</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112" w:name="_Toc30774"/>
      <w:bookmarkStart w:id="113" w:name="_Toc2857"/>
      <w:bookmarkStart w:id="114" w:name="_Toc10801"/>
      <w:bookmarkStart w:id="115" w:name="_Toc11409"/>
      <w:bookmarkStart w:id="116" w:name="_Toc13127"/>
      <w:bookmarkStart w:id="117" w:name="_Toc22775"/>
      <w:bookmarkStart w:id="118" w:name="_Toc1927"/>
      <w:bookmarkStart w:id="119" w:name="_Toc13080"/>
      <w:bookmarkStart w:id="120" w:name="_Toc3890"/>
      <w:bookmarkStart w:id="121" w:name="_Toc1742"/>
      <w:bookmarkStart w:id="122" w:name="_Toc12046"/>
      <w:bookmarkStart w:id="123" w:name="_Toc68707635"/>
      <w:bookmarkStart w:id="124" w:name="_Toc27323"/>
      <w:bookmarkStart w:id="125" w:name="_Toc8738"/>
      <w:bookmarkStart w:id="126" w:name="_Toc11393"/>
      <w:bookmarkStart w:id="127" w:name="_Toc25572"/>
      <w:bookmarkStart w:id="128" w:name="_Toc25511"/>
      <w:bookmarkStart w:id="129" w:name="_Toc11287"/>
      <w:bookmarkStart w:id="130" w:name="_Toc2471"/>
      <w:bookmarkStart w:id="131" w:name="_Toc12120"/>
      <w:bookmarkStart w:id="132" w:name="_Toc24477"/>
      <w:bookmarkStart w:id="133" w:name="_Toc22073"/>
      <w:r>
        <w:rPr>
          <w:rFonts w:ascii="Times New Roman" w:hAnsi="Times New Roman" w:eastAsia="方正黑体简体" w:cs="Times New Roman"/>
          <w:bCs/>
          <w:sz w:val="32"/>
          <w:szCs w:val="32"/>
        </w:rPr>
        <w:t>第二节  基本原则</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widowControl w:val="0"/>
        <w:spacing w:line="600" w:lineRule="exact"/>
        <w:ind w:firstLine="640" w:firstLineChars="200"/>
        <w:jc w:val="both"/>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sz w:val="32"/>
          <w:szCs w:val="32"/>
          <w:lang w:val="en-US" w:eastAsia="zh-CN"/>
        </w:rPr>
        <w:t>十四五”时期经济社会发展必须遵循的原则：</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坚持党的全面领导。</w:t>
      </w:r>
      <w:r>
        <w:rPr>
          <w:rFonts w:ascii="Times New Roman" w:hAnsi="Times New Roman" w:eastAsia="方正仿宋简体" w:cs="Times New Roman"/>
          <w:bCs/>
          <w:sz w:val="32"/>
          <w:szCs w:val="32"/>
        </w:rPr>
        <w:t>坚持和完善中国特色社会主义制度，</w:t>
      </w:r>
      <w:r>
        <w:rPr>
          <w:rFonts w:hint="eastAsia" w:ascii="Times New Roman" w:hAnsi="Times New Roman" w:eastAsia="方正仿宋简体" w:cs="Times New Roman"/>
          <w:bCs/>
          <w:sz w:val="32"/>
          <w:szCs w:val="32"/>
          <w:lang w:val="en-US" w:eastAsia="zh-CN"/>
        </w:rPr>
        <w:t>健全</w:t>
      </w:r>
      <w:r>
        <w:rPr>
          <w:rFonts w:ascii="Times New Roman" w:hAnsi="Times New Roman" w:eastAsia="方正仿宋简体" w:cs="Times New Roman"/>
          <w:bCs/>
          <w:sz w:val="32"/>
          <w:szCs w:val="32"/>
        </w:rPr>
        <w:t>完善党领导经济社会发展的体制机制，</w:t>
      </w:r>
      <w:r>
        <w:rPr>
          <w:rFonts w:hint="eastAsia" w:ascii="Times New Roman" w:hAnsi="Times New Roman" w:eastAsia="方正仿宋简体" w:cs="Times New Roman"/>
          <w:bCs/>
          <w:sz w:val="32"/>
          <w:szCs w:val="32"/>
          <w:lang w:val="en-US" w:eastAsia="zh-CN"/>
        </w:rPr>
        <w:t>把习近平总书记重要讲话重要指示批示精神抓紧抓实抓细抓到位，</w:t>
      </w:r>
      <w:r>
        <w:rPr>
          <w:rFonts w:ascii="Times New Roman" w:hAnsi="Times New Roman" w:eastAsia="方正仿宋简体" w:cs="Times New Roman"/>
          <w:bCs/>
          <w:sz w:val="32"/>
          <w:szCs w:val="32"/>
        </w:rPr>
        <w:t>不断提高贯彻新发展理念、</w:t>
      </w:r>
      <w:r>
        <w:rPr>
          <w:rFonts w:hint="eastAsia" w:ascii="Times New Roman" w:hAnsi="Times New Roman" w:eastAsia="方正仿宋简体" w:cs="Times New Roman"/>
          <w:bCs/>
          <w:sz w:val="32"/>
          <w:szCs w:val="32"/>
          <w:lang w:val="en-US" w:eastAsia="zh-CN"/>
        </w:rPr>
        <w:t>服务</w:t>
      </w:r>
      <w:r>
        <w:rPr>
          <w:rFonts w:ascii="Times New Roman" w:hAnsi="Times New Roman" w:eastAsia="方正仿宋简体" w:cs="Times New Roman"/>
          <w:bCs/>
          <w:sz w:val="32"/>
          <w:szCs w:val="32"/>
        </w:rPr>
        <w:t>新发展格局</w:t>
      </w:r>
      <w:r>
        <w:rPr>
          <w:rFonts w:hint="eastAsia" w:ascii="Times New Roman" w:hAnsi="Times New Roman" w:eastAsia="方正仿宋简体" w:cs="Times New Roman"/>
          <w:bCs/>
          <w:sz w:val="32"/>
          <w:szCs w:val="32"/>
          <w:lang w:val="en-US" w:eastAsia="zh-CN"/>
        </w:rPr>
        <w:t>的</w:t>
      </w:r>
      <w:r>
        <w:rPr>
          <w:rFonts w:ascii="Times New Roman" w:hAnsi="Times New Roman" w:eastAsia="方正仿宋简体" w:cs="Times New Roman"/>
          <w:bCs/>
          <w:sz w:val="32"/>
          <w:szCs w:val="32"/>
        </w:rPr>
        <w:t>能力和水平，</w:t>
      </w:r>
      <w:r>
        <w:rPr>
          <w:rFonts w:hint="eastAsia" w:ascii="Times New Roman" w:hAnsi="Times New Roman" w:eastAsia="方正仿宋简体" w:cs="Times New Roman"/>
          <w:bCs/>
          <w:sz w:val="32"/>
          <w:szCs w:val="32"/>
          <w:lang w:val="en-US" w:eastAsia="zh-CN"/>
        </w:rPr>
        <w:t>在加快建设现代化经济体系上取得更大进步，在服务和融入新发展格局上展现更大作为，在探索海峡两岸融合发展新路上迈出更大步伐，在创造高品质生活上实现更大突破。</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坚持以人民为中心。</w:t>
      </w:r>
      <w:r>
        <w:rPr>
          <w:rFonts w:ascii="Times New Roman" w:hAnsi="Times New Roman" w:eastAsia="方正仿宋简体" w:cs="Times New Roman"/>
          <w:bCs/>
          <w:sz w:val="32"/>
          <w:szCs w:val="32"/>
        </w:rPr>
        <w:t>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坚持新发展理念。</w:t>
      </w:r>
      <w:r>
        <w:rPr>
          <w:rFonts w:ascii="Times New Roman" w:hAnsi="Times New Roman" w:eastAsia="方正仿宋简体" w:cs="Times New Roman"/>
          <w:bCs/>
          <w:sz w:val="32"/>
          <w:szCs w:val="32"/>
        </w:rPr>
        <w:t>把新发展理念贯穿发展全过程和各领域，</w:t>
      </w:r>
      <w:r>
        <w:rPr>
          <w:rFonts w:hint="eastAsia" w:ascii="Times New Roman" w:hAnsi="Times New Roman" w:eastAsia="方正仿宋简体" w:cs="Times New Roman"/>
          <w:bCs/>
          <w:sz w:val="32"/>
          <w:szCs w:val="32"/>
          <w:lang w:val="en-US" w:eastAsia="zh-CN"/>
        </w:rPr>
        <w:t>积极服务并深度融入</w:t>
      </w:r>
      <w:r>
        <w:rPr>
          <w:rFonts w:ascii="Times New Roman" w:hAnsi="Times New Roman" w:eastAsia="方正仿宋简体" w:cs="Times New Roman"/>
          <w:bCs/>
          <w:sz w:val="32"/>
          <w:szCs w:val="32"/>
        </w:rPr>
        <w:t>新发展格局，切实转变发展方式，推动质量变革、效率变革、动力变革，实现更高质量、更有效率、更加公平、更可持续、更为安全的发展。</w:t>
      </w:r>
    </w:p>
    <w:p>
      <w:pPr>
        <w:widowControl w:val="0"/>
        <w:spacing w:line="600" w:lineRule="exact"/>
        <w:ind w:firstLine="643" w:firstLineChars="200"/>
        <w:jc w:val="both"/>
        <w:rPr>
          <w:rFonts w:hint="default" w:ascii="Times New Roman" w:hAnsi="Times New Roman" w:eastAsia="方正仿宋简体" w:cs="Times New Roman"/>
          <w:bCs/>
          <w:sz w:val="32"/>
          <w:szCs w:val="32"/>
          <w:lang w:val="en-US" w:eastAsia="zh-CN"/>
        </w:rPr>
      </w:pPr>
      <w:r>
        <w:rPr>
          <w:rFonts w:ascii="Times New Roman" w:hAnsi="Times New Roman" w:eastAsia="方正楷体简体" w:cs="Times New Roman"/>
          <w:b/>
          <w:sz w:val="32"/>
          <w:szCs w:val="32"/>
        </w:rPr>
        <w:t>坚持深化改革开放。</w:t>
      </w:r>
      <w:r>
        <w:rPr>
          <w:rFonts w:hint="eastAsia" w:ascii="Times New Roman" w:hAnsi="Times New Roman" w:eastAsia="方正仿宋简体" w:cs="Times New Roman"/>
          <w:bCs/>
          <w:sz w:val="32"/>
          <w:szCs w:val="32"/>
          <w:lang w:val="en-US" w:eastAsia="zh-CN"/>
        </w:rPr>
        <w:t>常学常新“晋江经验”，</w:t>
      </w:r>
      <w:r>
        <w:rPr>
          <w:rFonts w:ascii="Times New Roman" w:hAnsi="Times New Roman" w:eastAsia="方正仿宋简体" w:cs="Times New Roman"/>
          <w:bCs/>
          <w:sz w:val="32"/>
          <w:szCs w:val="32"/>
        </w:rPr>
        <w:t>坚定不移推进改革</w:t>
      </w:r>
      <w:r>
        <w:rPr>
          <w:rFonts w:hint="eastAsia" w:ascii="Times New Roman" w:hAnsi="Times New Roman" w:eastAsia="方正仿宋简体" w:cs="Times New Roman"/>
          <w:bCs/>
          <w:sz w:val="32"/>
          <w:szCs w:val="32"/>
          <w:lang w:eastAsia="zh-CN"/>
        </w:rPr>
        <w:t>、</w:t>
      </w:r>
      <w:r>
        <w:rPr>
          <w:rFonts w:ascii="Times New Roman" w:hAnsi="Times New Roman" w:eastAsia="方正仿宋简体" w:cs="Times New Roman"/>
          <w:bCs/>
          <w:sz w:val="32"/>
          <w:szCs w:val="32"/>
        </w:rPr>
        <w:t>扩大开放，加强</w:t>
      </w:r>
      <w:r>
        <w:rPr>
          <w:rFonts w:hint="eastAsia" w:ascii="Times New Roman" w:hAnsi="Times New Roman" w:eastAsia="方正仿宋简体" w:cs="Times New Roman"/>
          <w:bCs/>
          <w:sz w:val="32"/>
          <w:szCs w:val="32"/>
          <w:lang w:val="en-US" w:eastAsia="zh-CN"/>
        </w:rPr>
        <w:t>县域</w:t>
      </w:r>
      <w:r>
        <w:rPr>
          <w:rFonts w:ascii="Times New Roman" w:hAnsi="Times New Roman" w:eastAsia="方正仿宋简体" w:cs="Times New Roman"/>
          <w:bCs/>
          <w:sz w:val="32"/>
          <w:szCs w:val="32"/>
        </w:rPr>
        <w:t>治理体系和治理能力现代化建设，破除制约高质量发展、高品质生活的体制机制障碍，强化有利于提高资源配置效率、有利于调动全社会积极性的重大改革开放举措，</w:t>
      </w:r>
      <w:r>
        <w:rPr>
          <w:rFonts w:hint="eastAsia" w:ascii="Times New Roman" w:hAnsi="Times New Roman" w:eastAsia="方正仿宋简体" w:cs="Times New Roman"/>
          <w:bCs/>
          <w:sz w:val="32"/>
          <w:szCs w:val="32"/>
          <w:lang w:val="en-US" w:eastAsia="zh-CN"/>
        </w:rPr>
        <w:t>积极探索海峡两岸融合发展新路，</w:t>
      </w:r>
      <w:r>
        <w:rPr>
          <w:rFonts w:ascii="Times New Roman" w:hAnsi="Times New Roman" w:eastAsia="方正仿宋简体" w:cs="Times New Roman"/>
          <w:bCs/>
          <w:sz w:val="32"/>
          <w:szCs w:val="32"/>
        </w:rPr>
        <w:t>持续增强发展动力和活力。</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坚持系统观念。</w:t>
      </w:r>
      <w:r>
        <w:rPr>
          <w:rFonts w:ascii="Times New Roman" w:hAnsi="Times New Roman" w:eastAsia="方正仿宋简体" w:cs="Times New Roman"/>
          <w:bCs/>
          <w:sz w:val="32"/>
          <w:szCs w:val="32"/>
        </w:rPr>
        <w:t>加强前瞻性思考、全局性谋划、战略性布局、整体性推进，坚持</w:t>
      </w:r>
      <w:r>
        <w:rPr>
          <w:rFonts w:hint="eastAsia" w:ascii="Times New Roman" w:hAnsi="Times New Roman" w:eastAsia="方正仿宋简体" w:cs="Times New Roman"/>
          <w:bCs/>
          <w:sz w:val="32"/>
          <w:szCs w:val="32"/>
          <w:lang w:val="en-US" w:eastAsia="zh-CN"/>
        </w:rPr>
        <w:t>在</w:t>
      </w:r>
      <w:r>
        <w:rPr>
          <w:rFonts w:ascii="Times New Roman" w:hAnsi="Times New Roman" w:eastAsia="方正仿宋简体" w:cs="Times New Roman"/>
          <w:bCs/>
          <w:sz w:val="32"/>
          <w:szCs w:val="32"/>
        </w:rPr>
        <w:t>全国</w:t>
      </w:r>
      <w:r>
        <w:rPr>
          <w:rFonts w:hint="eastAsia" w:ascii="Times New Roman" w:hAnsi="Times New Roman" w:eastAsia="方正仿宋简体" w:cs="Times New Roman"/>
          <w:bCs/>
          <w:sz w:val="32"/>
          <w:szCs w:val="32"/>
          <w:lang w:val="en-US" w:eastAsia="zh-CN"/>
        </w:rPr>
        <w:t>全省全市</w:t>
      </w:r>
      <w:r>
        <w:rPr>
          <w:rFonts w:ascii="Times New Roman" w:hAnsi="Times New Roman" w:eastAsia="方正仿宋简体" w:cs="Times New Roman"/>
          <w:bCs/>
          <w:sz w:val="32"/>
          <w:szCs w:val="32"/>
        </w:rPr>
        <w:t>一盘棋</w:t>
      </w:r>
      <w:r>
        <w:rPr>
          <w:rFonts w:hint="eastAsia" w:ascii="Times New Roman" w:hAnsi="Times New Roman" w:eastAsia="方正仿宋简体" w:cs="Times New Roman"/>
          <w:bCs/>
          <w:sz w:val="32"/>
          <w:szCs w:val="32"/>
          <w:lang w:val="en-US" w:eastAsia="zh-CN"/>
        </w:rPr>
        <w:t>中找准定位、担当作为</w:t>
      </w:r>
      <w:r>
        <w:rPr>
          <w:rFonts w:hint="eastAsia" w:ascii="Times New Roman" w:hAnsi="Times New Roman" w:eastAsia="方正仿宋简体" w:cs="Times New Roman"/>
          <w:bCs/>
          <w:sz w:val="32"/>
          <w:szCs w:val="32"/>
          <w:lang w:eastAsia="zh-CN"/>
        </w:rPr>
        <w:t>。</w:t>
      </w:r>
      <w:r>
        <w:rPr>
          <w:rFonts w:hint="eastAsia" w:ascii="Times New Roman" w:hAnsi="Times New Roman" w:eastAsia="方正仿宋简体" w:cs="Times New Roman"/>
          <w:bCs/>
          <w:sz w:val="32"/>
          <w:szCs w:val="32"/>
          <w:lang w:val="en-US" w:eastAsia="zh-CN"/>
        </w:rPr>
        <w:t>主动服务融入国家战略，积极推进区域协同协作，</w:t>
      </w:r>
      <w:r>
        <w:rPr>
          <w:rFonts w:ascii="Times New Roman" w:hAnsi="Times New Roman" w:eastAsia="方正仿宋简体" w:cs="Times New Roman"/>
          <w:bCs/>
          <w:sz w:val="32"/>
          <w:szCs w:val="32"/>
        </w:rPr>
        <w:t>更好发挥</w:t>
      </w:r>
      <w:r>
        <w:rPr>
          <w:rFonts w:hint="eastAsia" w:ascii="Times New Roman" w:hAnsi="Times New Roman" w:eastAsia="方正仿宋简体" w:cs="Times New Roman"/>
          <w:bCs/>
          <w:sz w:val="32"/>
          <w:szCs w:val="32"/>
          <w:lang w:val="en-US" w:eastAsia="zh-CN"/>
        </w:rPr>
        <w:t>各方面</w:t>
      </w:r>
      <w:r>
        <w:rPr>
          <w:rFonts w:ascii="Times New Roman" w:hAnsi="Times New Roman" w:eastAsia="方正仿宋简体" w:cs="Times New Roman"/>
          <w:bCs/>
          <w:sz w:val="32"/>
          <w:szCs w:val="32"/>
        </w:rPr>
        <w:t>积极性，着力固根基、扬优势、补短板、强弱项，注重防范化解重大风险挑战，实现发展质量、结构、规模、速度、效益、安全相统一。</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134" w:name="_Toc4257"/>
      <w:bookmarkStart w:id="135" w:name="_Toc1657"/>
      <w:bookmarkStart w:id="136" w:name="_Toc30107"/>
      <w:bookmarkStart w:id="137" w:name="_Toc31197"/>
      <w:bookmarkStart w:id="138" w:name="_Toc2475"/>
      <w:bookmarkStart w:id="139" w:name="_Toc22583"/>
      <w:bookmarkStart w:id="140" w:name="_Toc28712"/>
      <w:bookmarkStart w:id="141" w:name="_Toc6225"/>
      <w:bookmarkStart w:id="142" w:name="_Toc28817"/>
      <w:bookmarkStart w:id="143" w:name="_Toc9501"/>
      <w:bookmarkStart w:id="144" w:name="_Toc17275"/>
      <w:bookmarkStart w:id="145" w:name="_Toc21983"/>
      <w:bookmarkStart w:id="146" w:name="_Toc27976"/>
      <w:bookmarkStart w:id="147" w:name="_Toc68707636"/>
      <w:bookmarkStart w:id="148" w:name="_Toc2787"/>
      <w:bookmarkStart w:id="149" w:name="_Toc16935"/>
      <w:bookmarkStart w:id="150" w:name="_Toc32399"/>
      <w:bookmarkStart w:id="151" w:name="_Toc11754"/>
      <w:bookmarkStart w:id="152" w:name="_Toc21309"/>
      <w:r>
        <w:rPr>
          <w:rFonts w:ascii="Times New Roman" w:hAnsi="Times New Roman" w:eastAsia="方正黑体简体" w:cs="Times New Roman"/>
          <w:bCs/>
          <w:sz w:val="32"/>
          <w:szCs w:val="32"/>
        </w:rPr>
        <w:t>第三节</w:t>
      </w:r>
      <w:bookmarkEnd w:id="131"/>
      <w:bookmarkEnd w:id="132"/>
      <w:bookmarkEnd w:id="133"/>
      <w:r>
        <w:rPr>
          <w:rFonts w:ascii="Times New Roman" w:hAnsi="Times New Roman" w:eastAsia="方正黑体简体" w:cs="Times New Roman"/>
          <w:bCs/>
          <w:sz w:val="32"/>
          <w:szCs w:val="32"/>
        </w:rPr>
        <w:t xml:space="preserve">  </w:t>
      </w:r>
      <w:r>
        <w:rPr>
          <w:rFonts w:hint="eastAsia" w:ascii="Times New Roman" w:hAnsi="Times New Roman" w:eastAsia="方正黑体简体" w:cs="Times New Roman"/>
          <w:bCs/>
          <w:sz w:val="32"/>
          <w:szCs w:val="32"/>
        </w:rPr>
        <w:t>发展</w:t>
      </w:r>
      <w:r>
        <w:rPr>
          <w:rFonts w:ascii="Times New Roman" w:hAnsi="Times New Roman" w:eastAsia="方正黑体简体" w:cs="Times New Roman"/>
          <w:bCs/>
          <w:sz w:val="32"/>
          <w:szCs w:val="32"/>
        </w:rPr>
        <w:t>定位</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widowControl w:val="0"/>
        <w:spacing w:line="600" w:lineRule="exact"/>
        <w:ind w:firstLine="643"/>
        <w:jc w:val="both"/>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坚持开放循环，产城一体、人民至上、三生融合理念，对标对准二线城市，着力破解发展不平衡不充分问题，全力打造海丝先行先试新门户、两岸融合发展示范区、东南沿海智造业基地、绿色生态美丽新市域、文明和谐善治幸福城。</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w:t>
      </w:r>
      <w:r>
        <w:rPr>
          <w:rFonts w:hint="eastAsia" w:ascii="Times New Roman" w:hAnsi="Times New Roman" w:eastAsia="方正楷体简体" w:cs="Times New Roman"/>
          <w:b/>
          <w:sz w:val="32"/>
          <w:szCs w:val="32"/>
        </w:rPr>
        <w:t>中国东南沿海重要智造业基地</w:t>
      </w:r>
      <w:r>
        <w:rPr>
          <w:rFonts w:ascii="Times New Roman" w:hAnsi="Times New Roman" w:eastAsia="方正楷体简体" w:cs="Times New Roman"/>
          <w:b/>
          <w:sz w:val="32"/>
          <w:szCs w:val="32"/>
        </w:rPr>
        <w:t>。</w:t>
      </w:r>
      <w:r>
        <w:rPr>
          <w:rFonts w:ascii="Times New Roman" w:hAnsi="Times New Roman" w:eastAsia="方正仿宋简体" w:cs="Times New Roman"/>
          <w:bCs/>
          <w:sz w:val="32"/>
          <w:szCs w:val="32"/>
        </w:rPr>
        <w:t>水暖厨卫打造全球产研销中心，实现向智能加工、行业中心、消费引领、全球竞合方向协同发展；机械装备形成集高端装备、智能制造、国际合作和整机生产为一体的产业集群，国内市场占有率明显提升；化合物半导体上下游产业配套更加完善，形成国内领先、国际一流的集材料、芯片、器件为一体的全国重要化合物半导体产业基地。</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——全球泛家居产研销中心。</w:t>
      </w:r>
      <w:r>
        <w:rPr>
          <w:rFonts w:ascii="Times New Roman" w:hAnsi="Times New Roman" w:eastAsia="方正仿宋简体" w:cs="Times New Roman"/>
          <w:bCs/>
          <w:sz w:val="32"/>
          <w:szCs w:val="32"/>
        </w:rPr>
        <w:t>巩固南安石材在全球的引领地位，扩大石材全产业链核心优势，发挥“南安人经济”市场掌控优势，打造世界石文化之都。以“泛家居”跨界融合为引领，融合石材陶瓷、水暖厨卫、消防安防、家具家电、鞋服轻纺等传统家居产品优势，补齐科技创新和研发设计短板，推动产业链条、市场渠道的大融合和大重构，打造全球特色家居的标杆。</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——泉厦科创走廊核心区。</w:t>
      </w:r>
      <w:r>
        <w:rPr>
          <w:rFonts w:ascii="Times New Roman" w:hAnsi="Times New Roman" w:eastAsia="方正仿宋简体" w:cs="Times New Roman"/>
          <w:bCs/>
          <w:sz w:val="32"/>
          <w:szCs w:val="32"/>
        </w:rPr>
        <w:t>以创建国家创新型城市为核心，主动融入福厦泉国家自主创新示范区，全面对接福厦泉科创走廊、泉厦科创走廊和环清源山科创走廊，依托厦门大学翔安校区</w:t>
      </w:r>
      <w:r>
        <w:rPr>
          <w:rFonts w:hint="eastAsia" w:ascii="Times New Roman" w:hAnsi="Times New Roman" w:eastAsia="方正仿宋简体" w:cs="Times New Roman"/>
          <w:bCs/>
          <w:sz w:val="32"/>
          <w:szCs w:val="32"/>
          <w:lang w:eastAsia="zh-CN"/>
        </w:rPr>
        <w:t>、上海大学、华侨大学</w:t>
      </w:r>
      <w:r>
        <w:rPr>
          <w:rFonts w:ascii="Times New Roman" w:hAnsi="Times New Roman" w:eastAsia="方正仿宋简体" w:cs="Times New Roman"/>
          <w:bCs/>
          <w:sz w:val="32"/>
          <w:szCs w:val="32"/>
        </w:rPr>
        <w:t>等优质高校资源，聚集一批国际级创新研究机构和国家级产业研究院，配套形成支柱产业和未来产业的研发中心、中试基地，打造泉厦科创走廊核心区和战略性新兴产业创新高地。</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——海丝源头和闽南文化发祥地。</w:t>
      </w:r>
      <w:r>
        <w:rPr>
          <w:rFonts w:ascii="Times New Roman" w:hAnsi="Times New Roman" w:eastAsia="方正仿宋简体" w:cs="Times New Roman"/>
          <w:bCs/>
          <w:sz w:val="32"/>
          <w:szCs w:val="32"/>
        </w:rPr>
        <w:t>深度融入21世纪海上丝绸之路核心区、先行区建设，全力以赴推动“泉州：宋元中国的世界海洋商贸中心”申报世界文化遗产，凸显九日山、安平桥（五里桥）等海丝史迹遗产点的文化纽带作用，让“海丝源头”焕发时代光辉。深度融入闽南文化生态保护区建设，挖掘丰州古州城治所和成功文化、华侨文化资源优势，传承发扬南音、南戏、南派建筑、南拳等闽南历史文化底蕴，打响中国曲艺之乡、中国民间文化艺术之乡、高甲戏发祥地等文化名片，发挥产业文化引领带动作用，做亮“闽南文化发祥地”的城市品牌。</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——闽西南协同发展前沿地带。</w:t>
      </w:r>
      <w:r>
        <w:rPr>
          <w:rFonts w:ascii="Times New Roman" w:hAnsi="Times New Roman" w:eastAsia="方正仿宋简体" w:cs="Times New Roman"/>
          <w:bCs/>
          <w:sz w:val="32"/>
          <w:szCs w:val="32"/>
        </w:rPr>
        <w:t>抢抓中心城市和城市群的发展机遇，全面融入泉州“跨江发展、跨域融合”发展战略，勇当排头兵，主动接受厦门和泉州中心市区辐射，对接翔安机场和东南国际航运中心，加强与周边城市战略协同、一体发展，建成厦漳泉都市圈的次中心。</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——台胞台企登陆第一家园。</w:t>
      </w:r>
      <w:r>
        <w:rPr>
          <w:rFonts w:ascii="Times New Roman" w:hAnsi="Times New Roman" w:eastAsia="方正仿宋简体" w:cs="Times New Roman"/>
          <w:bCs/>
          <w:sz w:val="32"/>
          <w:szCs w:val="32"/>
        </w:rPr>
        <w:t>经贸合作、基础设施、能源资源、行业标准实现应通尽通，南台各领域融合发展水平显著提升，经济社会文化交流更加密切，成为两岸往来最便捷、合作最紧密、交流最活跃、情感最融合的第一家园。</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——全国生态文明示范市。</w:t>
      </w:r>
      <w:r>
        <w:rPr>
          <w:rFonts w:ascii="Times New Roman" w:hAnsi="Times New Roman" w:eastAsia="方正仿宋简体" w:cs="Times New Roman"/>
          <w:bCs/>
          <w:sz w:val="32"/>
          <w:szCs w:val="32"/>
        </w:rPr>
        <w:t>生态文明制度体系更加完善，山水林田湖</w:t>
      </w:r>
      <w:r>
        <w:rPr>
          <w:rFonts w:hint="eastAsia" w:ascii="Times New Roman" w:hAnsi="Times New Roman" w:eastAsia="方正仿宋简体" w:cs="Times New Roman"/>
          <w:bCs/>
          <w:sz w:val="32"/>
          <w:szCs w:val="32"/>
          <w:lang w:eastAsia="zh-CN"/>
        </w:rPr>
        <w:t>海</w:t>
      </w:r>
      <w:r>
        <w:rPr>
          <w:rFonts w:ascii="Times New Roman" w:hAnsi="Times New Roman" w:eastAsia="方正仿宋简体" w:cs="Times New Roman"/>
          <w:bCs/>
          <w:sz w:val="32"/>
          <w:szCs w:val="32"/>
        </w:rPr>
        <w:t>系统治理水平不断提升，生产生活方式绿色转型成效显著，主要污染物排放总量持续减少，形成一套可复制可推广的生态文明体制机制，城乡人居环境更加优美。</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——独具特色的教卫文体强市。</w:t>
      </w:r>
      <w:r>
        <w:rPr>
          <w:rFonts w:ascii="Times New Roman" w:hAnsi="Times New Roman" w:eastAsia="方正仿宋简体" w:cs="Times New Roman"/>
          <w:bCs/>
          <w:color w:val="0D0D0D"/>
          <w:sz w:val="32"/>
          <w:szCs w:val="32"/>
        </w:rPr>
        <w:t>持续深化教育领域改革，扩大优质资源供给，推进教育优质特色、高位均衡发展，跻身全省“第一方阵”目标。医疗供给水平和群众健康水平位居全省前列，打造全省一流、国内知名的康养</w:t>
      </w:r>
      <w:r>
        <w:rPr>
          <w:rFonts w:hint="eastAsia" w:ascii="Times New Roman" w:hAnsi="Times New Roman" w:eastAsia="方正仿宋简体" w:cs="Times New Roman"/>
          <w:bCs/>
          <w:color w:val="0D0D0D"/>
          <w:sz w:val="32"/>
          <w:szCs w:val="32"/>
        </w:rPr>
        <w:t>胜</w:t>
      </w:r>
      <w:r>
        <w:rPr>
          <w:rFonts w:ascii="Times New Roman" w:hAnsi="Times New Roman" w:eastAsia="方正仿宋简体" w:cs="Times New Roman"/>
          <w:bCs/>
          <w:color w:val="0D0D0D"/>
          <w:sz w:val="32"/>
          <w:szCs w:val="32"/>
        </w:rPr>
        <w:t>地。充分挖掘特色文化，完善文化服务体系，提升文明程度，打造郑成功文化、海丝文化、电影文化、产业文化传播基地。品牌赛事、竞技体育和体育产业深度融合，全面健身科学化、体育设施便民化、群众活动常态化、服务体系网格化成为新常态。</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——基层治理先行先试示范区。</w:t>
      </w:r>
      <w:r>
        <w:rPr>
          <w:rFonts w:ascii="Times New Roman" w:hAnsi="Times New Roman" w:eastAsia="方正仿宋简体" w:cs="Times New Roman"/>
          <w:bCs/>
          <w:color w:val="0D0D0D"/>
          <w:sz w:val="32"/>
          <w:szCs w:val="32"/>
        </w:rPr>
        <w:t>高质量发展、高效能治理、高品质生活的体制机制不断完善，法治南安、平安南安建设达到更高水平，建成网格化县域治理体系，实现治理能力现代化。重实干重实绩的用人导向更加鲜明，干部队伍作风持续深化，适应新时代新要求能力全面加强，形成风清气正、心齐劲足、干事创业的良好政治生态。</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153" w:name="_Toc31891"/>
      <w:bookmarkStart w:id="154" w:name="_Toc31542288"/>
      <w:bookmarkStart w:id="155" w:name="_Toc4049"/>
      <w:bookmarkStart w:id="156" w:name="_Toc8221"/>
      <w:bookmarkStart w:id="157" w:name="_Toc16147"/>
      <w:bookmarkStart w:id="158" w:name="_Toc18991"/>
      <w:bookmarkStart w:id="159" w:name="_Toc28122"/>
      <w:bookmarkStart w:id="160" w:name="_Toc29203"/>
      <w:bookmarkStart w:id="161" w:name="_Toc29938"/>
      <w:bookmarkStart w:id="162" w:name="_Toc23898"/>
      <w:bookmarkStart w:id="163" w:name="_Toc17119"/>
      <w:bookmarkStart w:id="164" w:name="_Toc31929"/>
      <w:bookmarkStart w:id="165" w:name="_Toc22012"/>
      <w:bookmarkStart w:id="166" w:name="_Toc68707637"/>
      <w:bookmarkStart w:id="167" w:name="_Toc13368"/>
      <w:bookmarkStart w:id="168" w:name="_Toc5351"/>
      <w:bookmarkStart w:id="169" w:name="_Toc15669"/>
      <w:bookmarkStart w:id="170" w:name="_Toc20489"/>
      <w:bookmarkStart w:id="171" w:name="_Toc31642"/>
      <w:bookmarkStart w:id="172" w:name="_Toc14592"/>
      <w:bookmarkStart w:id="173" w:name="_Toc22980"/>
      <w:bookmarkStart w:id="174" w:name="_Toc28741"/>
      <w:bookmarkStart w:id="175" w:name="_Toc7141"/>
      <w:r>
        <w:rPr>
          <w:rFonts w:ascii="Times New Roman" w:hAnsi="Times New Roman" w:eastAsia="方正黑体简体" w:cs="Times New Roman"/>
          <w:bCs/>
          <w:sz w:val="32"/>
          <w:szCs w:val="32"/>
        </w:rPr>
        <w:t>第四节</w:t>
      </w:r>
      <w:bookmarkEnd w:id="153"/>
      <w:bookmarkEnd w:id="154"/>
      <w:bookmarkEnd w:id="155"/>
      <w:bookmarkEnd w:id="156"/>
      <w:r>
        <w:rPr>
          <w:rFonts w:ascii="Times New Roman" w:hAnsi="Times New Roman" w:eastAsia="方正黑体简体" w:cs="Times New Roman"/>
          <w:bCs/>
          <w:sz w:val="32"/>
          <w:szCs w:val="32"/>
        </w:rPr>
        <w:t xml:space="preserve">  规划目标</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widowControl w:val="0"/>
        <w:spacing w:line="600" w:lineRule="exact"/>
        <w:ind w:firstLine="640" w:firstLineChars="200"/>
        <w:jc w:val="both"/>
        <w:rPr>
          <w:rFonts w:ascii="Times New Roman" w:hAnsi="Times New Roman" w:eastAsia="黑体" w:cs="Times New Roman"/>
          <w:bCs/>
          <w:sz w:val="32"/>
          <w:szCs w:val="32"/>
        </w:rPr>
      </w:pPr>
      <w:r>
        <w:rPr>
          <w:rFonts w:ascii="Times New Roman" w:hAnsi="Times New Roman" w:eastAsia="黑体" w:cs="Times New Roman"/>
          <w:bCs/>
          <w:sz w:val="32"/>
          <w:szCs w:val="32"/>
        </w:rPr>
        <w:t>一、到2025年目标</w:t>
      </w:r>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“十四五”时期，高质量建设新时代新南安，实现县域发展综合实力全国领先。</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——经济实力取得新跨越。</w:t>
      </w:r>
      <w:r>
        <w:rPr>
          <w:rFonts w:ascii="Times New Roman" w:hAnsi="Times New Roman" w:eastAsia="方正仿宋简体" w:cs="Times New Roman"/>
          <w:bCs/>
          <w:color w:val="0D0D0D"/>
          <w:sz w:val="32"/>
          <w:szCs w:val="32"/>
        </w:rPr>
        <w:t>2025年地区生产总值迈进“两千亿”大关，年均增幅高于泉州市平均水平；工业产值突破五千亿，第三产业增加值突破八百亿；财政收入翻一番；居民收入增长与经济增长基本同步，经济发展质量和效益持续提升。</w:t>
      </w:r>
    </w:p>
    <w:p>
      <w:pPr>
        <w:widowControl w:val="0"/>
        <w:spacing w:line="600" w:lineRule="exact"/>
        <w:ind w:firstLine="643" w:firstLineChars="200"/>
        <w:jc w:val="both"/>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——城乡融合取得新跨越。</w:t>
      </w:r>
      <w:r>
        <w:rPr>
          <w:rFonts w:ascii="Times New Roman" w:hAnsi="Times New Roman" w:eastAsia="方正仿宋简体" w:cs="Times New Roman"/>
          <w:bCs/>
          <w:color w:val="0D0D0D"/>
          <w:sz w:val="32"/>
          <w:szCs w:val="32"/>
        </w:rPr>
        <w:t>城乡空间布局进一步优化，中心城区综合承载力、辐射带动力明显提高，南翼新城建成创新要素集聚区，北部新城逐步形成文化教育、医疗康养、生态旅游为一体的新型城镇组团。新型城镇化战略、乡村振兴战略协同推进，城乡基础设施更加完善，2025年常住人口城镇化率不低于66%。</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——产业升级取得新跨越。</w:t>
      </w:r>
      <w:r>
        <w:rPr>
          <w:rFonts w:ascii="Times New Roman" w:hAnsi="Times New Roman" w:eastAsia="方正仿宋简体" w:cs="Times New Roman"/>
          <w:bCs/>
          <w:color w:val="0D0D0D"/>
          <w:sz w:val="32"/>
          <w:szCs w:val="32"/>
        </w:rPr>
        <w:t>推进现代产业体系迈向中高端，巩固壮大石材陶瓷、水暖厨卫、机械装备、电子信息、日用轻工五大制造业集群，实现石材陶瓷、机械装备、日用轻工三大产业集群产值超千亿，培育战略性新兴产业，做优现代服务业，第三产业增加值比重提高至40%。</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——科技创新取得新跨越。</w:t>
      </w:r>
      <w:r>
        <w:rPr>
          <w:rFonts w:ascii="Times New Roman" w:hAnsi="Times New Roman" w:eastAsia="方正仿宋简体" w:cs="Times New Roman"/>
          <w:bCs/>
          <w:color w:val="0D0D0D"/>
          <w:sz w:val="32"/>
          <w:szCs w:val="32"/>
        </w:rPr>
        <w:t>高质量的区域创新生态系统初步建成，高水平、多元化创新平台明显增加，全社会R&amp;D经费投入占GDP比重达到2%，每万人发明专利拥有量达到20件，创新活力和效益显著提升。</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——改革开放取得新跨越。</w:t>
      </w:r>
      <w:r>
        <w:rPr>
          <w:rFonts w:ascii="Times New Roman" w:hAnsi="Times New Roman" w:eastAsia="方正仿宋简体" w:cs="Times New Roman"/>
          <w:bCs/>
          <w:color w:val="0D0D0D"/>
          <w:sz w:val="32"/>
          <w:szCs w:val="32"/>
        </w:rPr>
        <w:t>扩大高水平开放和深化市场化改革互促共进，要素市场化配置体制机制更加完善，营商环境进一步优化，一些重点领域和关键环节改革取得突破性进展，在建设“一带一路”、探索两岸融合发展新路、建设闽西南协同发展区中的作用更加凸显。</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——民生事业取得新跨越。</w:t>
      </w:r>
      <w:r>
        <w:rPr>
          <w:rFonts w:ascii="Times New Roman" w:hAnsi="Times New Roman" w:eastAsia="方正仿宋简体" w:cs="Times New Roman"/>
          <w:bCs/>
          <w:color w:val="0D0D0D"/>
          <w:sz w:val="32"/>
          <w:szCs w:val="32"/>
        </w:rPr>
        <w:t>新冠肺炎疫情暴露出来的短板弱项得到补齐补强，教育、医疗、养老、社保、就业等基本公共服务标准体系全面建立，社会保障制度体系更加健全完善，人民生活品质全面提升。</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——生态建设取得新跨越。</w:t>
      </w:r>
      <w:r>
        <w:rPr>
          <w:rFonts w:ascii="Times New Roman" w:hAnsi="Times New Roman" w:eastAsia="方正仿宋简体" w:cs="Times New Roman"/>
          <w:bCs/>
          <w:color w:val="0D0D0D"/>
          <w:sz w:val="32"/>
          <w:szCs w:val="32"/>
        </w:rPr>
        <w:t>绿水青山就是金山银山理念不断强化，区域生态文明建设全面系统深化，单位生产总值能耗、污染物减排总量控制在上级下达的指标内</w:t>
      </w:r>
      <w:r>
        <w:rPr>
          <w:rFonts w:hint="eastAsia" w:ascii="Times New Roman" w:hAnsi="Times New Roman" w:eastAsia="方正仿宋简体" w:cs="Times New Roman"/>
          <w:bCs/>
          <w:color w:val="0D0D0D"/>
          <w:sz w:val="32"/>
          <w:szCs w:val="32"/>
          <w:lang w:eastAsia="zh-CN"/>
        </w:rPr>
        <w:t>。协调推进污染防治攻坚战和碳排放达峰行动，不断深化生态文明体制改革，</w:t>
      </w:r>
      <w:r>
        <w:rPr>
          <w:rFonts w:ascii="Times New Roman" w:hAnsi="Times New Roman" w:eastAsia="方正仿宋简体" w:cs="Times New Roman"/>
          <w:bCs/>
          <w:color w:val="0D0D0D"/>
          <w:sz w:val="32"/>
          <w:szCs w:val="32"/>
        </w:rPr>
        <w:t>建成国家生态文明建设示范市。</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——社会文明取得新跨越。</w:t>
      </w:r>
      <w:r>
        <w:rPr>
          <w:rFonts w:ascii="Times New Roman" w:hAnsi="Times New Roman" w:eastAsia="方正仿宋简体" w:cs="Times New Roman"/>
          <w:bCs/>
          <w:color w:val="0D0D0D"/>
          <w:sz w:val="32"/>
          <w:szCs w:val="32"/>
        </w:rPr>
        <w:t>公民道德素质和社会文明程度显著提高，文化事业和文化产业贯通发展。法治南安、平安南安建设持续深入，“3+N”联合调解网络体系更加完善，</w:t>
      </w:r>
      <w:r>
        <w:rPr>
          <w:rFonts w:hint="eastAsia" w:ascii="Times New Roman" w:hAnsi="Times New Roman" w:eastAsia="方正仿宋简体" w:cs="Times New Roman"/>
          <w:bCs/>
          <w:color w:val="0D0D0D"/>
          <w:sz w:val="32"/>
          <w:szCs w:val="32"/>
          <w:lang w:eastAsia="zh-CN"/>
        </w:rPr>
        <w:t>网格化县域治理体系不断完善，</w:t>
      </w:r>
      <w:r>
        <w:rPr>
          <w:rFonts w:ascii="Times New Roman" w:hAnsi="Times New Roman" w:eastAsia="方正仿宋简体" w:cs="Times New Roman"/>
          <w:bCs/>
          <w:color w:val="0D0D0D"/>
          <w:sz w:val="32"/>
          <w:szCs w:val="32"/>
        </w:rPr>
        <w:t>社会治理现代化水平不断提升，人民群众对法治建设满意率持续提升，争创全国文明城市。</w:t>
      </w:r>
    </w:p>
    <w:p>
      <w:pPr>
        <w:widowControl w:val="0"/>
        <w:numPr>
          <w:ilvl w:val="255"/>
          <w:numId w:val="0"/>
        </w:numPr>
        <w:spacing w:line="600" w:lineRule="exact"/>
        <w:ind w:firstLine="640" w:firstLineChars="200"/>
        <w:jc w:val="both"/>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二、到2035年远景目标</w:t>
      </w:r>
    </w:p>
    <w:p>
      <w:pPr>
        <w:widowControl w:val="0"/>
        <w:numPr>
          <w:ilvl w:val="255"/>
          <w:numId w:val="0"/>
        </w:numPr>
        <w:spacing w:line="600" w:lineRule="exact"/>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00000"/>
          <w:sz w:val="32"/>
          <w:szCs w:val="32"/>
        </w:rPr>
        <w:t xml:space="preserve">    </w:t>
      </w:r>
      <w:r>
        <w:rPr>
          <w:rFonts w:ascii="Times New Roman" w:hAnsi="Times New Roman" w:eastAsia="方正仿宋简体" w:cs="Times New Roman"/>
          <w:bCs/>
          <w:color w:val="0D0D0D"/>
          <w:sz w:val="32"/>
          <w:szCs w:val="32"/>
        </w:rPr>
        <w:t>到二〇三五年我国基本实现社会主义现代化之时，我市与全省、泉州市一道基本实现全方位高质量发展超越，基本实现新型工业化、信息化、城镇化、农业农村现代化；科技实力大幅跃升，全面建成创新型城市；产业结构全面优化，建成现代产业体系；“环湾、拥海、连江、合群”城市战略全面实现，“三城双轴三带”空间布局成形成势；居民收入达高收入经济体水平，基本公共服务均等化基本实现，安全保障体系不断健全；文化软实力全面增强，社会主义精神文明和物质文明全面协调发展，国民素质和社会文明程度达到新高度；具有南安特色的生态宜居城市基本建成，生态环境质量、资源能源集约利用、美丽经济发展全面处于领先水平；共建共治共享的社会治理格局更加完善，基本实现县域治理体系和治理能力现代化；党的全面领导落实到各领域各方面的高效执行体系全面形成，全面从严治党深入推进，政治生态风清气正。</w:t>
      </w:r>
    </w:p>
    <w:p>
      <w:pPr>
        <w:widowControl w:val="0"/>
        <w:spacing w:after="0" w:line="600" w:lineRule="exact"/>
        <w:jc w:val="center"/>
        <w:rPr>
          <w:rFonts w:hint="eastAsia" w:ascii="Times New Roman" w:hAnsi="Times New Roman" w:eastAsia="方正黑体简体" w:cs="Times New Roman"/>
          <w:sz w:val="32"/>
          <w:szCs w:val="32"/>
          <w:lang w:eastAsia="zh-CN"/>
        </w:rPr>
      </w:pPr>
      <w:bookmarkStart w:id="176" w:name="_Toc28800"/>
      <w:bookmarkStart w:id="177" w:name="_Toc29875"/>
      <w:bookmarkStart w:id="178" w:name="_Toc19918"/>
      <w:bookmarkStart w:id="179" w:name="_Toc26434"/>
      <w:bookmarkStart w:id="180" w:name="_Toc12151"/>
      <w:bookmarkStart w:id="181" w:name="_Toc16960"/>
      <w:bookmarkStart w:id="182" w:name="_Toc17675"/>
      <w:bookmarkStart w:id="183" w:name="_Toc30881"/>
      <w:bookmarkStart w:id="184" w:name="_Toc6280"/>
      <w:bookmarkStart w:id="185" w:name="_Toc20249"/>
      <w:bookmarkStart w:id="186" w:name="_Toc26776"/>
      <w:bookmarkStart w:id="187" w:name="_Toc19639"/>
      <w:bookmarkStart w:id="188" w:name="_Toc15174"/>
      <w:bookmarkStart w:id="189" w:name="_Toc17685"/>
      <w:bookmarkStart w:id="190" w:name="_Toc14519"/>
      <w:bookmarkStart w:id="191" w:name="_Toc4009"/>
      <w:bookmarkStart w:id="192" w:name="_Toc16321"/>
      <w:bookmarkStart w:id="193" w:name="_Toc20399"/>
      <w:bookmarkStart w:id="194" w:name="_Toc3924"/>
      <w:bookmarkStart w:id="195" w:name="_Toc6993"/>
      <w:bookmarkStart w:id="196" w:name="_Toc68707638"/>
      <w:r>
        <w:rPr>
          <w:rFonts w:ascii="Times New Roman" w:hAnsi="Times New Roman" w:eastAsia="方正黑体简体" w:cs="Times New Roman"/>
          <w:sz w:val="32"/>
          <w:szCs w:val="32"/>
        </w:rPr>
        <w:t>专栏</w:t>
      </w:r>
      <w:r>
        <w:rPr>
          <w:rFonts w:hint="eastAsia" w:ascii="Times New Roman" w:hAnsi="Times New Roman" w:eastAsia="方正黑体简体" w:cs="Times New Roman"/>
          <w:sz w:val="32"/>
          <w:szCs w:val="32"/>
          <w:lang w:val="en-US" w:eastAsia="zh-CN"/>
        </w:rPr>
        <w:t>2</w:t>
      </w:r>
      <w:r>
        <w:rPr>
          <w:rFonts w:ascii="Times New Roman" w:hAnsi="Times New Roman" w:eastAsia="方正黑体简体" w:cs="Times New Roman"/>
          <w:sz w:val="32"/>
          <w:szCs w:val="32"/>
        </w:rPr>
        <w:t>：南安市“</w:t>
      </w:r>
      <w:r>
        <w:rPr>
          <w:rFonts w:hint="eastAsia" w:ascii="Times New Roman" w:hAnsi="Times New Roman" w:eastAsia="方正黑体简体" w:cs="Times New Roman"/>
          <w:sz w:val="32"/>
          <w:szCs w:val="32"/>
          <w:lang w:eastAsia="zh-CN"/>
        </w:rPr>
        <w:t>十四</w:t>
      </w:r>
      <w:r>
        <w:rPr>
          <w:rFonts w:ascii="Times New Roman" w:hAnsi="Times New Roman" w:eastAsia="方正黑体简体" w:cs="Times New Roman"/>
          <w:sz w:val="32"/>
          <w:szCs w:val="32"/>
        </w:rPr>
        <w:t>五”</w:t>
      </w:r>
      <w:r>
        <w:rPr>
          <w:rFonts w:hint="eastAsia" w:ascii="Times New Roman" w:hAnsi="Times New Roman" w:eastAsia="方正黑体简体" w:cs="Times New Roman"/>
          <w:sz w:val="32"/>
          <w:szCs w:val="32"/>
          <w:lang w:eastAsia="zh-CN"/>
        </w:rPr>
        <w:t>时期经济社会发展主要目标</w:t>
      </w:r>
    </w:p>
    <w:tbl>
      <w:tblPr>
        <w:tblStyle w:val="19"/>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480"/>
        <w:gridCol w:w="3330"/>
        <w:gridCol w:w="945"/>
        <w:gridCol w:w="930"/>
        <w:gridCol w:w="960"/>
        <w:gridCol w:w="135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88" w:type="dxa"/>
            <w:vAlign w:val="center"/>
          </w:tcPr>
          <w:p>
            <w:pPr>
              <w:pStyle w:val="2"/>
              <w:widowControl w:val="0"/>
              <w:tabs>
                <w:tab w:val="left" w:pos="362"/>
              </w:tabs>
              <w:spacing w:after="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分类</w:t>
            </w:r>
          </w:p>
        </w:tc>
        <w:tc>
          <w:tcPr>
            <w:tcW w:w="480" w:type="dxa"/>
            <w:vAlign w:val="center"/>
          </w:tcPr>
          <w:p>
            <w:pPr>
              <w:pStyle w:val="2"/>
              <w:widowControl w:val="0"/>
              <w:tabs>
                <w:tab w:val="left" w:pos="362"/>
              </w:tabs>
              <w:spacing w:after="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序号</w:t>
            </w:r>
          </w:p>
        </w:tc>
        <w:tc>
          <w:tcPr>
            <w:tcW w:w="3330" w:type="dxa"/>
            <w:vAlign w:val="center"/>
          </w:tcPr>
          <w:p>
            <w:pPr>
              <w:pStyle w:val="2"/>
              <w:widowControl w:val="0"/>
              <w:tabs>
                <w:tab w:val="left" w:pos="362"/>
              </w:tabs>
              <w:spacing w:after="0"/>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指标名称</w:t>
            </w:r>
          </w:p>
        </w:tc>
        <w:tc>
          <w:tcPr>
            <w:tcW w:w="945" w:type="dxa"/>
            <w:vAlign w:val="center"/>
          </w:tcPr>
          <w:p>
            <w:pPr>
              <w:pStyle w:val="2"/>
              <w:widowControl w:val="0"/>
              <w:tabs>
                <w:tab w:val="left" w:pos="362"/>
              </w:tabs>
              <w:spacing w:after="0"/>
              <w:ind w:firstLine="0" w:firstLineChars="0"/>
              <w:jc w:val="center"/>
              <w:rPr>
                <w:rFonts w:hint="eastAsia" w:ascii="Times New Roman" w:hAnsi="Times New Roman" w:eastAsia="黑体" w:cs="Times New Roman"/>
                <w:sz w:val="21"/>
                <w:szCs w:val="21"/>
                <w:lang w:eastAsia="zh-CN"/>
              </w:rPr>
            </w:pPr>
            <w:r>
              <w:rPr>
                <w:rFonts w:hint="eastAsia" w:ascii="Times New Roman" w:hAnsi="Times New Roman" w:eastAsia="黑体" w:cs="Times New Roman"/>
                <w:sz w:val="21"/>
                <w:szCs w:val="21"/>
                <w:lang w:eastAsia="zh-CN"/>
              </w:rPr>
              <w:t>单位</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2020年</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2025年目标</w:t>
            </w:r>
          </w:p>
        </w:tc>
        <w:tc>
          <w:tcPr>
            <w:tcW w:w="1350" w:type="dxa"/>
            <w:vAlign w:val="center"/>
          </w:tcPr>
          <w:p>
            <w:pPr>
              <w:pStyle w:val="2"/>
              <w:widowControl w:val="0"/>
              <w:tabs>
                <w:tab w:val="left" w:pos="362"/>
              </w:tabs>
              <w:spacing w:after="0"/>
              <w:ind w:firstLine="0" w:firstLineChars="0"/>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年均增长（%）[累计]</w:t>
            </w:r>
          </w:p>
        </w:tc>
        <w:tc>
          <w:tcPr>
            <w:tcW w:w="900" w:type="dxa"/>
            <w:vAlign w:val="center"/>
          </w:tcPr>
          <w:p>
            <w:pPr>
              <w:pStyle w:val="2"/>
              <w:widowControl w:val="0"/>
              <w:tabs>
                <w:tab w:val="left" w:pos="362"/>
              </w:tabs>
              <w:spacing w:after="0"/>
              <w:ind w:firstLine="0" w:firstLineChars="0"/>
              <w:jc w:val="center"/>
              <w:rPr>
                <w:rFonts w:hint="eastAsia"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restart"/>
            <w:vAlign w:val="center"/>
          </w:tcPr>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经</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济</w:t>
            </w:r>
          </w:p>
          <w:p>
            <w:pPr>
              <w:pStyle w:val="2"/>
              <w:widowControl w:val="0"/>
              <w:tabs>
                <w:tab w:val="left" w:pos="362"/>
              </w:tabs>
              <w:spacing w:after="0"/>
              <w:ind w:firstLine="0" w:firstLineChars="0"/>
              <w:jc w:val="center"/>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发</w:t>
            </w:r>
          </w:p>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b/>
                <w:bCs/>
                <w:sz w:val="21"/>
                <w:szCs w:val="21"/>
              </w:rPr>
              <w:t>展</w:t>
            </w:r>
          </w:p>
        </w:tc>
        <w:tc>
          <w:tcPr>
            <w:tcW w:w="48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地区生产总值</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亿元</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1352.72</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2000</w:t>
            </w:r>
          </w:p>
        </w:tc>
        <w:tc>
          <w:tcPr>
            <w:tcW w:w="135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8.1</w:t>
            </w:r>
          </w:p>
        </w:tc>
        <w:tc>
          <w:tcPr>
            <w:tcW w:w="90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人均地区生产总值</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rPr>
              <w:t>8.9</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rPr>
              <w:t>11.8</w:t>
            </w:r>
          </w:p>
        </w:tc>
        <w:tc>
          <w:tcPr>
            <w:tcW w:w="135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5.8</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服务业</w:t>
            </w:r>
            <w:r>
              <w:rPr>
                <w:rFonts w:ascii="Times New Roman" w:hAnsi="Times New Roman" w:eastAsia="仿宋_GB2312" w:cs="Times New Roman"/>
                <w:sz w:val="21"/>
                <w:szCs w:val="21"/>
              </w:rPr>
              <w:t>增加值占GDP比重</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38.8</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40</w:t>
            </w:r>
          </w:p>
        </w:tc>
        <w:tc>
          <w:tcPr>
            <w:tcW w:w="135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黑体" w:cs="Times New Roman"/>
                <w:sz w:val="21"/>
                <w:szCs w:val="21"/>
                <w:lang w:val="en-US" w:eastAsia="zh-CN"/>
              </w:rPr>
              <w:t>[1.2]</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常住人口城镇化率</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61.2</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66</w:t>
            </w:r>
          </w:p>
        </w:tc>
        <w:tc>
          <w:tcPr>
            <w:tcW w:w="135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黑体" w:cs="Times New Roman"/>
                <w:sz w:val="21"/>
                <w:szCs w:val="21"/>
                <w:lang w:val="en-US" w:eastAsia="zh-CN"/>
              </w:rPr>
              <w:t>[4.8]</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社会消费品零售总额</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亿元</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722</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1000</w:t>
            </w:r>
          </w:p>
        </w:tc>
        <w:tc>
          <w:tcPr>
            <w:tcW w:w="135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6.7</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w:t>
            </w:r>
          </w:p>
        </w:tc>
        <w:tc>
          <w:tcPr>
            <w:tcW w:w="3330" w:type="dxa"/>
            <w:vAlign w:val="center"/>
          </w:tcPr>
          <w:p>
            <w:pPr>
              <w:pStyle w:val="2"/>
              <w:widowControl w:val="0"/>
              <w:tabs>
                <w:tab w:val="left" w:pos="362"/>
              </w:tabs>
              <w:spacing w:after="0"/>
              <w:ind w:firstLine="0" w:firstLineChars="0"/>
              <w:jc w:val="both"/>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一般公共预算收入</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亿元</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rPr>
              <w:t>53.05</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rPr>
              <w:t>106.1</w:t>
            </w:r>
          </w:p>
        </w:tc>
        <w:tc>
          <w:tcPr>
            <w:tcW w:w="135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14.9</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restart"/>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b/>
                <w:bCs/>
                <w:sz w:val="21"/>
                <w:szCs w:val="21"/>
                <w:lang w:eastAsia="zh-CN"/>
              </w:rPr>
              <w:t>创新驱动</w:t>
            </w: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w:t>
            </w:r>
          </w:p>
        </w:tc>
        <w:tc>
          <w:tcPr>
            <w:tcW w:w="3330" w:type="dxa"/>
            <w:vAlign w:val="center"/>
          </w:tcPr>
          <w:p>
            <w:pPr>
              <w:pStyle w:val="2"/>
              <w:widowControl w:val="0"/>
              <w:tabs>
                <w:tab w:val="left" w:pos="362"/>
              </w:tabs>
              <w:spacing w:after="0"/>
              <w:ind w:firstLine="0" w:firstLineChars="0"/>
              <w:jc w:val="both"/>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研发经费投入增长率</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78.2</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w:t>
            </w:r>
          </w:p>
        </w:tc>
        <w:tc>
          <w:tcPr>
            <w:tcW w:w="135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w:t>
            </w:r>
          </w:p>
        </w:tc>
        <w:tc>
          <w:tcPr>
            <w:tcW w:w="3330" w:type="dxa"/>
            <w:vAlign w:val="center"/>
          </w:tcPr>
          <w:p>
            <w:pPr>
              <w:pStyle w:val="2"/>
              <w:widowControl w:val="0"/>
              <w:tabs>
                <w:tab w:val="left" w:pos="362"/>
              </w:tabs>
              <w:spacing w:after="0"/>
              <w:ind w:right="-121" w:rightChars="-55" w:firstLine="0" w:firstLineChars="0"/>
              <w:jc w:val="both"/>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每万人口高价值发明专利拥有量</w:t>
            </w:r>
          </w:p>
        </w:tc>
        <w:tc>
          <w:tcPr>
            <w:tcW w:w="945"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件</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5.3</w:t>
            </w:r>
          </w:p>
        </w:tc>
        <w:tc>
          <w:tcPr>
            <w:tcW w:w="135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rPr>
            </w:pPr>
          </w:p>
        </w:tc>
        <w:tc>
          <w:tcPr>
            <w:tcW w:w="900" w:type="dxa"/>
            <w:vAlign w:val="center"/>
          </w:tcPr>
          <w:p>
            <w:pPr>
              <w:pStyle w:val="2"/>
              <w:widowControl w:val="0"/>
              <w:tabs>
                <w:tab w:val="left" w:pos="362"/>
              </w:tabs>
              <w:spacing w:after="0"/>
              <w:ind w:right="-121" w:rightChars="-55" w:firstLine="0" w:firstLineChars="0"/>
              <w:jc w:val="center"/>
              <w:rPr>
                <w:rFonts w:hint="eastAsia" w:ascii="Times New Roman" w:hAnsi="Times New Roman" w:eastAsia="仿宋_GB2312" w:cs="仿宋_GB2312"/>
                <w:color w:val="FF0000"/>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w:t>
            </w:r>
          </w:p>
        </w:tc>
        <w:tc>
          <w:tcPr>
            <w:tcW w:w="3330" w:type="dxa"/>
            <w:vAlign w:val="center"/>
          </w:tcPr>
          <w:p>
            <w:pPr>
              <w:pStyle w:val="2"/>
              <w:widowControl w:val="0"/>
              <w:tabs>
                <w:tab w:val="left" w:pos="362"/>
              </w:tabs>
              <w:spacing w:after="0"/>
              <w:ind w:firstLine="0" w:firstLineChars="0"/>
              <w:jc w:val="both"/>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工业战略性新兴产业产值占规上工业产值比重</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27</w:t>
            </w:r>
          </w:p>
        </w:tc>
        <w:tc>
          <w:tcPr>
            <w:tcW w:w="135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rPr>
            </w:pPr>
            <w:r>
              <w:rPr>
                <w:rFonts w:ascii="Times New Roman" w:hAnsi="Times New Roman" w:eastAsia="仿宋_GB2312" w:cs="Times New Roman"/>
                <w:sz w:val="21"/>
                <w:szCs w:val="21"/>
              </w:rPr>
              <w:t>1</w:t>
            </w:r>
            <w:r>
              <w:rPr>
                <w:rFonts w:hint="eastAsia" w:ascii="Times New Roman" w:hAnsi="Times New Roman" w:eastAsia="仿宋_GB2312" w:cs="Times New Roman"/>
                <w:sz w:val="21"/>
                <w:szCs w:val="21"/>
                <w:lang w:val="en-US" w:eastAsia="zh-CN"/>
              </w:rPr>
              <w:t>0</w:t>
            </w:r>
          </w:p>
        </w:tc>
        <w:tc>
          <w:tcPr>
            <w:tcW w:w="3330" w:type="dxa"/>
            <w:vAlign w:val="center"/>
          </w:tcPr>
          <w:p>
            <w:pPr>
              <w:pStyle w:val="2"/>
              <w:widowControl w:val="0"/>
              <w:tabs>
                <w:tab w:val="left" w:pos="362"/>
              </w:tabs>
              <w:spacing w:after="0"/>
              <w:ind w:firstLine="0" w:firstLineChars="0"/>
              <w:jc w:val="both"/>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eastAsia="zh-CN"/>
              </w:rPr>
              <w:t>数字经济核心产业增加值占</w:t>
            </w:r>
            <w:r>
              <w:rPr>
                <w:rFonts w:hint="eastAsia" w:ascii="Times New Roman" w:hAnsi="Times New Roman" w:eastAsia="仿宋_GB2312" w:cs="Times New Roman"/>
                <w:sz w:val="21"/>
                <w:szCs w:val="21"/>
                <w:lang w:val="en-US" w:eastAsia="zh-CN"/>
              </w:rPr>
              <w:t>GDP比重</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1.95</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2.15</w:t>
            </w:r>
          </w:p>
        </w:tc>
        <w:tc>
          <w:tcPr>
            <w:tcW w:w="135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黑体" w:cs="Times New Roman"/>
                <w:sz w:val="21"/>
                <w:szCs w:val="21"/>
                <w:lang w:val="en-US" w:eastAsia="zh-CN"/>
              </w:rPr>
              <w:t>[0.2]</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restart"/>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b/>
                <w:bCs/>
                <w:sz w:val="21"/>
                <w:szCs w:val="21"/>
                <w:lang w:eastAsia="zh-CN"/>
              </w:rPr>
              <w:t>民生福祉</w:t>
            </w:r>
          </w:p>
        </w:tc>
        <w:tc>
          <w:tcPr>
            <w:tcW w:w="48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rPr>
            </w:pPr>
            <w:r>
              <w:rPr>
                <w:rFonts w:ascii="Times New Roman" w:hAnsi="Times New Roman" w:eastAsia="仿宋_GB2312" w:cs="Times New Roman"/>
                <w:sz w:val="21"/>
                <w:szCs w:val="21"/>
              </w:rPr>
              <w:t>1</w:t>
            </w:r>
            <w:r>
              <w:rPr>
                <w:rFonts w:hint="eastAsia" w:ascii="Times New Roman" w:hAnsi="Times New Roman" w:eastAsia="仿宋_GB2312" w:cs="Times New Roman"/>
                <w:sz w:val="21"/>
                <w:szCs w:val="21"/>
                <w:lang w:val="en-US" w:eastAsia="zh-CN"/>
              </w:rPr>
              <w:t>1</w:t>
            </w:r>
          </w:p>
        </w:tc>
        <w:tc>
          <w:tcPr>
            <w:tcW w:w="3330" w:type="dxa"/>
            <w:vAlign w:val="center"/>
          </w:tcPr>
          <w:p>
            <w:pPr>
              <w:pStyle w:val="2"/>
              <w:widowControl w:val="0"/>
              <w:tabs>
                <w:tab w:val="left" w:pos="362"/>
              </w:tabs>
              <w:spacing w:after="0"/>
              <w:ind w:firstLine="0" w:firstLineChars="0"/>
              <w:jc w:val="both"/>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居民人均可支配收入</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元</w:t>
            </w:r>
          </w:p>
        </w:tc>
        <w:tc>
          <w:tcPr>
            <w:tcW w:w="93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39385</w:t>
            </w:r>
          </w:p>
        </w:tc>
        <w:tc>
          <w:tcPr>
            <w:tcW w:w="96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51475</w:t>
            </w:r>
          </w:p>
        </w:tc>
        <w:tc>
          <w:tcPr>
            <w:tcW w:w="135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5.5</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rPr>
            </w:pPr>
            <w:r>
              <w:rPr>
                <w:rFonts w:ascii="Times New Roman" w:hAnsi="Times New Roman" w:eastAsia="仿宋_GB2312" w:cs="Times New Roman"/>
                <w:sz w:val="21"/>
                <w:szCs w:val="21"/>
              </w:rPr>
              <w:t>1</w:t>
            </w:r>
            <w:r>
              <w:rPr>
                <w:rFonts w:hint="eastAsia" w:ascii="Times New Roman" w:hAnsi="Times New Roman" w:eastAsia="仿宋_GB2312" w:cs="Times New Roman"/>
                <w:sz w:val="21"/>
                <w:szCs w:val="21"/>
                <w:lang w:val="en-US" w:eastAsia="zh-CN"/>
              </w:rPr>
              <w:t>2</w:t>
            </w:r>
          </w:p>
        </w:tc>
        <w:tc>
          <w:tcPr>
            <w:tcW w:w="3330" w:type="dxa"/>
            <w:vAlign w:val="center"/>
          </w:tcPr>
          <w:p>
            <w:pPr>
              <w:pStyle w:val="2"/>
              <w:widowControl w:val="0"/>
              <w:tabs>
                <w:tab w:val="left" w:pos="362"/>
              </w:tabs>
              <w:spacing w:after="0"/>
              <w:ind w:firstLine="0" w:firstLineChars="0"/>
              <w:jc w:val="both"/>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城乡居民人均可支配收入之比</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2.02:1</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1.97:1</w:t>
            </w:r>
          </w:p>
        </w:tc>
        <w:tc>
          <w:tcPr>
            <w:tcW w:w="135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rPr>
            </w:pPr>
            <w:r>
              <w:rPr>
                <w:rFonts w:ascii="Times New Roman" w:hAnsi="Times New Roman" w:eastAsia="仿宋_GB2312" w:cs="Times New Roman"/>
                <w:sz w:val="21"/>
                <w:szCs w:val="21"/>
              </w:rPr>
              <w:t>1</w:t>
            </w:r>
            <w:r>
              <w:rPr>
                <w:rFonts w:hint="eastAsia" w:ascii="Times New Roman" w:hAnsi="Times New Roman" w:eastAsia="仿宋_GB2312" w:cs="Times New Roman"/>
                <w:sz w:val="21"/>
                <w:szCs w:val="21"/>
                <w:lang w:val="en-US" w:eastAsia="zh-CN"/>
              </w:rPr>
              <w:t>3</w:t>
            </w:r>
          </w:p>
        </w:tc>
        <w:tc>
          <w:tcPr>
            <w:tcW w:w="3330" w:type="dxa"/>
            <w:vAlign w:val="center"/>
          </w:tcPr>
          <w:p>
            <w:pPr>
              <w:pStyle w:val="2"/>
              <w:widowControl w:val="0"/>
              <w:tabs>
                <w:tab w:val="left" w:pos="362"/>
              </w:tabs>
              <w:spacing w:after="0"/>
              <w:ind w:firstLine="0" w:firstLineChars="0"/>
              <w:jc w:val="both"/>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城镇新增就业人数</w:t>
            </w:r>
          </w:p>
        </w:tc>
        <w:tc>
          <w:tcPr>
            <w:tcW w:w="945"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万人</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0.93</w:t>
            </w:r>
          </w:p>
        </w:tc>
        <w:tc>
          <w:tcPr>
            <w:tcW w:w="96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w:t>
            </w:r>
          </w:p>
        </w:tc>
        <w:tc>
          <w:tcPr>
            <w:tcW w:w="135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33.9</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rPr>
              <w:t>14</w:t>
            </w:r>
          </w:p>
        </w:tc>
        <w:tc>
          <w:tcPr>
            <w:tcW w:w="3330" w:type="dxa"/>
            <w:vAlign w:val="center"/>
          </w:tcPr>
          <w:p>
            <w:pPr>
              <w:pStyle w:val="2"/>
              <w:widowControl w:val="0"/>
              <w:tabs>
                <w:tab w:val="left" w:pos="362"/>
              </w:tabs>
              <w:spacing w:after="0"/>
              <w:ind w:firstLine="0" w:firstLineChars="0"/>
              <w:jc w:val="both"/>
              <w:rPr>
                <w:rFonts w:hint="eastAsia"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eastAsia="zh-CN"/>
              </w:rPr>
              <w:t>劳动年龄人口平均受教育年限</w:t>
            </w:r>
          </w:p>
        </w:tc>
        <w:tc>
          <w:tcPr>
            <w:tcW w:w="945"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eastAsia="zh-CN"/>
              </w:rPr>
              <w:t>年</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11.38</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12.01</w:t>
            </w:r>
          </w:p>
        </w:tc>
        <w:tc>
          <w:tcPr>
            <w:tcW w:w="135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黑体" w:cs="Times New Roman"/>
                <w:sz w:val="21"/>
                <w:szCs w:val="21"/>
                <w:lang w:val="en-US" w:eastAsia="zh-CN"/>
              </w:rPr>
              <w:t>[0.63]</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rPr>
              <w:t>15</w:t>
            </w:r>
          </w:p>
        </w:tc>
        <w:tc>
          <w:tcPr>
            <w:tcW w:w="3330" w:type="dxa"/>
            <w:vAlign w:val="center"/>
          </w:tcPr>
          <w:p>
            <w:pPr>
              <w:pStyle w:val="2"/>
              <w:widowControl w:val="0"/>
              <w:tabs>
                <w:tab w:val="left" w:pos="362"/>
              </w:tabs>
              <w:spacing w:after="0"/>
              <w:ind w:firstLine="0" w:firstLineChars="0"/>
              <w:jc w:val="both"/>
              <w:rPr>
                <w:rFonts w:hint="eastAsia"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eastAsia="zh-CN"/>
              </w:rPr>
              <w:t>每千人口拥有执业（助理）医师数</w:t>
            </w:r>
          </w:p>
        </w:tc>
        <w:tc>
          <w:tcPr>
            <w:tcW w:w="945"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eastAsia="zh-CN"/>
              </w:rPr>
              <w:t>人</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1.66</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1.85</w:t>
            </w:r>
          </w:p>
        </w:tc>
        <w:tc>
          <w:tcPr>
            <w:tcW w:w="135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黑体" w:cs="Times New Roman"/>
                <w:sz w:val="21"/>
                <w:szCs w:val="21"/>
                <w:lang w:val="en-US" w:eastAsia="zh-CN"/>
              </w:rPr>
              <w:t>[0.19]</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rPr>
              <w:t>16</w:t>
            </w:r>
          </w:p>
        </w:tc>
        <w:tc>
          <w:tcPr>
            <w:tcW w:w="3330" w:type="dxa"/>
            <w:vAlign w:val="center"/>
          </w:tcPr>
          <w:p>
            <w:pPr>
              <w:pStyle w:val="2"/>
              <w:widowControl w:val="0"/>
              <w:tabs>
                <w:tab w:val="left" w:pos="362"/>
              </w:tabs>
              <w:spacing w:after="0"/>
              <w:ind w:firstLine="0" w:firstLineChars="0"/>
              <w:jc w:val="both"/>
              <w:rPr>
                <w:rFonts w:hint="eastAsia"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eastAsia="zh-CN"/>
              </w:rPr>
              <w:t>基本养老保险参保率</w:t>
            </w:r>
          </w:p>
        </w:tc>
        <w:tc>
          <w:tcPr>
            <w:tcW w:w="945"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bidi="ar-SA"/>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100</w:t>
            </w:r>
          </w:p>
        </w:tc>
        <w:tc>
          <w:tcPr>
            <w:tcW w:w="135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val="en-US" w:eastAsia="zh-CN"/>
              </w:rPr>
              <w:t>17</w:t>
            </w:r>
          </w:p>
        </w:tc>
        <w:tc>
          <w:tcPr>
            <w:tcW w:w="3330" w:type="dxa"/>
            <w:vAlign w:val="center"/>
          </w:tcPr>
          <w:p>
            <w:pPr>
              <w:pStyle w:val="2"/>
              <w:widowControl w:val="0"/>
              <w:tabs>
                <w:tab w:val="left" w:pos="362"/>
              </w:tabs>
              <w:spacing w:after="0"/>
              <w:ind w:firstLine="0" w:firstLineChars="0"/>
              <w:jc w:val="both"/>
              <w:rPr>
                <w:rFonts w:hint="eastAsia"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eastAsia="zh-CN"/>
              </w:rPr>
              <w:t>每千人口拥有</w:t>
            </w:r>
            <w:r>
              <w:rPr>
                <w:rFonts w:hint="eastAsia" w:ascii="Times New Roman" w:hAnsi="Times New Roman" w:eastAsia="仿宋_GB2312" w:cs="Times New Roman"/>
                <w:sz w:val="21"/>
                <w:szCs w:val="21"/>
                <w:lang w:val="en-US" w:eastAsia="zh-CN"/>
              </w:rPr>
              <w:t>3岁以下婴幼儿托位数</w:t>
            </w:r>
          </w:p>
        </w:tc>
        <w:tc>
          <w:tcPr>
            <w:tcW w:w="945"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eastAsia="zh-CN"/>
              </w:rPr>
              <w:t>个</w:t>
            </w:r>
          </w:p>
        </w:tc>
        <w:tc>
          <w:tcPr>
            <w:tcW w:w="93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0.28</w:t>
            </w:r>
          </w:p>
        </w:tc>
        <w:tc>
          <w:tcPr>
            <w:tcW w:w="135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黑体" w:cs="Times New Roman"/>
                <w:sz w:val="21"/>
                <w:szCs w:val="21"/>
                <w:lang w:val="en-US" w:eastAsia="zh-CN"/>
              </w:rPr>
              <w:t>[0.28]</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18</w:t>
            </w:r>
          </w:p>
        </w:tc>
        <w:tc>
          <w:tcPr>
            <w:tcW w:w="3330" w:type="dxa"/>
            <w:vAlign w:val="center"/>
          </w:tcPr>
          <w:p>
            <w:pPr>
              <w:pStyle w:val="2"/>
              <w:widowControl w:val="0"/>
              <w:tabs>
                <w:tab w:val="left" w:pos="362"/>
              </w:tabs>
              <w:spacing w:after="0"/>
              <w:ind w:firstLine="0" w:firstLineChars="0"/>
              <w:jc w:val="both"/>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人均预期寿命</w:t>
            </w:r>
          </w:p>
        </w:tc>
        <w:tc>
          <w:tcPr>
            <w:tcW w:w="945"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岁</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78.45</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79.66</w:t>
            </w:r>
          </w:p>
        </w:tc>
        <w:tc>
          <w:tcPr>
            <w:tcW w:w="135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黑体" w:cs="Times New Roman"/>
                <w:sz w:val="21"/>
                <w:szCs w:val="21"/>
                <w:lang w:val="en-US" w:eastAsia="zh-CN"/>
              </w:rPr>
              <w:t>[1.21]</w:t>
            </w:r>
          </w:p>
        </w:tc>
        <w:tc>
          <w:tcPr>
            <w:tcW w:w="90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restart"/>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b/>
                <w:bCs/>
                <w:sz w:val="21"/>
                <w:szCs w:val="21"/>
                <w:lang w:eastAsia="zh-CN"/>
              </w:rPr>
              <w:t>绿色发展</w:t>
            </w: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规上工业增加值能耗降幅</w:t>
            </w:r>
          </w:p>
        </w:tc>
        <w:tc>
          <w:tcPr>
            <w:tcW w:w="945" w:type="dxa"/>
            <w:vAlign w:val="center"/>
          </w:tcPr>
          <w:p>
            <w:pPr>
              <w:widowControl w:val="0"/>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8.54</w:t>
            </w:r>
          </w:p>
        </w:tc>
        <w:tc>
          <w:tcPr>
            <w:tcW w:w="2310"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完成上级下达指标</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单位GDP二氧化碳排放降幅</w:t>
            </w:r>
          </w:p>
        </w:tc>
        <w:tc>
          <w:tcPr>
            <w:tcW w:w="945" w:type="dxa"/>
            <w:vAlign w:val="center"/>
          </w:tcPr>
          <w:p>
            <w:pPr>
              <w:widowControl w:val="0"/>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完成上级目标</w:t>
            </w:r>
          </w:p>
        </w:tc>
        <w:tc>
          <w:tcPr>
            <w:tcW w:w="2310"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完成上级下达指标</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480" w:type="dxa"/>
            <w:vAlign w:val="center"/>
          </w:tcPr>
          <w:p>
            <w:pPr>
              <w:pStyle w:val="2"/>
              <w:widowControl w:val="0"/>
              <w:tabs>
                <w:tab w:val="left" w:pos="362"/>
              </w:tabs>
              <w:spacing w:after="0"/>
              <w:ind w:firstLine="0" w:firstLineChars="0"/>
              <w:jc w:val="both"/>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城市空气质量优良天数比率</w:t>
            </w:r>
          </w:p>
        </w:tc>
        <w:tc>
          <w:tcPr>
            <w:tcW w:w="945" w:type="dxa"/>
            <w:vAlign w:val="center"/>
          </w:tcPr>
          <w:p>
            <w:pPr>
              <w:widowControl w:val="0"/>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99.2</w:t>
            </w:r>
          </w:p>
        </w:tc>
        <w:tc>
          <w:tcPr>
            <w:tcW w:w="2310"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完成上级下达指标</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地表水达到或好于Ⅲ类水体比例</w:t>
            </w:r>
          </w:p>
        </w:tc>
        <w:tc>
          <w:tcPr>
            <w:tcW w:w="945" w:type="dxa"/>
            <w:vAlign w:val="center"/>
          </w:tcPr>
          <w:p>
            <w:pPr>
              <w:widowControl w:val="0"/>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91.7</w:t>
            </w:r>
          </w:p>
        </w:tc>
        <w:tc>
          <w:tcPr>
            <w:tcW w:w="2310"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完成上级下达指标</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森林覆盖率</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52.7</w:t>
            </w:r>
          </w:p>
        </w:tc>
        <w:tc>
          <w:tcPr>
            <w:tcW w:w="2310" w:type="dxa"/>
            <w:gridSpan w:val="2"/>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完成上级下达指标</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24</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耕地保有量</w:t>
            </w:r>
          </w:p>
        </w:tc>
        <w:tc>
          <w:tcPr>
            <w:tcW w:w="945"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万亩</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45.07</w:t>
            </w:r>
          </w:p>
        </w:tc>
        <w:tc>
          <w:tcPr>
            <w:tcW w:w="2310" w:type="dxa"/>
            <w:gridSpan w:val="2"/>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eastAsia="zh-CN"/>
              </w:rPr>
              <w:t>完成上级下达指标</w:t>
            </w:r>
          </w:p>
        </w:tc>
        <w:tc>
          <w:tcPr>
            <w:tcW w:w="90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val="en-US" w:eastAsia="zh-CN" w:bidi="ar-SA"/>
              </w:rPr>
            </w:pPr>
            <w:r>
              <w:rPr>
                <w:rFonts w:hint="eastAsia" w:ascii="Times New Roman" w:hAnsi="Times New Roman" w:eastAsia="仿宋_GB2312" w:cs="Times New Roman"/>
                <w:sz w:val="21"/>
                <w:szCs w:val="21"/>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18"/>
                <w:szCs w:val="18"/>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25</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PM2.5平均浓度</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ug/m³</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w:t>
            </w:r>
          </w:p>
        </w:tc>
        <w:tc>
          <w:tcPr>
            <w:tcW w:w="2310" w:type="dxa"/>
            <w:gridSpan w:val="2"/>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完成上级下达指标</w:t>
            </w:r>
          </w:p>
        </w:tc>
        <w:tc>
          <w:tcPr>
            <w:tcW w:w="90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restart"/>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安全保障</w:t>
            </w: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26</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粮食综合生产能力</w:t>
            </w:r>
          </w:p>
        </w:tc>
        <w:tc>
          <w:tcPr>
            <w:tcW w:w="945"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万吨</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15.39</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15.46</w:t>
            </w:r>
          </w:p>
        </w:tc>
        <w:tc>
          <w:tcPr>
            <w:tcW w:w="135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黑体" w:cs="Times New Roman"/>
                <w:sz w:val="21"/>
                <w:szCs w:val="21"/>
                <w:lang w:val="en-US" w:eastAsia="zh-CN"/>
              </w:rPr>
              <w:t>[0.07]</w:t>
            </w:r>
          </w:p>
        </w:tc>
        <w:tc>
          <w:tcPr>
            <w:tcW w:w="90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88" w:type="dxa"/>
            <w:vMerge w:val="continue"/>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p>
        </w:tc>
        <w:tc>
          <w:tcPr>
            <w:tcW w:w="48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27</w:t>
            </w:r>
          </w:p>
        </w:tc>
        <w:tc>
          <w:tcPr>
            <w:tcW w:w="3330" w:type="dxa"/>
            <w:vAlign w:val="center"/>
          </w:tcPr>
          <w:p>
            <w:pPr>
              <w:pStyle w:val="2"/>
              <w:widowControl w:val="0"/>
              <w:tabs>
                <w:tab w:val="left" w:pos="362"/>
              </w:tabs>
              <w:spacing w:after="0"/>
              <w:ind w:firstLine="0" w:firstLineChars="0"/>
              <w:jc w:val="both"/>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能源综合生产能力</w:t>
            </w:r>
          </w:p>
        </w:tc>
        <w:tc>
          <w:tcPr>
            <w:tcW w:w="945"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亿吨</w:t>
            </w:r>
          </w:p>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标准煤</w:t>
            </w:r>
          </w:p>
        </w:tc>
        <w:tc>
          <w:tcPr>
            <w:tcW w:w="93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0.027</w:t>
            </w:r>
          </w:p>
        </w:tc>
        <w:tc>
          <w:tcPr>
            <w:tcW w:w="960" w:type="dxa"/>
            <w:vAlign w:val="center"/>
          </w:tcPr>
          <w:p>
            <w:pPr>
              <w:pStyle w:val="2"/>
              <w:widowControl w:val="0"/>
              <w:tabs>
                <w:tab w:val="left" w:pos="362"/>
              </w:tabs>
              <w:spacing w:after="0"/>
              <w:ind w:firstLine="0" w:firstLineChars="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0.03</w:t>
            </w:r>
          </w:p>
        </w:tc>
        <w:tc>
          <w:tcPr>
            <w:tcW w:w="1350" w:type="dxa"/>
            <w:vAlign w:val="center"/>
          </w:tcPr>
          <w:p>
            <w:pPr>
              <w:pStyle w:val="2"/>
              <w:widowControl w:val="0"/>
              <w:tabs>
                <w:tab w:val="left" w:pos="362"/>
              </w:tabs>
              <w:spacing w:after="0"/>
              <w:ind w:firstLine="0" w:firstLineChars="0"/>
              <w:jc w:val="center"/>
              <w:rPr>
                <w:rFonts w:ascii="Times New Roman" w:hAnsi="Times New Roman" w:eastAsia="仿宋_GB2312" w:cs="Times New Roman"/>
                <w:sz w:val="21"/>
                <w:szCs w:val="21"/>
              </w:rPr>
            </w:pPr>
            <w:r>
              <w:rPr>
                <w:rFonts w:hint="eastAsia" w:ascii="Times New Roman" w:hAnsi="Times New Roman" w:eastAsia="黑体" w:cs="Times New Roman"/>
                <w:sz w:val="21"/>
                <w:szCs w:val="21"/>
                <w:lang w:val="en-US" w:eastAsia="zh-CN"/>
              </w:rPr>
              <w:t>[0.003]</w:t>
            </w:r>
          </w:p>
        </w:tc>
        <w:tc>
          <w:tcPr>
            <w:tcW w:w="900" w:type="dxa"/>
            <w:vAlign w:val="center"/>
          </w:tcPr>
          <w:p>
            <w:pPr>
              <w:pStyle w:val="2"/>
              <w:widowControl w:val="0"/>
              <w:tabs>
                <w:tab w:val="left" w:pos="362"/>
              </w:tabs>
              <w:spacing w:after="0"/>
              <w:ind w:firstLine="0" w:firstLineChars="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约束性</w:t>
            </w:r>
          </w:p>
        </w:tc>
      </w:tr>
    </w:tbl>
    <w:p>
      <w:pPr>
        <w:widowControl w:val="0"/>
        <w:adjustRightInd/>
        <w:snapToGrid/>
        <w:spacing w:beforeLines="50" w:afterLines="50" w:line="620" w:lineRule="exact"/>
        <w:ind w:firstLine="0" w:firstLineChars="0"/>
        <w:jc w:val="both"/>
        <w:outlineLvl w:val="1"/>
        <w:rPr>
          <w:rFonts w:hint="eastAsia" w:ascii="仿宋_GB2312" w:hAnsi="仿宋_GB2312" w:eastAsia="仿宋_GB2312" w:cs="仿宋_GB2312"/>
          <w:bCs/>
          <w:sz w:val="28"/>
          <w:szCs w:val="28"/>
          <w:lang w:val="en-US" w:eastAsia="zh-CN"/>
        </w:rPr>
      </w:pPr>
      <w:bookmarkStart w:id="197" w:name="_Toc9087"/>
      <w:r>
        <w:rPr>
          <w:rFonts w:hint="eastAsia" w:ascii="仿宋_GB2312" w:hAnsi="仿宋_GB2312" w:eastAsia="仿宋_GB2312" w:cs="仿宋_GB2312"/>
          <w:bCs/>
          <w:sz w:val="28"/>
          <w:szCs w:val="28"/>
          <w:lang w:eastAsia="zh-CN"/>
        </w:rPr>
        <w:t>注：</w:t>
      </w:r>
      <w:r>
        <w:rPr>
          <w:rFonts w:hint="eastAsia" w:ascii="仿宋_GB2312" w:hAnsi="仿宋_GB2312" w:eastAsia="仿宋_GB2312" w:cs="仿宋_GB2312"/>
          <w:bCs/>
          <w:sz w:val="28"/>
          <w:szCs w:val="28"/>
          <w:lang w:val="en-US" w:eastAsia="zh-CN"/>
        </w:rPr>
        <w:t>2020年为预计数或快报数，空缺的待统计；带</w:t>
      </w:r>
      <w:r>
        <w:rPr>
          <w:rFonts w:hint="eastAsia" w:ascii="仿宋_GB2312" w:hAnsi="仿宋_GB2312" w:eastAsia="仿宋_GB2312" w:cs="仿宋_GB2312"/>
          <w:sz w:val="28"/>
          <w:szCs w:val="28"/>
          <w:lang w:val="en-US" w:eastAsia="zh-CN"/>
        </w:rPr>
        <w:t>[ ]的数据为五年累计数。</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 xml:space="preserve">第五节  </w:t>
      </w:r>
      <w:bookmarkEnd w:id="176"/>
      <w:bookmarkEnd w:id="177"/>
      <w:bookmarkEnd w:id="178"/>
      <w:r>
        <w:rPr>
          <w:rFonts w:ascii="Times New Roman" w:hAnsi="Times New Roman" w:eastAsia="方正黑体简体" w:cs="Times New Roman"/>
          <w:bCs/>
          <w:sz w:val="32"/>
          <w:szCs w:val="32"/>
        </w:rPr>
        <w:t>空间布局</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widowControl w:val="0"/>
        <w:spacing w:line="600" w:lineRule="exact"/>
        <w:ind w:firstLine="640" w:firstLineChars="200"/>
        <w:jc w:val="both"/>
        <w:rPr>
          <w:rFonts w:ascii="Times New Roman" w:hAnsi="Times New Roman" w:eastAsia="方正仿宋简体" w:cs="Times New Roman"/>
          <w:bCs/>
          <w:color w:val="0D0D0D"/>
          <w:sz w:val="32"/>
          <w:szCs w:val="32"/>
        </w:rPr>
      </w:pPr>
      <w:bookmarkStart w:id="198" w:name="_Toc27820"/>
      <w:bookmarkStart w:id="199" w:name="_Toc21876"/>
      <w:bookmarkStart w:id="200" w:name="_Toc14194"/>
      <w:bookmarkStart w:id="201" w:name="_Toc22227"/>
      <w:r>
        <w:rPr>
          <w:rFonts w:hint="eastAsia" w:ascii="Times New Roman" w:hAnsi="Times New Roman" w:eastAsia="方正仿宋简体" w:cs="Times New Roman"/>
          <w:bCs/>
          <w:color w:val="0D0D0D"/>
          <w:sz w:val="32"/>
          <w:szCs w:val="32"/>
          <w:lang w:val="en-US" w:eastAsia="zh-CN"/>
        </w:rPr>
        <w:t>主动</w:t>
      </w:r>
      <w:r>
        <w:rPr>
          <w:rFonts w:ascii="Times New Roman" w:hAnsi="Times New Roman" w:eastAsia="方正仿宋简体" w:cs="Times New Roman"/>
          <w:bCs/>
          <w:color w:val="0D0D0D"/>
          <w:sz w:val="32"/>
          <w:szCs w:val="32"/>
        </w:rPr>
        <w:t>融入泉州市“跨江发展、跨域融合”</w:t>
      </w:r>
      <w:r>
        <w:rPr>
          <w:rFonts w:hint="eastAsia" w:ascii="Times New Roman" w:hAnsi="Times New Roman" w:eastAsia="方正仿宋简体" w:cs="Times New Roman"/>
          <w:bCs/>
          <w:color w:val="0D0D0D"/>
          <w:sz w:val="32"/>
          <w:szCs w:val="32"/>
          <w:lang w:val="en-US" w:eastAsia="zh-CN"/>
        </w:rPr>
        <w:t>战略</w:t>
      </w:r>
      <w:r>
        <w:rPr>
          <w:rFonts w:ascii="Times New Roman" w:hAnsi="Times New Roman" w:eastAsia="方正仿宋简体" w:cs="Times New Roman"/>
          <w:bCs/>
          <w:color w:val="0D0D0D"/>
          <w:sz w:val="32"/>
          <w:szCs w:val="32"/>
        </w:rPr>
        <w:t>，深化“环湾、拥海、连江、合群”</w:t>
      </w:r>
      <w:r>
        <w:rPr>
          <w:rFonts w:hint="eastAsia" w:ascii="Times New Roman" w:hAnsi="Times New Roman" w:eastAsia="方正仿宋简体" w:cs="Times New Roman"/>
          <w:bCs/>
          <w:color w:val="0D0D0D"/>
          <w:sz w:val="32"/>
          <w:szCs w:val="32"/>
          <w:lang w:val="en-US" w:eastAsia="zh-CN"/>
        </w:rPr>
        <w:t>发展</w:t>
      </w:r>
      <w:r>
        <w:rPr>
          <w:rFonts w:ascii="Times New Roman" w:hAnsi="Times New Roman" w:eastAsia="方正仿宋简体" w:cs="Times New Roman"/>
          <w:bCs/>
          <w:color w:val="0D0D0D"/>
          <w:sz w:val="32"/>
          <w:szCs w:val="32"/>
        </w:rPr>
        <w:t>，构建“三城双轴三带”空间新格局，筑牢“山水林田湖海”的自然生态本底，</w:t>
      </w:r>
      <w:r>
        <w:rPr>
          <w:rFonts w:hint="eastAsia" w:ascii="Times New Roman" w:hAnsi="Times New Roman" w:eastAsia="方正仿宋简体" w:cs="Times New Roman"/>
          <w:bCs/>
          <w:color w:val="0D0D0D"/>
          <w:sz w:val="32"/>
          <w:szCs w:val="32"/>
          <w:lang w:val="en-US" w:eastAsia="zh-CN"/>
        </w:rPr>
        <w:t>强化</w:t>
      </w:r>
      <w:r>
        <w:rPr>
          <w:rFonts w:ascii="Times New Roman" w:hAnsi="Times New Roman" w:eastAsia="方正仿宋简体" w:cs="Times New Roman"/>
          <w:bCs/>
          <w:color w:val="0D0D0D"/>
          <w:sz w:val="32"/>
          <w:szCs w:val="32"/>
        </w:rPr>
        <w:t>“东聚西保”，构建“一屏多廊”保护开发体系。</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一、完善空间管控机制</w:t>
      </w:r>
      <w:bookmarkEnd w:id="198"/>
      <w:bookmarkEnd w:id="199"/>
      <w:bookmarkEnd w:id="200"/>
      <w:bookmarkEnd w:id="201"/>
      <w:r>
        <w:rPr>
          <w:rFonts w:ascii="Times New Roman" w:hAnsi="Times New Roman" w:eastAsia="方正楷体简体" w:cs="Times New Roman"/>
          <w:b/>
          <w:sz w:val="32"/>
          <w:szCs w:val="32"/>
        </w:rPr>
        <w:t>。</w:t>
      </w:r>
      <w:r>
        <w:rPr>
          <w:rFonts w:ascii="Times New Roman" w:hAnsi="Times New Roman" w:eastAsia="方正仿宋简体" w:cs="Times New Roman"/>
          <w:bCs/>
          <w:color w:val="0D0D0D"/>
          <w:sz w:val="32"/>
          <w:szCs w:val="32"/>
        </w:rPr>
        <w:t>健全规划综合管理体系，深化“多规合一”，加强重点地域的城市设计，编制实施《南安市国土空间总体规划（2020-2035）》，到2025年基本形成以国土空间规划为基础、以统一用途管制为手段的国土空间开发保护制度。完善产业用地市场供应体系，控制国土开发强度，定总量、定边界、定结构，健全城乡一体的空间规划管治制度，实施亩产效益综合评价，建立“战略留白用地”制度，推进工业企业退城入园、转型升级。强化底线思维，守住生态保护红线、永久基本农田、城镇开发边界三条控制线，形成科学适度有序的国土空间布局体系，确保“永续”发展。</w:t>
      </w:r>
    </w:p>
    <w:p>
      <w:pPr>
        <w:widowControl w:val="0"/>
        <w:adjustRightInd/>
        <w:snapToGrid/>
        <w:spacing w:line="600" w:lineRule="exact"/>
        <w:ind w:firstLine="643" w:firstLineChars="200"/>
        <w:jc w:val="both"/>
        <w:rPr>
          <w:rFonts w:ascii="Times New Roman" w:hAnsi="Times New Roman" w:eastAsia="方正仿宋简体" w:cs="Times New Roman"/>
          <w:bCs/>
          <w:color w:val="0D0D0D"/>
          <w:sz w:val="32"/>
          <w:szCs w:val="32"/>
        </w:rPr>
      </w:pPr>
      <w:bookmarkStart w:id="202" w:name="_Toc7009"/>
      <w:bookmarkStart w:id="203" w:name="_Toc8536"/>
      <w:bookmarkStart w:id="204" w:name="_Toc5856"/>
      <w:bookmarkStart w:id="205" w:name="_Toc5805"/>
      <w:r>
        <w:rPr>
          <w:rFonts w:ascii="Times New Roman" w:hAnsi="Times New Roman" w:eastAsia="方正楷体简体" w:cs="Times New Roman"/>
          <w:b/>
          <w:sz w:val="32"/>
          <w:szCs w:val="32"/>
        </w:rPr>
        <w:t>二、优化国土空间开发保护格局。</w:t>
      </w:r>
      <w:r>
        <w:rPr>
          <w:rFonts w:ascii="Times New Roman" w:hAnsi="Times New Roman" w:eastAsia="方正仿宋简体" w:cs="Times New Roman"/>
          <w:b/>
          <w:sz w:val="32"/>
          <w:szCs w:val="32"/>
        </w:rPr>
        <w:t>坚持保护优先。</w:t>
      </w:r>
      <w:r>
        <w:rPr>
          <w:rFonts w:ascii="Times New Roman" w:hAnsi="Times New Roman" w:eastAsia="方正仿宋简体" w:cs="Times New Roman"/>
          <w:bCs/>
          <w:color w:val="0D0D0D"/>
          <w:sz w:val="32"/>
          <w:szCs w:val="32"/>
        </w:rPr>
        <w:t>以自然山水为本底，构建“一屏多廊”的生态整体网架。以清源山、山美水库、罗山、五台山等自然保护地为重点，加强生态综合治理，强化西南蜿蜒至东北的云顶-天柱-阳平山生态连绵带保护，构架区域生态安全屏障；以东溪、西溪等十二条水系廊道为主骨架，衔接城市绿地、森林、耕地等自然生态要素，构建健康、完整、连续的绿色空间网络，维护生态安全和生物多样性。</w:t>
      </w:r>
      <w:r>
        <w:rPr>
          <w:rFonts w:ascii="Times New Roman" w:hAnsi="Times New Roman" w:eastAsia="方正仿宋简体" w:cs="Times New Roman"/>
          <w:b/>
          <w:sz w:val="32"/>
          <w:szCs w:val="32"/>
        </w:rPr>
        <w:t>优化空间布局。</w:t>
      </w:r>
      <w:r>
        <w:rPr>
          <w:rFonts w:ascii="Times New Roman" w:hAnsi="Times New Roman" w:eastAsia="方正仿宋简体" w:cs="Times New Roman"/>
          <w:bCs/>
          <w:color w:val="0D0D0D"/>
          <w:sz w:val="32"/>
          <w:szCs w:val="32"/>
        </w:rPr>
        <w:t>拓展“三城双轴三带”</w:t>
      </w:r>
      <w:r>
        <w:rPr>
          <w:rFonts w:hint="eastAsia" w:ascii="Times New Roman" w:hAnsi="Times New Roman" w:eastAsia="方正仿宋简体" w:cs="Times New Roman"/>
          <w:bCs/>
          <w:color w:val="0D0D0D"/>
          <w:sz w:val="32"/>
          <w:szCs w:val="32"/>
          <w:lang w:eastAsia="zh-CN"/>
        </w:rPr>
        <w:t>城镇发展</w:t>
      </w:r>
      <w:r>
        <w:rPr>
          <w:rFonts w:ascii="Times New Roman" w:hAnsi="Times New Roman" w:eastAsia="方正仿宋简体" w:cs="Times New Roman"/>
          <w:bCs/>
          <w:color w:val="0D0D0D"/>
          <w:sz w:val="32"/>
          <w:szCs w:val="32"/>
        </w:rPr>
        <w:t>新格局，打造区域发展新增长极。</w:t>
      </w:r>
      <w:r>
        <w:rPr>
          <w:rFonts w:ascii="Times New Roman" w:hAnsi="Times New Roman" w:eastAsia="方正仿宋简体" w:cs="Times New Roman"/>
          <w:b/>
          <w:sz w:val="32"/>
          <w:szCs w:val="32"/>
        </w:rPr>
        <w:t>三城：中心城区</w:t>
      </w:r>
      <w:r>
        <w:rPr>
          <w:rFonts w:ascii="Times New Roman" w:hAnsi="Times New Roman" w:eastAsia="方正仿宋简体" w:cs="Times New Roman"/>
          <w:bCs/>
          <w:color w:val="0D0D0D"/>
          <w:sz w:val="32"/>
          <w:szCs w:val="32"/>
        </w:rPr>
        <w:t>持续推进五大中心、智谷、闽西南国际物流园、高端装备智造园等片区建设，打造集约紧凑的城市格局，形成城市生态连绵带，到2025年建成区面积达</w:t>
      </w:r>
      <w:r>
        <w:rPr>
          <w:rFonts w:hint="eastAsia" w:ascii="Times New Roman" w:hAnsi="Times New Roman" w:eastAsia="方正仿宋简体" w:cs="Times New Roman"/>
          <w:bCs/>
          <w:color w:val="0D0D0D"/>
          <w:sz w:val="32"/>
          <w:szCs w:val="32"/>
          <w:lang w:val="en-US" w:eastAsia="zh-CN"/>
        </w:rPr>
        <w:t>50</w:t>
      </w:r>
      <w:r>
        <w:rPr>
          <w:rFonts w:ascii="Times New Roman" w:hAnsi="Times New Roman" w:eastAsia="方正仿宋简体" w:cs="Times New Roman"/>
          <w:bCs/>
          <w:color w:val="0D0D0D"/>
          <w:sz w:val="32"/>
          <w:szCs w:val="32"/>
        </w:rPr>
        <w:t>平方公里、人口</w:t>
      </w:r>
      <w:r>
        <w:rPr>
          <w:rFonts w:hint="eastAsia" w:ascii="Times New Roman" w:hAnsi="Times New Roman" w:eastAsia="方正仿宋简体" w:cs="Times New Roman"/>
          <w:bCs/>
          <w:color w:val="0D0D0D"/>
          <w:sz w:val="32"/>
          <w:szCs w:val="32"/>
          <w:lang w:val="en-US" w:eastAsia="zh-CN"/>
        </w:rPr>
        <w:t>45</w:t>
      </w:r>
      <w:r>
        <w:rPr>
          <w:rFonts w:ascii="Times New Roman" w:hAnsi="Times New Roman" w:eastAsia="方正仿宋简体" w:cs="Times New Roman"/>
          <w:bCs/>
          <w:color w:val="0D0D0D"/>
          <w:sz w:val="32"/>
          <w:szCs w:val="32"/>
        </w:rPr>
        <w:t>万。</w:t>
      </w:r>
      <w:r>
        <w:rPr>
          <w:rFonts w:ascii="Times New Roman" w:hAnsi="Times New Roman" w:eastAsia="方正仿宋简体" w:cs="Times New Roman"/>
          <w:b/>
          <w:sz w:val="32"/>
          <w:szCs w:val="32"/>
        </w:rPr>
        <w:t>南翼新城</w:t>
      </w:r>
      <w:r>
        <w:rPr>
          <w:rFonts w:ascii="Times New Roman" w:hAnsi="Times New Roman" w:eastAsia="方正仿宋简体" w:cs="Times New Roman"/>
          <w:bCs/>
          <w:color w:val="0D0D0D"/>
          <w:sz w:val="32"/>
          <w:szCs w:val="32"/>
        </w:rPr>
        <w:t>凸显闽西南协同发展前沿地带，融入泉州市大规划格局并积极对接厦门湾，加强与厦门翔安、晋江安海-金井一带的协同发展，以空港海港、芯谷为引领，高水平谋划从产业城向科技城、未来城的升级路径，推进安海湾滨海轴线、水头高速出口片区、芦青商务区、芯谷等重要节点，打造国际石都、滨海生态新城，到2025年建成区面积达</w:t>
      </w:r>
      <w:r>
        <w:rPr>
          <w:rFonts w:hint="eastAsia" w:ascii="Times New Roman" w:hAnsi="Times New Roman" w:eastAsia="方正仿宋简体" w:cs="Times New Roman"/>
          <w:bCs/>
          <w:color w:val="0D0D0D"/>
          <w:sz w:val="32"/>
          <w:szCs w:val="32"/>
          <w:lang w:val="en-US" w:eastAsia="zh-CN"/>
        </w:rPr>
        <w:t>55</w:t>
      </w:r>
      <w:r>
        <w:rPr>
          <w:rFonts w:ascii="Times New Roman" w:hAnsi="Times New Roman" w:eastAsia="方正仿宋简体" w:cs="Times New Roman"/>
          <w:bCs/>
          <w:color w:val="0D0D0D"/>
          <w:sz w:val="32"/>
          <w:szCs w:val="32"/>
        </w:rPr>
        <w:t>平方公里、人口</w:t>
      </w:r>
      <w:r>
        <w:rPr>
          <w:rFonts w:hint="eastAsia" w:ascii="Times New Roman" w:hAnsi="Times New Roman" w:eastAsia="方正仿宋简体" w:cs="Times New Roman"/>
          <w:bCs/>
          <w:color w:val="0D0D0D"/>
          <w:sz w:val="32"/>
          <w:szCs w:val="32"/>
          <w:lang w:val="en-US" w:eastAsia="zh-CN"/>
        </w:rPr>
        <w:t>4</w:t>
      </w:r>
      <w:r>
        <w:rPr>
          <w:rFonts w:ascii="Times New Roman" w:hAnsi="Times New Roman" w:eastAsia="方正仿宋简体" w:cs="Times New Roman"/>
          <w:bCs/>
          <w:color w:val="0D0D0D"/>
          <w:sz w:val="32"/>
          <w:szCs w:val="32"/>
        </w:rPr>
        <w:t>5万。</w:t>
      </w:r>
      <w:r>
        <w:rPr>
          <w:rFonts w:ascii="Times New Roman" w:hAnsi="Times New Roman" w:eastAsia="方正仿宋简体" w:cs="Times New Roman"/>
          <w:b/>
          <w:sz w:val="32"/>
          <w:szCs w:val="32"/>
        </w:rPr>
        <w:t>北部新城</w:t>
      </w:r>
      <w:r>
        <w:rPr>
          <w:rFonts w:ascii="Times New Roman" w:hAnsi="Times New Roman" w:eastAsia="方正仿宋简体" w:cs="Times New Roman"/>
          <w:bCs/>
          <w:color w:val="0D0D0D"/>
          <w:sz w:val="32"/>
          <w:szCs w:val="32"/>
        </w:rPr>
        <w:t>以建成厦漳泉都市区健康休闲后花园为导向，推进康美—雪峰—洪濑、梅山—罗东—</w:t>
      </w:r>
      <w:r>
        <w:rPr>
          <w:rFonts w:hint="eastAsia" w:ascii="Times New Roman" w:hAnsi="Times New Roman" w:eastAsia="方正仿宋简体" w:cs="Times New Roman"/>
          <w:bCs/>
          <w:color w:val="0D0D0D"/>
          <w:sz w:val="32"/>
          <w:szCs w:val="32"/>
          <w:lang w:eastAsia="zh-CN"/>
        </w:rPr>
        <w:t>九都</w:t>
      </w:r>
      <w:r>
        <w:rPr>
          <w:rFonts w:ascii="Times New Roman" w:hAnsi="Times New Roman" w:eastAsia="方正仿宋简体" w:cs="Times New Roman"/>
          <w:bCs/>
          <w:color w:val="0D0D0D"/>
          <w:sz w:val="32"/>
          <w:szCs w:val="32"/>
        </w:rPr>
        <w:t>、诗山—金淘—码头三个城镇组团特色化发展，打造集文化教育、医疗卫生、休闲旅游为核心的北部中心城市圈、科教圈和旅游圈，到2025年建成区面积达</w:t>
      </w:r>
      <w:r>
        <w:rPr>
          <w:rFonts w:hint="eastAsia" w:ascii="Times New Roman" w:hAnsi="Times New Roman" w:eastAsia="方正仿宋简体" w:cs="Times New Roman"/>
          <w:bCs/>
          <w:color w:val="0D0D0D"/>
          <w:sz w:val="32"/>
          <w:szCs w:val="32"/>
          <w:lang w:val="en-US" w:eastAsia="zh-CN"/>
        </w:rPr>
        <w:t>2</w:t>
      </w:r>
      <w:r>
        <w:rPr>
          <w:rFonts w:ascii="Times New Roman" w:hAnsi="Times New Roman" w:eastAsia="方正仿宋简体" w:cs="Times New Roman"/>
          <w:bCs/>
          <w:color w:val="0D0D0D"/>
          <w:sz w:val="32"/>
          <w:szCs w:val="32"/>
        </w:rPr>
        <w:t>0平方公里、人口</w:t>
      </w:r>
      <w:r>
        <w:rPr>
          <w:rFonts w:hint="eastAsia" w:ascii="Times New Roman" w:hAnsi="Times New Roman" w:eastAsia="方正仿宋简体" w:cs="Times New Roman"/>
          <w:bCs/>
          <w:color w:val="0D0D0D"/>
          <w:sz w:val="32"/>
          <w:szCs w:val="32"/>
          <w:lang w:val="en-US" w:eastAsia="zh-CN"/>
        </w:rPr>
        <w:t>18</w:t>
      </w:r>
      <w:r>
        <w:rPr>
          <w:rFonts w:ascii="Times New Roman" w:hAnsi="Times New Roman" w:eastAsia="方正仿宋简体" w:cs="Times New Roman"/>
          <w:bCs/>
          <w:color w:val="0D0D0D"/>
          <w:sz w:val="32"/>
          <w:szCs w:val="32"/>
        </w:rPr>
        <w:t>万。</w:t>
      </w:r>
      <w:r>
        <w:rPr>
          <w:rFonts w:ascii="Times New Roman" w:hAnsi="Times New Roman" w:eastAsia="方正仿宋简体" w:cs="Times New Roman"/>
          <w:b/>
          <w:sz w:val="32"/>
          <w:szCs w:val="32"/>
        </w:rPr>
        <w:t>双轴：西溪发展轴</w:t>
      </w:r>
      <w:r>
        <w:rPr>
          <w:rFonts w:ascii="Times New Roman" w:hAnsi="Times New Roman" w:eastAsia="方正仿宋简体" w:cs="Times New Roman"/>
          <w:bCs/>
          <w:color w:val="0D0D0D"/>
          <w:sz w:val="32"/>
          <w:szCs w:val="32"/>
        </w:rPr>
        <w:t>依托S308、泉南高速等区域交通干线，以中心城区为核心，沿西溪流域，东联泉州主城、西联安溪，带动沿线丰州、霞美、仑苍、英都、东田等城镇发展，打造泉州向西辐射重要通道。</w:t>
      </w:r>
      <w:r>
        <w:rPr>
          <w:rFonts w:ascii="Times New Roman" w:hAnsi="Times New Roman" w:eastAsia="方正仿宋简体" w:cs="Times New Roman"/>
          <w:b/>
          <w:sz w:val="32"/>
          <w:szCs w:val="32"/>
        </w:rPr>
        <w:t>东溪发展轴</w:t>
      </w:r>
      <w:r>
        <w:rPr>
          <w:rFonts w:ascii="Times New Roman" w:hAnsi="Times New Roman" w:eastAsia="方正仿宋简体" w:cs="Times New Roman"/>
          <w:bCs/>
          <w:color w:val="0D0D0D"/>
          <w:sz w:val="32"/>
          <w:szCs w:val="32"/>
        </w:rPr>
        <w:t>依托沈海复线、泉三复线、S307区域交通干线，沿东溪流域，串联康美、洪濑、雪峰、梅山、罗东、诗山、金淘、码头等北部乡镇（</w:t>
      </w:r>
      <w:r>
        <w:rPr>
          <w:rFonts w:hint="eastAsia" w:ascii="Times New Roman" w:hAnsi="Times New Roman" w:eastAsia="方正仿宋简体" w:cs="Times New Roman"/>
          <w:bCs/>
          <w:color w:val="0D0D0D"/>
          <w:sz w:val="32"/>
          <w:szCs w:val="32"/>
          <w:lang w:eastAsia="zh-CN"/>
        </w:rPr>
        <w:t>开发</w:t>
      </w:r>
      <w:r>
        <w:rPr>
          <w:rFonts w:ascii="Times New Roman" w:hAnsi="Times New Roman" w:eastAsia="方正仿宋简体" w:cs="Times New Roman"/>
          <w:bCs/>
          <w:color w:val="0D0D0D"/>
          <w:sz w:val="32"/>
          <w:szCs w:val="32"/>
        </w:rPr>
        <w:t>区），向南对接南安中心城区、向西辐射安溪、德化、永春地区。</w:t>
      </w:r>
      <w:r>
        <w:rPr>
          <w:rFonts w:ascii="Times New Roman" w:hAnsi="Times New Roman" w:eastAsia="方正仿宋简体" w:cs="Times New Roman"/>
          <w:b/>
          <w:sz w:val="32"/>
          <w:szCs w:val="32"/>
        </w:rPr>
        <w:t>三带：北部绿色经济带</w:t>
      </w:r>
      <w:r>
        <w:rPr>
          <w:rFonts w:ascii="Times New Roman" w:hAnsi="Times New Roman" w:eastAsia="方正仿宋简体" w:cs="Times New Roman"/>
          <w:bCs/>
          <w:color w:val="0D0D0D"/>
          <w:sz w:val="32"/>
          <w:szCs w:val="32"/>
        </w:rPr>
        <w:t>以康雪洪组团、梅罗九组团、诗淘码组团为中心，重点发展文化健康、现代农业和无污染轻型工业等绿色新经济。</w:t>
      </w:r>
      <w:r>
        <w:rPr>
          <w:rFonts w:ascii="Times New Roman" w:hAnsi="Times New Roman" w:eastAsia="方正仿宋简体" w:cs="Times New Roman"/>
          <w:b/>
          <w:sz w:val="32"/>
          <w:szCs w:val="32"/>
        </w:rPr>
        <w:t>中部城镇发展带</w:t>
      </w:r>
      <w:r>
        <w:rPr>
          <w:rFonts w:ascii="Times New Roman" w:hAnsi="Times New Roman" w:eastAsia="方正仿宋简体" w:cs="Times New Roman"/>
          <w:bCs/>
          <w:color w:val="0D0D0D"/>
          <w:sz w:val="32"/>
          <w:szCs w:val="32"/>
        </w:rPr>
        <w:t>以水暖厨卫产业集群和机械装备制造产业集群为核心，结合泛家居产业联盟的建设，形成以协作和集聚为特征的产业综合发展带。</w:t>
      </w:r>
      <w:r>
        <w:rPr>
          <w:rFonts w:ascii="Times New Roman" w:hAnsi="Times New Roman" w:eastAsia="方正仿宋简体" w:cs="Times New Roman"/>
          <w:b/>
          <w:sz w:val="32"/>
          <w:szCs w:val="32"/>
        </w:rPr>
        <w:t>南部蓝色经济带</w:t>
      </w:r>
      <w:r>
        <w:rPr>
          <w:rFonts w:ascii="Times New Roman" w:hAnsi="Times New Roman" w:eastAsia="方正仿宋简体" w:cs="Times New Roman"/>
          <w:bCs/>
          <w:color w:val="0D0D0D"/>
          <w:sz w:val="32"/>
          <w:szCs w:val="32"/>
        </w:rPr>
        <w:t>以环石井湾为核心，依托区域沿海发展带，东联泉州、西联厦门产业发展带，重点发展临空临港、高新技术、电子信息、石材等产业，完善生产性服务业，注重战略性产业发展空间预留。</w:t>
      </w:r>
      <w:bookmarkEnd w:id="202"/>
      <w:bookmarkEnd w:id="203"/>
      <w:bookmarkEnd w:id="204"/>
      <w:bookmarkEnd w:id="205"/>
    </w:p>
    <w:p>
      <w:pPr>
        <w:pStyle w:val="17"/>
        <w:widowControl w:val="0"/>
        <w:adjustRightInd/>
        <w:snapToGrid/>
        <w:spacing w:beforeLines="50" w:afterLines="50" w:line="620" w:lineRule="exact"/>
        <w:rPr>
          <w:rFonts w:ascii="Times New Roman" w:hAnsi="Times New Roman" w:eastAsia="方正小标宋简体" w:cs="Times New Roman"/>
          <w:sz w:val="36"/>
          <w:szCs w:val="36"/>
        </w:rPr>
      </w:pPr>
      <w:bookmarkStart w:id="206" w:name="_Toc17337"/>
      <w:bookmarkStart w:id="207" w:name="_Toc17370"/>
      <w:bookmarkStart w:id="208" w:name="_Toc821"/>
      <w:bookmarkStart w:id="209" w:name="_Toc19208"/>
      <w:bookmarkStart w:id="210" w:name="_Toc10846"/>
      <w:bookmarkStart w:id="211" w:name="_Toc23282"/>
      <w:bookmarkStart w:id="212" w:name="_Toc5725"/>
      <w:bookmarkStart w:id="213" w:name="_Toc2664"/>
      <w:bookmarkStart w:id="214" w:name="_Toc8832"/>
      <w:bookmarkStart w:id="215" w:name="_Toc68707639"/>
      <w:bookmarkStart w:id="216" w:name="_Toc30396"/>
      <w:bookmarkStart w:id="217" w:name="_Toc30358"/>
      <w:bookmarkStart w:id="218" w:name="_Toc9004"/>
      <w:bookmarkStart w:id="219" w:name="_Toc11641"/>
      <w:bookmarkStart w:id="220" w:name="_Toc26225"/>
      <w:bookmarkStart w:id="221" w:name="_Toc18425"/>
      <w:bookmarkStart w:id="222" w:name="_Toc26164"/>
      <w:r>
        <w:rPr>
          <w:rFonts w:ascii="Times New Roman" w:hAnsi="Times New Roman" w:eastAsia="方正小标宋简体" w:cs="Times New Roman"/>
          <w:sz w:val="36"/>
          <w:szCs w:val="36"/>
        </w:rPr>
        <w:t>第三章  打造更具竞争力的现代产业体系</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widowControl w:val="0"/>
        <w:adjustRightInd/>
        <w:snapToGrid/>
        <w:spacing w:line="600" w:lineRule="exact"/>
        <w:ind w:firstLine="640" w:firstLineChars="200"/>
        <w:jc w:val="both"/>
        <w:rPr>
          <w:rFonts w:ascii="Times New Roman" w:hAnsi="Times New Roman" w:eastAsia="方正仿宋简体" w:cs="Times New Roman"/>
          <w:bCs/>
          <w:color w:val="0D0D0D"/>
          <w:sz w:val="32"/>
          <w:szCs w:val="32"/>
        </w:rPr>
      </w:pPr>
      <w:bookmarkStart w:id="223" w:name="_Toc1610"/>
      <w:bookmarkStart w:id="224" w:name="_Toc15080"/>
      <w:bookmarkStart w:id="225" w:name="_Toc32138"/>
      <w:bookmarkStart w:id="226" w:name="_Toc21745"/>
      <w:bookmarkStart w:id="227" w:name="_Toc19226"/>
      <w:bookmarkStart w:id="228" w:name="_Toc530"/>
      <w:r>
        <w:rPr>
          <w:rFonts w:ascii="Times New Roman" w:hAnsi="Times New Roman" w:eastAsia="方正仿宋简体" w:cs="Times New Roman"/>
          <w:bCs/>
          <w:color w:val="0D0D0D"/>
          <w:sz w:val="32"/>
          <w:szCs w:val="32"/>
        </w:rPr>
        <w:t>深化供给侧结构性改革，融入制造强国战略，创建国家先进制造业和现代服务业融合发展试点县域，打好产业基础高级化和产业链现代化的攻坚战，打造“一区多园”特色产业园区。</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229" w:name="_Toc25504"/>
      <w:bookmarkStart w:id="230" w:name="_Toc26168"/>
      <w:bookmarkStart w:id="231" w:name="_Toc68707640"/>
      <w:bookmarkStart w:id="232" w:name="_Toc1378"/>
      <w:bookmarkStart w:id="233" w:name="_Toc25902"/>
      <w:bookmarkStart w:id="234" w:name="_Toc17972"/>
      <w:bookmarkStart w:id="235" w:name="_Toc25978"/>
      <w:bookmarkStart w:id="236" w:name="_Toc2215"/>
      <w:bookmarkStart w:id="237" w:name="_Toc11001"/>
      <w:bookmarkStart w:id="238" w:name="_Toc28016"/>
      <w:bookmarkStart w:id="239" w:name="_Toc22899"/>
      <w:bookmarkStart w:id="240" w:name="_Toc13005"/>
      <w:bookmarkStart w:id="241" w:name="_Toc5301"/>
      <w:r>
        <w:rPr>
          <w:rFonts w:ascii="Times New Roman" w:hAnsi="Times New Roman" w:eastAsia="方正黑体简体" w:cs="Times New Roman"/>
          <w:bCs/>
          <w:sz w:val="32"/>
          <w:szCs w:val="32"/>
        </w:rPr>
        <w:t>第一节  五大支柱产业集群</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widowControl w:val="0"/>
        <w:adjustRightInd/>
        <w:snapToGrid/>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实施产业强链、建链、补链工程，做大做强石材陶瓷、水暖厨卫、机械装备、电子信息和日用轻工五大千亿级的先进制造业集群，至2025年工业产值突破5200亿元。</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一、石材陶瓷产业</w:t>
      </w:r>
      <w:r>
        <w:rPr>
          <w:rFonts w:ascii="Times New Roman" w:hAnsi="Times New Roman" w:eastAsia="方正仿宋简体" w:cs="Times New Roman"/>
          <w:bCs/>
          <w:color w:val="0D0D0D"/>
          <w:sz w:val="32"/>
          <w:szCs w:val="32"/>
        </w:rPr>
        <w:t>聚力打造全球石展示体验中心，以水头镇为核心，统筹南翼三镇的石材产业用地，合理布局石材总部商务区、核心展示区、加工集中区和物流配套区，培育壮大石业领军企业。加速市场优势向产业链优势升维，对标世界顶级水准，对接国内工业互联网和5G应用龙头企业，建设石材工业互联网平台，规划建设石材智能园等项目，聚焦产品研发设计、生产工艺升级、时尚品牌推广、应用场景再造、营销渠道延展，推动行业逐步向源头控制、创意设计、展示体验、工程应用、C端销售、结算中心方向延展，巩固南安世界级石材生产、交易、设计、体验中心的地位。提高石粉碎石综合利用，发展石材循环经济。培育设计师和文创工作室，推动产业向石文化、高端运用方向攀升。提升陶瓷企业生产工艺水平，发展智能高压注浆、物料无人装卸、产品施釉磨抛、自动检测分选等系统解决方案，延伸产业链条向研发、文创、生产性服务业转型发展，打造陶瓷区域品牌。至2025年石材陶瓷工业产值达到1400亿元。</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二、水暖厨卫产业</w:t>
      </w:r>
      <w:r>
        <w:rPr>
          <w:rFonts w:ascii="Times New Roman" w:hAnsi="Times New Roman" w:eastAsia="方正仿宋简体" w:cs="Times New Roman"/>
          <w:bCs/>
          <w:color w:val="0D0D0D"/>
          <w:sz w:val="32"/>
          <w:szCs w:val="32"/>
        </w:rPr>
        <w:t>聚力打造全球水暖厨卫产研销中心，做大做强中国水暖城，提升水暖泵阀交易会的影响力和辐射力，以美的智慧科创项目、武夷泛家展贸项目、观音山物流园区为牵引，统筹中西部城镇家居产业用地，引进全球知名家居设计机构和行业公共平台，创建供应链结算平台和泛家居物联创业园，鼓励异地家居家私企业总部回归。结合智能化、健康化趋势，推动行业向整体方案、行业中心、消费引领、全球竞合方向发展。培育产业“雁形梯队”，深化产业协作配套，推动全产业链协同融合发展。至2025年水暖厨卫工业产值达到600亿元。</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三、机械装备产业</w:t>
      </w:r>
      <w:r>
        <w:rPr>
          <w:rFonts w:ascii="Times New Roman" w:hAnsi="Times New Roman" w:eastAsia="方正仿宋简体" w:cs="Times New Roman"/>
          <w:bCs/>
          <w:color w:val="0D0D0D"/>
          <w:sz w:val="32"/>
          <w:szCs w:val="32"/>
        </w:rPr>
        <w:t>聚力打造国家级高端装备制造基地，以共享集团为牵引，育强泉州（南安）高端装备智造园、联东U谷·南安智能制造产业综合体等智能装备产业平台，整合滨江基地、榕桥项目集中区和联十一线周边空间，在做强“四轮一带”的同时，培育壮大装备制造整机产业。发展新型消防装备、智慧消防，拓展石化、电力、城建、海洋工程等领域阀门产品。发展大型机床铸件、特种合金铸件、高强度精密铸件、精密汽配锻件等产业，布局精密铸锻园区、精密加工中心等配套平台。发展高端数控机床、磨床、加工中心等通用设备，提高石材加工、矿山开采、建筑机械、卫生用品等专用设备市场话语权。至2025年机械装备工业产值达到1200亿元。</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四、电子信息产业</w:t>
      </w:r>
      <w:r>
        <w:rPr>
          <w:rFonts w:ascii="Times New Roman" w:hAnsi="Times New Roman" w:eastAsia="方正仿宋简体" w:cs="Times New Roman"/>
          <w:bCs/>
          <w:color w:val="0D0D0D"/>
          <w:sz w:val="32"/>
          <w:szCs w:val="32"/>
        </w:rPr>
        <w:t>聚力打造全国领先的化合物半导体专业基地，以“泉州芯谷”南安分园区为载体，以三安化合物半导体系列项目为龙头，精准招引对接一批补链、强链关联项目，重点引进化合物半导体芯片、外延、衬底生产线，发展半导体、光通信器件、滤波器、微波射频及功率型器件等产业，整合对讲机、安防产业，构建完整的化合物半导体产业集群。依托光电信息产业园，建设集对讲机“模转数”应用、产业研究院、元器件、配件和成品交易、商贸、服务等功能为一体的数字通讯产业平台。至2025年电子信息</w:t>
      </w:r>
      <w:r>
        <w:rPr>
          <w:rFonts w:hint="eastAsia" w:ascii="Times New Roman" w:hAnsi="Times New Roman" w:eastAsia="方正仿宋简体" w:cs="Times New Roman"/>
          <w:bCs/>
          <w:color w:val="0D0D0D"/>
          <w:sz w:val="32"/>
          <w:szCs w:val="32"/>
          <w:lang w:eastAsia="zh-CN"/>
        </w:rPr>
        <w:t>工业</w:t>
      </w:r>
      <w:r>
        <w:rPr>
          <w:rFonts w:ascii="Times New Roman" w:hAnsi="Times New Roman" w:eastAsia="方正仿宋简体" w:cs="Times New Roman"/>
          <w:bCs/>
          <w:color w:val="0D0D0D"/>
          <w:sz w:val="32"/>
          <w:szCs w:val="32"/>
        </w:rPr>
        <w:t>产值达到600亿元。</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五、日用轻工产业</w:t>
      </w:r>
      <w:r>
        <w:rPr>
          <w:rFonts w:ascii="Times New Roman" w:hAnsi="Times New Roman" w:eastAsia="方正仿宋简体" w:cs="Times New Roman"/>
          <w:bCs/>
          <w:color w:val="0D0D0D"/>
          <w:sz w:val="32"/>
          <w:szCs w:val="32"/>
        </w:rPr>
        <w:t>聚力打造全国重要日用品生产基地，以健康、智能为主题，培育壮大一批品牌企业，积极引进国内外高端日用轻工品牌企业，规划建设小微产业园、品牌工业园，融合传统的纺织、鞋服、纸制品、粮油食品、洗涤用品、医用产品等产业，加速从智能制造、绿色制造、设计开发、品类规划、供应能力提效、全供应链数字化可视等领域赋能，持续推动增品种、提品质、创品牌“三品”提升，引导企业走培育品牌、技术升级路线，形成与国际接轨的集产品设计、原材料采购、检测制造、仓储运输、零售批发、订单处理为一体的日用轻工产业集群格局。至2025年日用轻工</w:t>
      </w:r>
      <w:r>
        <w:rPr>
          <w:rFonts w:hint="eastAsia" w:ascii="Times New Roman" w:hAnsi="Times New Roman" w:eastAsia="方正仿宋简体" w:cs="Times New Roman"/>
          <w:bCs/>
          <w:color w:val="0D0D0D"/>
          <w:sz w:val="32"/>
          <w:szCs w:val="32"/>
          <w:lang w:eastAsia="zh-CN"/>
        </w:rPr>
        <w:t>工业</w:t>
      </w:r>
      <w:r>
        <w:rPr>
          <w:rFonts w:ascii="Times New Roman" w:hAnsi="Times New Roman" w:eastAsia="方正仿宋简体" w:cs="Times New Roman"/>
          <w:bCs/>
          <w:color w:val="0D0D0D"/>
          <w:sz w:val="32"/>
          <w:szCs w:val="32"/>
        </w:rPr>
        <w:t>产值达到1400亿元。</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242" w:name="_Toc24604"/>
      <w:bookmarkStart w:id="243" w:name="_Toc10361"/>
      <w:bookmarkStart w:id="244" w:name="_Toc18477"/>
      <w:bookmarkStart w:id="245" w:name="_Toc14798"/>
      <w:bookmarkStart w:id="246" w:name="_Toc10570"/>
      <w:bookmarkStart w:id="247" w:name="_Toc8731"/>
      <w:bookmarkStart w:id="248" w:name="_Toc1868"/>
      <w:bookmarkStart w:id="249" w:name="_Toc1126"/>
      <w:bookmarkStart w:id="250" w:name="_Toc14288"/>
      <w:bookmarkStart w:id="251" w:name="_Toc31889"/>
      <w:bookmarkStart w:id="252" w:name="_Toc4258"/>
      <w:bookmarkStart w:id="253" w:name="_Toc27504"/>
      <w:bookmarkStart w:id="254" w:name="_Toc7677"/>
      <w:bookmarkStart w:id="255" w:name="_Toc13086"/>
      <w:bookmarkStart w:id="256" w:name="_Toc68707641"/>
      <w:bookmarkStart w:id="257" w:name="_Toc14714"/>
      <w:bookmarkStart w:id="258" w:name="_Toc6461"/>
      <w:bookmarkStart w:id="259" w:name="_Toc31084"/>
      <w:r>
        <w:rPr>
          <w:rFonts w:ascii="Times New Roman" w:hAnsi="Times New Roman" w:eastAsia="方正黑体简体" w:cs="Times New Roman"/>
          <w:bCs/>
          <w:sz w:val="32"/>
          <w:szCs w:val="32"/>
        </w:rPr>
        <w:t>第二节  培育战略性新兴产业</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秉承科技创新支撑、重点领域突破，强化科技创新成果产业化，抢占经济和科技竞争制高点，培育战略性新兴产业发展新优势。</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一、高端装备。</w:t>
      </w:r>
      <w:r>
        <w:rPr>
          <w:rFonts w:ascii="Times New Roman" w:hAnsi="Times New Roman" w:eastAsia="方正仿宋简体" w:cs="Times New Roman"/>
          <w:bCs/>
          <w:color w:val="0D0D0D"/>
          <w:sz w:val="32"/>
          <w:szCs w:val="32"/>
        </w:rPr>
        <w:t>发挥传统机械产业基础优势，引进高端数控机床、整装机械、高端阀门等重大新兴装备领域产业项目，开展重大成套设备及数控系统、高端基础件与新型传感器、智能制造装备和工业机器人等研发应用，培育一批首台（套）重大技术装备企业，打造高端装备产业集群。</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二、节能环保。</w:t>
      </w:r>
      <w:r>
        <w:rPr>
          <w:rFonts w:ascii="Times New Roman" w:hAnsi="Times New Roman" w:eastAsia="方正仿宋简体" w:cs="Times New Roman"/>
          <w:bCs/>
          <w:color w:val="0D0D0D"/>
          <w:sz w:val="32"/>
          <w:szCs w:val="32"/>
        </w:rPr>
        <w:t>发挥国家“城市矿产”示范基地优势，契合我市工业转型升级需求，突出节能、环保和资源再生利用三大重点领域，加快推进海西再生资源产业园、海西熔铸熔炼集中区等园区建设，发展源头减量、节能循环、回收再造等核心技术，实现工业减量化、资源化、高效化，加快形成集分拣、拆解、加工、交易、资源化利用、无害化处理为一体的再生资源产业链。</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三、新能源。</w:t>
      </w:r>
      <w:r>
        <w:rPr>
          <w:rFonts w:ascii="Times New Roman" w:hAnsi="Times New Roman" w:eastAsia="方正仿宋简体" w:cs="Times New Roman"/>
          <w:bCs/>
          <w:color w:val="0D0D0D"/>
          <w:sz w:val="32"/>
          <w:szCs w:val="32"/>
        </w:rPr>
        <w:t>拓展提升太阳能光伏、LED照明产业链，探索发展异质结电池</w:t>
      </w:r>
      <w:r>
        <w:rPr>
          <w:rFonts w:hint="eastAsia" w:ascii="Times New Roman" w:hAnsi="Times New Roman" w:eastAsia="方正仿宋简体" w:cs="Times New Roman"/>
          <w:bCs/>
          <w:color w:val="0D0D0D"/>
          <w:sz w:val="32"/>
          <w:szCs w:val="32"/>
          <w:lang w:val="en-US" w:eastAsia="zh-CN"/>
        </w:rPr>
        <w:t>及装备生产</w:t>
      </w:r>
      <w:r>
        <w:rPr>
          <w:rFonts w:ascii="Times New Roman" w:hAnsi="Times New Roman" w:eastAsia="方正仿宋简体" w:cs="Times New Roman"/>
          <w:bCs/>
          <w:color w:val="0D0D0D"/>
          <w:sz w:val="32"/>
          <w:szCs w:val="32"/>
        </w:rPr>
        <w:t>、“风光储”一体化，以高光电转换效率和低成本长寿命电池及组件研发和产业化为核心，延伸配套材料、关键装备和中下游应用产品，形成从硅料、太阳能电池及组件到系统集成、电站工程总承包的完整产业链。依托“泉州芯谷”南安分园区和泉州（南安）光电产业信息基地，推进高效异质结电池技术创新发展产业示范区和生产装备开发中心建设，搭建“移动能源+”创新创业平台，推广移动能源技术服务和产品应用，积极发展户外运动装备、生活用品装备、太阳能建筑一体化等关联产业。新能源消费量占全社会能源消费总量比重达12%，打造创新型新能源示范城市。</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四、新材料。</w:t>
      </w:r>
      <w:r>
        <w:rPr>
          <w:rFonts w:ascii="Times New Roman" w:hAnsi="Times New Roman" w:eastAsia="方正仿宋简体" w:cs="Times New Roman"/>
          <w:bCs/>
          <w:color w:val="0D0D0D"/>
          <w:sz w:val="32"/>
          <w:szCs w:val="32"/>
        </w:rPr>
        <w:t>突出新材料产业技术转型升级，以提高新材料自主创新能力为核心，优先发展化合物半导体、光电信息材料、先进高分子材料、新型建筑材料、新能源材料，重点培育石墨烯材料和生物基材料。培育增材制造（3D打印）优势企业，发展3D打印高分子丝材。主动对接嘉庚创新实验室，以三安化合物半导体材料为龙头，实施“新材料+”工程，加快形成具备较强自主创新能力和可持续发展能力、产学研用紧密结合的新材料产业体系。</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五、海洋经济。</w:t>
      </w:r>
      <w:r>
        <w:rPr>
          <w:rFonts w:ascii="Times New Roman" w:hAnsi="Times New Roman" w:eastAsia="方正仿宋简体" w:cs="Times New Roman"/>
          <w:bCs/>
          <w:color w:val="0D0D0D"/>
          <w:sz w:val="32"/>
          <w:szCs w:val="32"/>
        </w:rPr>
        <w:t>把握海洋强国战略机遇，实施“港、产、城”融合发展，对接厦门港、厦门大学、海洋三所，加快石井作业区泊位、港后区规划建设和临港海洋经济布局，培育壮大智慧海洋、海洋工程、海洋能源、海洋旅游等新兴海洋产业。</w:t>
      </w:r>
    </w:p>
    <w:p>
      <w:pPr>
        <w:widowControl w:val="0"/>
        <w:spacing w:line="600" w:lineRule="exact"/>
        <w:ind w:firstLine="643"/>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六、数字经济。</w:t>
      </w:r>
      <w:r>
        <w:rPr>
          <w:rFonts w:ascii="Times New Roman" w:hAnsi="Times New Roman" w:eastAsia="方正仿宋简体" w:cs="Times New Roman"/>
          <w:bCs/>
          <w:color w:val="0D0D0D"/>
          <w:sz w:val="32"/>
          <w:szCs w:val="32"/>
        </w:rPr>
        <w:t>主动融入福建省国家数字经济创新发展试验区建设，以泛家居、天地汇、智慧城市等平台为牵引，延伸发展工业互联网、物联网、云计算、区块链等产业，打造智能化标杆工厂和数字化车间，实现产业数字化。构建“南安数据港”，促进“平台型”数字经济健康发展，扶持数字服务业，实现数字产业化。发展供应链金融平台，打造石材结算中心和建筑产值回归平台。提升现有电商园区，建立融媒体、微媒体、自媒体等新型孵化基地，培育垂直电商、跨境电商、农村电商、直播电商等新业态。</w:t>
      </w:r>
    </w:p>
    <w:p>
      <w:pPr>
        <w:widowControl w:val="0"/>
        <w:spacing w:line="600" w:lineRule="exact"/>
        <w:ind w:firstLine="643"/>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七、生物医药。</w:t>
      </w:r>
      <w:r>
        <w:rPr>
          <w:rFonts w:ascii="Times New Roman" w:hAnsi="Times New Roman" w:eastAsia="方正仿宋简体" w:cs="Times New Roman"/>
          <w:bCs/>
          <w:color w:val="0D0D0D"/>
          <w:sz w:val="32"/>
          <w:szCs w:val="32"/>
        </w:rPr>
        <w:t>以生物医药工程研究中心为载体，引进国内外知名大学药学院和一流研发团队设立高水平创新研究院、实验室或公共平台，培育高成长型生物医药企业，落地国家生物工程技术中心，构建“创新研发—孵化器—中试基地—产业园区”体系，逐步打造以创新药、海洋生物医药、生物制品为核心的生物医药产业集群。</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260" w:name="_Toc28838"/>
      <w:bookmarkStart w:id="261" w:name="_Toc16438"/>
      <w:bookmarkStart w:id="262" w:name="_Toc23567"/>
      <w:bookmarkStart w:id="263" w:name="_Toc15372"/>
      <w:bookmarkStart w:id="264" w:name="_Toc15315"/>
      <w:bookmarkStart w:id="265" w:name="_Toc24997"/>
      <w:bookmarkStart w:id="266" w:name="_Toc23148"/>
      <w:bookmarkStart w:id="267" w:name="_Toc9909"/>
      <w:bookmarkStart w:id="268" w:name="_Toc13223"/>
      <w:bookmarkStart w:id="269" w:name="_Toc15670"/>
      <w:bookmarkStart w:id="270" w:name="_Toc18257"/>
      <w:bookmarkStart w:id="271" w:name="_Toc31810"/>
      <w:bookmarkStart w:id="272" w:name="_Toc68707642"/>
      <w:bookmarkStart w:id="273" w:name="_Toc330"/>
      <w:bookmarkStart w:id="274" w:name="_Toc11745"/>
      <w:bookmarkStart w:id="275" w:name="_Toc6507"/>
      <w:bookmarkStart w:id="276" w:name="_Toc13201"/>
      <w:bookmarkStart w:id="277" w:name="_Toc5033"/>
      <w:bookmarkStart w:id="278" w:name="_Toc1318"/>
      <w:r>
        <w:rPr>
          <w:rFonts w:ascii="Times New Roman" w:hAnsi="Times New Roman" w:eastAsia="方正黑体简体" w:cs="Times New Roman"/>
          <w:bCs/>
          <w:sz w:val="32"/>
          <w:szCs w:val="32"/>
        </w:rPr>
        <w:t>第三节  做优现代服务产业</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widowControl w:val="0"/>
        <w:spacing w:line="600" w:lineRule="exact"/>
        <w:ind w:firstLine="643"/>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聚焦产业转型升级需求和人民美好生活需要，突出以信息技术和先进文化提升服务业发展能级，持续优化服务业结构，不断扩大服务业增加值规模，至2025年第三产业增加值达到800亿元。</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一、制造服务。</w:t>
      </w:r>
      <w:r>
        <w:rPr>
          <w:rFonts w:ascii="Times New Roman" w:hAnsi="Times New Roman" w:eastAsia="方正仿宋简体" w:cs="Times New Roman"/>
          <w:bCs/>
          <w:color w:val="0D0D0D"/>
          <w:sz w:val="32"/>
          <w:szCs w:val="32"/>
        </w:rPr>
        <w:t>把家居设计、工业设计、创意设计产业摆在更加重要的位置，推行产学研教融合的模式，引导龙头企业和研发机构共建研究所，重点发展以“设计+”、“文创+”赋能泛家居、机械装备、日用轻工等重要制造产业。依托两大国家级质量检测中心，打造公共服务平台，发展创业孵化、技术转移转化、科技咨询、知识产权保护、检验检测认证等科技服务业。支持大中型制造企业创新商业模式，延伸服务链条，实现以产品制造为核心向产品加服务转变，培育一批总集成总承包、个性化定制、在线支持与诊断等服务型制造新业态。建成工业展示馆，打造集产品展示、商务洽谈、技术合作、咨询交流为一体的多功能展示平台。</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二、商贸服务。</w:t>
      </w:r>
      <w:r>
        <w:rPr>
          <w:rFonts w:ascii="Times New Roman" w:hAnsi="Times New Roman" w:eastAsia="方正仿宋简体" w:cs="Times New Roman"/>
          <w:bCs/>
          <w:color w:val="0D0D0D"/>
          <w:sz w:val="32"/>
          <w:szCs w:val="32"/>
        </w:rPr>
        <w:t>主动融入以国内大循环为主体、国内国际双循环相互促进的新发展格局，打通生产、分配、流通、消费各个环节。利用国家级跨境电商综合试验区、市场采购贸易方式试点政策，统筹专业市场、展会服务、电子商务、商贸流通、配送物流，搭建专业市场网上平台，改造提升</w:t>
      </w:r>
      <w:r>
        <w:rPr>
          <w:rFonts w:hint="eastAsia" w:ascii="Times New Roman" w:hAnsi="Times New Roman" w:eastAsia="方正仿宋简体" w:cs="Times New Roman"/>
          <w:bCs/>
          <w:color w:val="0D0D0D"/>
          <w:sz w:val="32"/>
          <w:szCs w:val="32"/>
          <w:lang w:eastAsia="zh-CN"/>
        </w:rPr>
        <w:t>中国</w:t>
      </w:r>
      <w:r>
        <w:rPr>
          <w:rFonts w:ascii="Times New Roman" w:hAnsi="Times New Roman" w:eastAsia="方正仿宋简体" w:cs="Times New Roman"/>
          <w:bCs/>
          <w:color w:val="0D0D0D"/>
          <w:sz w:val="32"/>
          <w:szCs w:val="32"/>
        </w:rPr>
        <w:t>石材城、</w:t>
      </w:r>
      <w:r>
        <w:rPr>
          <w:rFonts w:hint="eastAsia" w:ascii="Times New Roman" w:hAnsi="Times New Roman" w:eastAsia="方正仿宋简体" w:cs="Times New Roman"/>
          <w:bCs/>
          <w:color w:val="0D0D0D"/>
          <w:sz w:val="32"/>
          <w:szCs w:val="32"/>
          <w:lang w:eastAsia="zh-CN"/>
        </w:rPr>
        <w:t>中国</w:t>
      </w:r>
      <w:r>
        <w:rPr>
          <w:rFonts w:ascii="Times New Roman" w:hAnsi="Times New Roman" w:eastAsia="方正仿宋简体" w:cs="Times New Roman"/>
          <w:bCs/>
          <w:color w:val="0D0D0D"/>
          <w:sz w:val="32"/>
          <w:szCs w:val="32"/>
        </w:rPr>
        <w:t>水暖城、</w:t>
      </w:r>
      <w:r>
        <w:rPr>
          <w:rFonts w:hint="eastAsia" w:ascii="Times New Roman" w:hAnsi="Times New Roman" w:eastAsia="方正仿宋简体" w:cs="Times New Roman"/>
          <w:bCs/>
          <w:color w:val="0D0D0D"/>
          <w:sz w:val="32"/>
          <w:szCs w:val="32"/>
          <w:lang w:eastAsia="zh-CN"/>
        </w:rPr>
        <w:t>中国</w:t>
      </w:r>
      <w:r>
        <w:rPr>
          <w:rFonts w:ascii="Times New Roman" w:hAnsi="Times New Roman" w:eastAsia="方正仿宋简体" w:cs="Times New Roman"/>
          <w:bCs/>
          <w:color w:val="0D0D0D"/>
          <w:sz w:val="32"/>
          <w:szCs w:val="32"/>
        </w:rPr>
        <w:t>粮食城、汽贸城、五金机电城等专业市场，建设光机电贸展中心、石材精品体验营销中心、大宗石材交易市场、泛家居集采交易中心、乡贤经济回流集聚区等园区平台。办好石博会、农订会、水暖泵阀交易会、泛家居活动周、工程机械展、装备博览会等本土专业性展会，承接国际性、国家级和区域性行业展览会，拓展半导体、高端装备、临空产业等专业市场展会，加快美的智慧科创项目、武夷泛家展贸、唐道时代汇城市会客中心等商贸平台建设，打造区域市场品牌和知名展会品牌。打造集商业、休闲、餐饮、娱乐、购物、旅游为一体的现代化时尚地标和地标性商圈，建设涵盖“食、游、购、娱、体、展、演”的多元夜间消费市场，辐射居民社区和消费群体，带动商圈整体消费。</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三、生活服务。</w:t>
      </w:r>
      <w:r>
        <w:rPr>
          <w:rFonts w:ascii="Times New Roman" w:hAnsi="Times New Roman" w:eastAsia="方正仿宋简体" w:cs="Times New Roman"/>
          <w:bCs/>
          <w:color w:val="0D0D0D"/>
          <w:sz w:val="32"/>
          <w:szCs w:val="32"/>
        </w:rPr>
        <w:t>坚持保障基本和多元发展相结合，满足居民基本生活需求，支持生活服务市场主体集聚式发展，提供安全、便捷、实惠、绿色的大众化服务。注重高品质的医养、托育等服务供给，发展全生命周期全年龄段的健康产业，创新医养护一体化智慧养老模式，规划建设一批高端康养机构。把“数字+”、“健康+”融入生活服务业，加快发展办公自动化、智慧医疗、智慧养老、远程办公、在线教育、线上文娱等在线经济，引导居民生活服务业线上线下融合创新，构建功能齐备、优质便捷的城乡便民服务体系。</w:t>
      </w:r>
    </w:p>
    <w:p>
      <w:pPr>
        <w:widowControl w:val="0"/>
        <w:spacing w:line="600" w:lineRule="exact"/>
        <w:ind w:firstLine="643"/>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四、枢纽经济。</w:t>
      </w:r>
      <w:r>
        <w:rPr>
          <w:rFonts w:ascii="Times New Roman" w:hAnsi="Times New Roman" w:eastAsia="方正仿宋简体" w:cs="Times New Roman"/>
          <w:bCs/>
          <w:color w:val="0D0D0D"/>
          <w:sz w:val="32"/>
          <w:szCs w:val="32"/>
        </w:rPr>
        <w:t>对接《闽西南协同发展区互联互通物流及通道规划》</w:t>
      </w:r>
      <w:r>
        <w:rPr>
          <w:rFonts w:hint="eastAsia" w:ascii="Times New Roman" w:hAnsi="Times New Roman" w:eastAsia="方正仿宋简体" w:cs="Times New Roman"/>
          <w:bCs/>
          <w:color w:val="0D0D0D"/>
          <w:sz w:val="32"/>
          <w:szCs w:val="32"/>
          <w:lang w:eastAsia="zh-CN"/>
        </w:rPr>
        <w:t>、</w:t>
      </w:r>
      <w:r>
        <w:rPr>
          <w:rFonts w:ascii="Times New Roman" w:hAnsi="Times New Roman" w:eastAsia="方正仿宋简体" w:cs="Times New Roman"/>
          <w:bCs/>
          <w:color w:val="0D0D0D"/>
          <w:sz w:val="32"/>
          <w:szCs w:val="32"/>
        </w:rPr>
        <w:t>《泉州市快递集聚发展规划（2020-2025）》</w:t>
      </w:r>
      <w:r>
        <w:rPr>
          <w:rFonts w:hint="eastAsia" w:ascii="Times New Roman" w:hAnsi="Times New Roman" w:eastAsia="方正仿宋简体" w:cs="Times New Roman"/>
          <w:bCs/>
          <w:color w:val="0D0D0D"/>
          <w:sz w:val="32"/>
          <w:szCs w:val="32"/>
          <w:lang w:val="en-US" w:eastAsia="zh-CN"/>
        </w:rPr>
        <w:t>和泉州</w:t>
      </w:r>
      <w:r>
        <w:rPr>
          <w:rFonts w:hint="eastAsia" w:ascii="Times New Roman" w:hAnsi="Times New Roman" w:eastAsia="方正仿宋简体" w:cs="Times New Roman"/>
          <w:bCs/>
          <w:color w:val="0D0D0D"/>
          <w:sz w:val="32"/>
          <w:szCs w:val="32"/>
        </w:rPr>
        <w:t>国家物流枢纽布局承载城市建设</w:t>
      </w:r>
      <w:r>
        <w:rPr>
          <w:rFonts w:ascii="Times New Roman" w:hAnsi="Times New Roman" w:eastAsia="方正仿宋简体" w:cs="Times New Roman"/>
          <w:bCs/>
          <w:color w:val="0D0D0D"/>
          <w:sz w:val="32"/>
          <w:szCs w:val="32"/>
        </w:rPr>
        <w:t>，以航空、港口、铁路运输与物流服务为基础，以现代信息技术为支撑，激活道口功能，培育空航、港航、冷链、跨境等新物流业态，延伸发展旅游服务、休闲服务、商业服务等产业，打造空港、海港、陆港、信息港“四港一体”的枢纽经济，建设具有区域节点性质的物流产业集聚区。打造“生产基地+物流+互联网+供应链金融”新型智慧仓储物流园区，建设空港物流园区、观音山物流基地、兴泉铁路南安北站片区、海西石材物流园区、宏图物流项目、“天地汇”总部、安鑫智能电商物流及冷链产业园等项目，培育第四方物流平台。建设官桥快递物流集聚园区、闽西南国际商贸物流中心，引进国内外知名快递物流企业设立省（区）域总部、区域分拨中心，壮大物联网，打造闽西南综合物流枢纽带。</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五、全域旅游。</w:t>
      </w:r>
      <w:r>
        <w:rPr>
          <w:rFonts w:ascii="Times New Roman" w:hAnsi="Times New Roman" w:eastAsia="方正仿宋简体" w:cs="Times New Roman"/>
          <w:bCs/>
          <w:color w:val="0D0D0D"/>
          <w:sz w:val="32"/>
          <w:szCs w:val="32"/>
        </w:rPr>
        <w:t>优化全域旅游发展空间格局，推动“文化+旅游+体育+产业”深度融合，打造人文、生态、工业、体育等旅游主线，争创文化旅游高端融合的现代文化示范城市。加速“海丝源头、成功故里”城市品牌IP的引流，推动成功文化</w:t>
      </w:r>
      <w:r>
        <w:rPr>
          <w:rFonts w:hint="eastAsia" w:ascii="Times New Roman" w:hAnsi="Times New Roman" w:eastAsia="方正仿宋简体" w:cs="Times New Roman"/>
          <w:bCs/>
          <w:color w:val="0D0D0D"/>
          <w:sz w:val="32"/>
          <w:szCs w:val="32"/>
          <w:lang w:eastAsia="zh-CN"/>
        </w:rPr>
        <w:t>产业</w:t>
      </w:r>
      <w:r>
        <w:rPr>
          <w:rFonts w:ascii="Times New Roman" w:hAnsi="Times New Roman" w:eastAsia="方正仿宋简体" w:cs="Times New Roman"/>
          <w:bCs/>
          <w:color w:val="0D0D0D"/>
          <w:sz w:val="32"/>
          <w:szCs w:val="32"/>
        </w:rPr>
        <w:t>园、蔡氏古民居等项目建设，聚焦重温华侨革命历史、感受原真闽南文化、追寻海丝起点史迹，建设历史人文传承基地，打造侨乡南安、海丝南安、古建南安。规划一批生态旅游特色乡镇，加快建设滨海湿地公园、五里桥休闲慢道等项目，打造生态型全域旅游体验目的地。优化“旅游+”生态圈，实施文化旅游融合示范工程，结合工业展示馆等项目，整合串联工业遗产、观光工厂、研学科普游，创建工业旅游精品线路，培育工业旅游新业态。发挥体育强市优势，</w:t>
      </w:r>
      <w:r>
        <w:rPr>
          <w:rFonts w:hint="eastAsia" w:ascii="Times New Roman" w:hAnsi="Times New Roman" w:eastAsia="方正仿宋简体" w:cs="Times New Roman"/>
          <w:bCs/>
          <w:color w:val="0D0D0D"/>
          <w:sz w:val="32"/>
          <w:szCs w:val="32"/>
        </w:rPr>
        <w:t>策划举办皮划艇激流回旋、滑翔伞等品牌赛事</w:t>
      </w:r>
      <w:r>
        <w:rPr>
          <w:rFonts w:hint="eastAsia" w:ascii="Times New Roman" w:hAnsi="Times New Roman" w:eastAsia="方正仿宋简体" w:cs="Times New Roman"/>
          <w:bCs/>
          <w:color w:val="0D0D0D"/>
          <w:sz w:val="32"/>
          <w:szCs w:val="32"/>
          <w:lang w:eastAsia="zh-CN"/>
        </w:rPr>
        <w:t>，</w:t>
      </w:r>
      <w:r>
        <w:rPr>
          <w:rFonts w:ascii="Times New Roman" w:hAnsi="Times New Roman" w:eastAsia="方正仿宋简体" w:cs="Times New Roman"/>
          <w:bCs/>
          <w:color w:val="0D0D0D"/>
          <w:sz w:val="32"/>
          <w:szCs w:val="32"/>
        </w:rPr>
        <w:t>促进体育赛事、定向运动与文化旅游相互“引流”，以扬子山体育公园、九都体育特色小镇等项目化运作培育发展体育休闲旅游经济。</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六、现代金融。</w:t>
      </w:r>
      <w:r>
        <w:rPr>
          <w:rFonts w:ascii="Times New Roman" w:hAnsi="Times New Roman" w:eastAsia="方正仿宋简体" w:cs="Times New Roman"/>
          <w:bCs/>
          <w:color w:val="0D0D0D"/>
          <w:sz w:val="32"/>
          <w:szCs w:val="32"/>
        </w:rPr>
        <w:t>建立供应链金融服务体系，搭建石材、泛家居、机械、物流等产业供应链融资服务平台，发展科技金融、航空金融、股权基金、租赁金融、绿色金融等业态。引入天使投资、创业投资、产业投资基金公司，为初创企业和新兴企业提供科技创新融资。建立公益金融要素服务平台，发展社会公益基金、债券、保险和信托计划。</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279" w:name="_Toc16823"/>
      <w:bookmarkStart w:id="280" w:name="_Toc68707643"/>
      <w:bookmarkStart w:id="281" w:name="_Toc5817"/>
      <w:bookmarkStart w:id="282" w:name="_Toc29567"/>
      <w:bookmarkStart w:id="283" w:name="_Toc1057"/>
      <w:bookmarkStart w:id="284" w:name="_Toc14764"/>
      <w:bookmarkStart w:id="285" w:name="_Toc25942"/>
      <w:bookmarkStart w:id="286" w:name="_Toc32469"/>
      <w:bookmarkStart w:id="287" w:name="_Toc18833"/>
      <w:bookmarkStart w:id="288" w:name="_Toc26303"/>
      <w:bookmarkStart w:id="289" w:name="_Toc26421"/>
      <w:bookmarkStart w:id="290" w:name="_Toc14689"/>
      <w:bookmarkStart w:id="291" w:name="_Toc11603"/>
      <w:bookmarkStart w:id="292" w:name="_Toc19579"/>
      <w:bookmarkStart w:id="293" w:name="_Toc28791"/>
      <w:bookmarkStart w:id="294" w:name="_Toc23887"/>
      <w:bookmarkStart w:id="295" w:name="_Toc25164"/>
      <w:r>
        <w:rPr>
          <w:rFonts w:ascii="Times New Roman" w:hAnsi="Times New Roman" w:eastAsia="方正黑体简体" w:cs="Times New Roman"/>
          <w:bCs/>
          <w:sz w:val="32"/>
          <w:szCs w:val="32"/>
        </w:rPr>
        <w:t>第四节  现代特色农业</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pPr>
        <w:widowControl w:val="0"/>
        <w:spacing w:line="600" w:lineRule="exact"/>
        <w:ind w:firstLine="640" w:firstLineChars="200"/>
        <w:jc w:val="both"/>
        <w:rPr>
          <w:rFonts w:ascii="Times New Roman" w:hAnsi="Times New Roman" w:eastAsia="方正仿宋简体" w:cs="Times New Roman"/>
          <w:bCs/>
          <w:sz w:val="32"/>
          <w:szCs w:val="32"/>
        </w:rPr>
      </w:pPr>
      <w:r>
        <w:rPr>
          <w:rFonts w:ascii="Times New Roman" w:hAnsi="Times New Roman" w:eastAsia="方正仿宋简体" w:cs="Times New Roman"/>
          <w:bCs/>
          <w:color w:val="0D0D0D"/>
          <w:sz w:val="32"/>
          <w:szCs w:val="32"/>
        </w:rPr>
        <w:t>加快农业产业结构调整和一二三产融合，以“名、优、稀、特、高、深”为目标，塑造现代特色农业品牌形象。</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一、做强优势农业。</w:t>
      </w:r>
      <w:r>
        <w:rPr>
          <w:rFonts w:ascii="Times New Roman" w:hAnsi="Times New Roman" w:eastAsia="方正仿宋简体" w:cs="Times New Roman"/>
          <w:bCs/>
          <w:color w:val="0D0D0D"/>
          <w:sz w:val="32"/>
          <w:szCs w:val="32"/>
        </w:rPr>
        <w:t>落实耕地保护和粮食安全责任，实施优势特色农业提质增效行动计划，推进19.7万亩水稻生产功能区建设，培育种粮大户和社会化服务组织，引导种粮规模化发展，提升粮食自给率。壮大品牌农业、生态农业、智慧农业、休闲农业和订单农业，打造茶叶、水果、蔬菜、食用菌、畜禽、中草药、花卉7个全产业链优势特色产业，创建省级农民创业示范基地和特色农产品优势区。创建闽台农业合作推广示范县市，开拓“一带一路”沿线市场，扩大优势特色农副产品进出口，借鉴台湾观光休闲农业成功经验，探索共享农庄、体验农业、农业公园等业态。发挥国家农产品地理标志、国家地理标志商标、省名牌产品的引领作用，推广“公用品牌+企业+合作社农户”品牌发展模式，培育更多的无公害农产品认证产品、绿色食品和有机食品。</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二、加速三产融合。</w:t>
      </w:r>
      <w:r>
        <w:rPr>
          <w:rFonts w:ascii="Times New Roman" w:hAnsi="Times New Roman" w:eastAsia="方正仿宋简体" w:cs="Times New Roman"/>
          <w:bCs/>
          <w:color w:val="0D0D0D"/>
          <w:sz w:val="32"/>
          <w:szCs w:val="32"/>
        </w:rPr>
        <w:t>拓展延伸农业产业链，培育“农产品+”、物流、电商、旅游平台，提升农业生产功能和经济价值。办好农订会，建设蔬菜、水果、畜禽、粮食等初加工中心和会展市场，延伸发展农产品加工业，逐步集聚形成农产品加工区和展示区。以创建两岸冷链物流产业合作城市为契机，建设现代化农业冷链仓储物流体系，拓展生鲜农产品供应链。创建国家级电子商务进农村综合示范县，完善“电商富农”产销机制，打造特色农产品电商平台，探索订单式、众筹式产前销售模式；以“饿了</w:t>
      </w:r>
      <w:r>
        <w:rPr>
          <w:rFonts w:hint="eastAsia" w:ascii="Times New Roman" w:hAnsi="Times New Roman" w:eastAsia="方正仿宋简体" w:cs="Times New Roman"/>
          <w:bCs/>
          <w:color w:val="0D0D0D"/>
          <w:sz w:val="32"/>
          <w:szCs w:val="32"/>
          <w:lang w:eastAsia="zh-CN"/>
        </w:rPr>
        <w:t>么</w:t>
      </w:r>
      <w:r>
        <w:rPr>
          <w:rFonts w:ascii="Times New Roman" w:hAnsi="Times New Roman" w:eastAsia="方正仿宋简体" w:cs="Times New Roman"/>
          <w:bCs/>
          <w:color w:val="0D0D0D"/>
          <w:sz w:val="32"/>
          <w:szCs w:val="32"/>
        </w:rPr>
        <w:t>”与第一市场共建</w:t>
      </w:r>
      <w:r>
        <w:rPr>
          <w:rFonts w:hint="eastAsia" w:ascii="Times New Roman" w:hAnsi="Times New Roman" w:eastAsia="方正仿宋简体" w:cs="Times New Roman"/>
          <w:bCs/>
          <w:color w:val="0D0D0D"/>
          <w:sz w:val="32"/>
          <w:szCs w:val="32"/>
          <w:lang w:eastAsia="zh-CN"/>
        </w:rPr>
        <w:t>的</w:t>
      </w:r>
      <w:r>
        <w:rPr>
          <w:rFonts w:ascii="Times New Roman" w:hAnsi="Times New Roman" w:eastAsia="方正仿宋简体" w:cs="Times New Roman"/>
          <w:bCs/>
          <w:color w:val="0D0D0D"/>
          <w:sz w:val="32"/>
          <w:szCs w:val="32"/>
        </w:rPr>
        <w:t>即时生鲜配送采配中心为试点，促进农贸市场和线上消费融合。推进农业、林业与旅游、教育、文化、康养等产业深度融合，打造乡村观光品牌。</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三、育强生产主体。</w:t>
      </w:r>
      <w:r>
        <w:rPr>
          <w:rFonts w:ascii="Times New Roman" w:hAnsi="Times New Roman" w:eastAsia="方正仿宋简体" w:cs="Times New Roman"/>
          <w:bCs/>
          <w:color w:val="0D0D0D"/>
          <w:sz w:val="32"/>
          <w:szCs w:val="32"/>
        </w:rPr>
        <w:t>开展省农民合作社质量提升整县推进试点，实施“龙头企业+合作社+基地+农户”的产业联合体模式，壮大农业产业化龙头企业和新型农业经营主体队伍，开展家庭农场培育计划和农民合作社规范提升行动，培育一批“五有”农机合作社。建设以生猪、水果、中草药为主导产业的3个泉州市级现代产业园和以水果、茶叶、蔬菜、蛋禽为主导产业的4个南安市级现代产业园，打造现代农业园区体系。分类分期完成12个国有农贸市场升级改造，优化农产品销售市场体系。</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296" w:name="_Toc68707644"/>
      <w:bookmarkStart w:id="297" w:name="_Toc1168"/>
      <w:bookmarkStart w:id="298" w:name="_Toc4692"/>
      <w:bookmarkStart w:id="299" w:name="_Toc23105"/>
      <w:bookmarkStart w:id="300" w:name="_Toc30378"/>
      <w:bookmarkStart w:id="301" w:name="_Toc7941"/>
      <w:bookmarkStart w:id="302" w:name="_Toc10123"/>
      <w:bookmarkStart w:id="303" w:name="_Toc21959"/>
      <w:bookmarkStart w:id="304" w:name="_Toc8262"/>
      <w:bookmarkStart w:id="305" w:name="_Toc8096"/>
      <w:bookmarkStart w:id="306" w:name="_Toc30342"/>
      <w:bookmarkStart w:id="307" w:name="_Toc22294"/>
      <w:bookmarkStart w:id="308" w:name="_Toc13662"/>
      <w:bookmarkStart w:id="309" w:name="_Toc25508"/>
      <w:bookmarkStart w:id="310" w:name="_Toc21107"/>
      <w:bookmarkStart w:id="311" w:name="_Toc28928"/>
      <w:bookmarkStart w:id="312" w:name="_Toc31875"/>
      <w:r>
        <w:rPr>
          <w:rFonts w:ascii="Times New Roman" w:hAnsi="Times New Roman" w:eastAsia="方正黑体简体" w:cs="Times New Roman"/>
          <w:bCs/>
          <w:sz w:val="32"/>
          <w:szCs w:val="32"/>
        </w:rPr>
        <w:t>第五节  建筑业</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发展装配式建筑设计、生产、施工及设备制造、运输、装修和运行维护等全产业链，引进和培育建筑业施工总承包特级、一级资质企业和建筑安装、规划设计、装饰设计等领域优质企业，鼓励</w:t>
      </w:r>
      <w:r>
        <w:rPr>
          <w:rFonts w:hint="eastAsia" w:ascii="Times New Roman" w:hAnsi="Times New Roman" w:eastAsia="方正仿宋简体" w:cs="Times New Roman"/>
          <w:bCs/>
          <w:color w:val="0D0D0D"/>
          <w:sz w:val="32"/>
          <w:szCs w:val="32"/>
          <w:lang w:eastAsia="zh-CN"/>
        </w:rPr>
        <w:t>有</w:t>
      </w:r>
      <w:r>
        <w:rPr>
          <w:rFonts w:ascii="Times New Roman" w:hAnsi="Times New Roman" w:eastAsia="方正仿宋简体" w:cs="Times New Roman"/>
          <w:bCs/>
          <w:color w:val="0D0D0D"/>
          <w:sz w:val="32"/>
          <w:szCs w:val="32"/>
        </w:rPr>
        <w:t>实力</w:t>
      </w:r>
      <w:r>
        <w:rPr>
          <w:rFonts w:hint="eastAsia" w:ascii="Times New Roman" w:hAnsi="Times New Roman" w:eastAsia="方正仿宋简体" w:cs="Times New Roman"/>
          <w:bCs/>
          <w:color w:val="0D0D0D"/>
          <w:sz w:val="32"/>
          <w:szCs w:val="32"/>
          <w:lang w:eastAsia="zh-CN"/>
        </w:rPr>
        <w:t>的</w:t>
      </w:r>
      <w:r>
        <w:rPr>
          <w:rFonts w:ascii="Times New Roman" w:hAnsi="Times New Roman" w:eastAsia="方正仿宋简体" w:cs="Times New Roman"/>
          <w:bCs/>
          <w:color w:val="0D0D0D"/>
          <w:sz w:val="32"/>
          <w:szCs w:val="32"/>
        </w:rPr>
        <w:t>企业兼并重组，引导企业向境外市场拓展、向工程总承包商发展、向关联度较高的领域和科技含量高的行业延伸。鼓励房产企业调整投资结构，</w:t>
      </w:r>
      <w:r>
        <w:rPr>
          <w:rFonts w:hint="eastAsia" w:ascii="Times New Roman" w:hAnsi="Times New Roman" w:eastAsia="方正仿宋简体" w:cs="Times New Roman"/>
          <w:bCs/>
          <w:color w:val="0D0D0D"/>
          <w:sz w:val="32"/>
          <w:szCs w:val="32"/>
        </w:rPr>
        <w:t>由传统的以住宅地产为主转向人才公寓、专业楼宇、城市综合体、商务会展等产业地产发展模式</w:t>
      </w:r>
      <w:r>
        <w:rPr>
          <w:rFonts w:ascii="Times New Roman" w:hAnsi="Times New Roman" w:eastAsia="方正仿宋简体" w:cs="Times New Roman"/>
          <w:bCs/>
          <w:color w:val="0D0D0D"/>
          <w:sz w:val="32"/>
          <w:szCs w:val="32"/>
        </w:rPr>
        <w:t>。发挥政府投资项目和保障性住房的示范带头作用，发展绿色建筑、节能建筑和新型建筑工业化建造模式，实施建筑业和行业企业信息化应用示范工程。立足石材陶瓷、水暖厨卫</w:t>
      </w:r>
      <w:r>
        <w:rPr>
          <w:rFonts w:hint="eastAsia" w:ascii="Times New Roman" w:hAnsi="Times New Roman" w:eastAsia="方正仿宋简体" w:cs="Times New Roman"/>
          <w:bCs/>
          <w:color w:val="0D0D0D"/>
          <w:sz w:val="32"/>
          <w:szCs w:val="32"/>
          <w:lang w:eastAsia="zh-CN"/>
        </w:rPr>
        <w:t>和家具家私</w:t>
      </w:r>
      <w:r>
        <w:rPr>
          <w:rFonts w:ascii="Times New Roman" w:hAnsi="Times New Roman" w:eastAsia="方正仿宋简体" w:cs="Times New Roman"/>
          <w:bCs/>
          <w:color w:val="0D0D0D"/>
          <w:sz w:val="32"/>
          <w:szCs w:val="32"/>
        </w:rPr>
        <w:t>等产业优势，发展建筑产业供应链和专业施工。</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313" w:name="_Toc68707645"/>
      <w:bookmarkStart w:id="314" w:name="_Toc14959"/>
      <w:bookmarkStart w:id="315" w:name="_Toc7390"/>
      <w:bookmarkStart w:id="316" w:name="_Toc13433"/>
      <w:bookmarkStart w:id="317" w:name="_Toc5697"/>
      <w:bookmarkStart w:id="318" w:name="_Toc21795"/>
      <w:bookmarkStart w:id="319" w:name="_Toc12104"/>
      <w:bookmarkStart w:id="320" w:name="_Toc11665"/>
      <w:bookmarkStart w:id="321" w:name="_Toc28970"/>
      <w:bookmarkStart w:id="322" w:name="_Toc18949"/>
      <w:bookmarkStart w:id="323" w:name="_Toc18369"/>
      <w:bookmarkStart w:id="324" w:name="_Toc18974"/>
      <w:bookmarkStart w:id="325" w:name="_Toc23142"/>
      <w:bookmarkStart w:id="326" w:name="_Toc6688"/>
      <w:bookmarkStart w:id="327" w:name="_Toc26944"/>
      <w:bookmarkStart w:id="328" w:name="_Toc19197"/>
      <w:bookmarkStart w:id="329" w:name="_Toc17282"/>
      <w:bookmarkStart w:id="330" w:name="_Toc29231"/>
      <w:bookmarkStart w:id="331" w:name="_Toc32203"/>
      <w:r>
        <w:rPr>
          <w:rFonts w:ascii="Times New Roman" w:hAnsi="Times New Roman" w:eastAsia="方正黑体简体" w:cs="Times New Roman"/>
          <w:bCs/>
          <w:sz w:val="32"/>
          <w:szCs w:val="32"/>
        </w:rPr>
        <w:t>第六节  现代化产业园区</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整合改造传统生产基地和市级产业园区，打造11个现代产业集聚区，科学规划布局科创型小微产业园，构建现代化产业园区体系。</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一、推进产业园区转型升级。</w:t>
      </w:r>
      <w:r>
        <w:rPr>
          <w:rFonts w:ascii="Times New Roman" w:hAnsi="Times New Roman" w:eastAsia="方正仿宋简体" w:cs="Times New Roman"/>
          <w:bCs/>
          <w:color w:val="0D0D0D"/>
          <w:sz w:val="32"/>
          <w:szCs w:val="32"/>
        </w:rPr>
        <w:t>推进8个生产基地和26个产业园区串联集成、资源整合，打造总面积超过100平方公里的11个现代产业集聚区。修订省级园区规划，积极扩区升级，争取“泉州芯谷”南安分园区升级为国家高新区主园区。实行统一规划建设、统一开发运营、统一物业管理、统一金融服务、统一研发平台，实行弹性供地、“工改工”等模式，制定入园企业负面清单和可退出机制。创新更加灵活的园区建设运营模式，实施公司化、专业化招商，推动经营性用地、园区物业管理、基础配套设施资产化，加快向“经营园区”转变；推行产业园区产城人文融合，以功能复合、职住平衡、服务完善、宜业宜居为发展导向，完善园区住房、教育、医疗、餐饮、娱乐等配套设施，提升人口经济综合承载力。着眼“5G+工业互联网”512工程，重点布局“泉州芯谷”南安分园区率先建设全场景应用5G智慧园区，打造全省“5G+工业互联网”融合应用先导区。</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bookmarkStart w:id="332" w:name="_Toc19429"/>
      <w:bookmarkStart w:id="333" w:name="_Toc14328"/>
      <w:bookmarkStart w:id="334" w:name="_Toc15494"/>
      <w:bookmarkStart w:id="335" w:name="_Toc9560"/>
      <w:bookmarkStart w:id="336" w:name="_Toc8442"/>
      <w:bookmarkStart w:id="337" w:name="_Toc26745"/>
      <w:r>
        <w:rPr>
          <w:rFonts w:ascii="Times New Roman" w:hAnsi="Times New Roman" w:eastAsia="方正楷体简体" w:cs="Times New Roman"/>
          <w:b/>
          <w:sz w:val="32"/>
          <w:szCs w:val="32"/>
        </w:rPr>
        <w:t>二、科学规划布局一批小微产业园。</w:t>
      </w:r>
      <w:r>
        <w:rPr>
          <w:rFonts w:ascii="Times New Roman" w:hAnsi="Times New Roman" w:eastAsia="方正仿宋简体" w:cs="Times New Roman"/>
          <w:bCs/>
          <w:color w:val="0D0D0D"/>
          <w:sz w:val="32"/>
          <w:szCs w:val="32"/>
        </w:rPr>
        <w:t>引入专业化园区运营商，高水平规划建设高端装备智造园、联东U谷、海西再生资源园区、高端阀门产业园、石材机械辅料园、半导体辅料产业园、高端电子信息产业园、消防器材产业园等高端小微产业园，以龙头企业吸引上下游配套企业落户，推广“可租、可售、可退出” 标准厂房模式，重构小尺度产业社区空间功能和线上线下融合模式。</w:t>
      </w:r>
      <w:bookmarkEnd w:id="332"/>
      <w:bookmarkEnd w:id="333"/>
      <w:bookmarkEnd w:id="334"/>
      <w:bookmarkEnd w:id="335"/>
      <w:r>
        <w:rPr>
          <w:rFonts w:ascii="Times New Roman" w:hAnsi="Times New Roman" w:eastAsia="方正仿宋简体" w:cs="Times New Roman"/>
          <w:bCs/>
          <w:color w:val="0D0D0D"/>
          <w:sz w:val="32"/>
          <w:szCs w:val="32"/>
        </w:rPr>
        <w:t>实施知识产权战略，畅通“众创空间－孵化器－加速器－创业园区”科创孵化链条，打造一批“价值创新”园区。</w:t>
      </w:r>
      <w:bookmarkEnd w:id="336"/>
      <w:bookmarkEnd w:id="337"/>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三、推进园区全产业链招商。</w:t>
      </w:r>
      <w:r>
        <w:rPr>
          <w:rFonts w:ascii="Times New Roman" w:hAnsi="Times New Roman" w:eastAsia="方正仿宋简体" w:cs="Times New Roman"/>
          <w:bCs/>
          <w:color w:val="0D0D0D"/>
          <w:sz w:val="32"/>
          <w:szCs w:val="32"/>
        </w:rPr>
        <w:t>深化招商引资工作机制，梳理各大产业基地、产业园区的土地空间，聚焦石材陶瓷、水暖厨卫、机械装备、日用轻工、电子信息5大支柱产业，展开全产业链统筹布局和产业链精准招商。引进新一代信息技术、新能源、新材料、节能环保、生物技术、高端装备制造和数字创意等战略性新兴产业项目，形成区域产业发展的接续力量。</w:t>
      </w:r>
    </w:p>
    <w:p>
      <w:pPr>
        <w:widowControl w:val="0"/>
        <w:spacing w:line="500" w:lineRule="exact"/>
        <w:jc w:val="center"/>
        <w:rPr>
          <w:rFonts w:ascii="Times New Roman" w:hAnsi="Times New Roman" w:cs="Times New Roman"/>
        </w:rPr>
      </w:pPr>
      <w:r>
        <w:rPr>
          <w:rFonts w:ascii="Times New Roman" w:hAnsi="Times New Roman" w:eastAsia="方正黑体简体" w:cs="Times New Roman"/>
          <w:bCs/>
          <w:color w:val="000000"/>
          <w:sz w:val="28"/>
          <w:szCs w:val="28"/>
        </w:rPr>
        <w:br w:type="page"/>
      </w:r>
      <w:r>
        <w:rPr>
          <w:rFonts w:ascii="Times New Roman" w:hAnsi="Times New Roman" w:eastAsia="方正黑体简体" w:cs="Times New Roman"/>
          <w:bCs/>
          <w:color w:val="000000"/>
          <w:sz w:val="28"/>
          <w:szCs w:val="28"/>
        </w:rPr>
        <w:t>附表：南安市11个现代产业集聚区</w:t>
      </w:r>
    </w:p>
    <w:tbl>
      <w:tblPr>
        <w:tblStyle w:val="19"/>
        <w:tblW w:w="9817" w:type="dxa"/>
        <w:jc w:val="center"/>
        <w:tblLayout w:type="fixed"/>
        <w:tblCellMar>
          <w:top w:w="0" w:type="dxa"/>
          <w:left w:w="0" w:type="dxa"/>
          <w:bottom w:w="0" w:type="dxa"/>
          <w:right w:w="0" w:type="dxa"/>
        </w:tblCellMar>
      </w:tblPr>
      <w:tblGrid>
        <w:gridCol w:w="528"/>
        <w:gridCol w:w="1823"/>
        <w:gridCol w:w="1000"/>
        <w:gridCol w:w="6466"/>
      </w:tblGrid>
      <w:tr>
        <w:tblPrEx>
          <w:tblCellMar>
            <w:top w:w="0" w:type="dxa"/>
            <w:left w:w="0" w:type="dxa"/>
            <w:bottom w:w="0" w:type="dxa"/>
            <w:right w:w="0" w:type="dxa"/>
          </w:tblCellMar>
        </w:tblPrEx>
        <w:trPr>
          <w:trHeight w:val="96"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序号</w:t>
            </w:r>
          </w:p>
        </w:tc>
        <w:tc>
          <w:tcPr>
            <w:tcW w:w="1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园区</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地点</w:t>
            </w:r>
          </w:p>
        </w:tc>
        <w:tc>
          <w:tcPr>
            <w:tcW w:w="6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top"/>
              <w:rPr>
                <w:rStyle w:val="38"/>
                <w:rFonts w:ascii="Times New Roman" w:hAnsi="Times New Roman" w:eastAsia="方正楷体简体" w:cs="Times New Roman"/>
                <w:color w:val="auto"/>
                <w:sz w:val="24"/>
                <w:szCs w:val="24"/>
              </w:rPr>
            </w:pPr>
            <w:r>
              <w:rPr>
                <w:rStyle w:val="38"/>
                <w:rFonts w:ascii="Times New Roman" w:hAnsi="Times New Roman" w:eastAsia="方正楷体简体" w:cs="Times New Roman"/>
                <w:color w:val="auto"/>
                <w:sz w:val="24"/>
                <w:szCs w:val="24"/>
              </w:rPr>
              <w:t>发展内容及方向</w:t>
            </w:r>
          </w:p>
        </w:tc>
      </w:tr>
      <w:tr>
        <w:tblPrEx>
          <w:tblCellMar>
            <w:top w:w="0" w:type="dxa"/>
            <w:left w:w="0" w:type="dxa"/>
            <w:bottom w:w="0" w:type="dxa"/>
            <w:right w:w="0" w:type="dxa"/>
          </w:tblCellMar>
        </w:tblPrEx>
        <w:trPr>
          <w:trHeight w:val="672"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1</w:t>
            </w:r>
          </w:p>
        </w:tc>
        <w:tc>
          <w:tcPr>
            <w:tcW w:w="1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国际石材展示体验中心</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石井镇</w:t>
            </w:r>
          </w:p>
        </w:tc>
        <w:tc>
          <w:tcPr>
            <w:tcW w:w="6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val="0"/>
              <w:spacing w:line="400" w:lineRule="exact"/>
              <w:textAlignment w:val="top"/>
              <w:rPr>
                <w:rFonts w:ascii="Times New Roman" w:hAnsi="Times New Roman" w:eastAsia="方正楷体简体" w:cs="Times New Roman"/>
                <w:color w:val="000000"/>
                <w:sz w:val="24"/>
                <w:szCs w:val="24"/>
              </w:rPr>
            </w:pPr>
            <w:r>
              <w:rPr>
                <w:rStyle w:val="39"/>
                <w:rFonts w:ascii="Times New Roman" w:hAnsi="Times New Roman" w:eastAsia="方正楷体简体" w:cs="Times New Roman"/>
                <w:color w:val="auto"/>
                <w:sz w:val="24"/>
                <w:szCs w:val="24"/>
              </w:rPr>
              <w:t>规划面积</w:t>
            </w:r>
            <w:r>
              <w:rPr>
                <w:rStyle w:val="38"/>
                <w:rFonts w:ascii="Times New Roman" w:hAnsi="Times New Roman" w:eastAsia="方正楷体简体" w:cs="Times New Roman"/>
                <w:color w:val="auto"/>
                <w:sz w:val="24"/>
                <w:szCs w:val="24"/>
              </w:rPr>
              <w:t>1500亩</w:t>
            </w:r>
            <w:r>
              <w:rPr>
                <w:rStyle w:val="39"/>
                <w:rFonts w:ascii="Times New Roman" w:hAnsi="Times New Roman" w:eastAsia="方正楷体简体" w:cs="Times New Roman"/>
                <w:color w:val="auto"/>
                <w:sz w:val="24"/>
                <w:szCs w:val="24"/>
              </w:rPr>
              <w:t>，引领产业逐步向源头控制、装潢设计、创意运用、线上线下、展示体验、C端销售、结算中心方向延展，打造石材会客厅。</w:t>
            </w:r>
          </w:p>
        </w:tc>
      </w:tr>
      <w:tr>
        <w:tblPrEx>
          <w:tblCellMar>
            <w:top w:w="0" w:type="dxa"/>
            <w:left w:w="0" w:type="dxa"/>
            <w:bottom w:w="0" w:type="dxa"/>
            <w:right w:w="0" w:type="dxa"/>
          </w:tblCellMar>
        </w:tblPrEx>
        <w:trPr>
          <w:trHeight w:val="870"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2</w:t>
            </w:r>
          </w:p>
        </w:tc>
        <w:tc>
          <w:tcPr>
            <w:tcW w:w="1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泉州（南安）高端装备智造园</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霞美镇</w:t>
            </w:r>
          </w:p>
        </w:tc>
        <w:tc>
          <w:tcPr>
            <w:tcW w:w="6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val="0"/>
              <w:spacing w:line="400" w:lineRule="exact"/>
              <w:textAlignment w:val="top"/>
              <w:rPr>
                <w:rFonts w:ascii="Times New Roman" w:hAnsi="Times New Roman" w:eastAsia="方正楷体简体" w:cs="Times New Roman"/>
                <w:color w:val="000000"/>
                <w:sz w:val="24"/>
                <w:szCs w:val="24"/>
              </w:rPr>
            </w:pPr>
            <w:r>
              <w:rPr>
                <w:rStyle w:val="39"/>
                <w:rFonts w:ascii="Times New Roman" w:hAnsi="Times New Roman" w:eastAsia="方正楷体简体" w:cs="Times New Roman"/>
                <w:color w:val="auto"/>
                <w:sz w:val="24"/>
                <w:szCs w:val="24"/>
              </w:rPr>
              <w:t>规划用地</w:t>
            </w:r>
            <w:r>
              <w:rPr>
                <w:rStyle w:val="38"/>
                <w:rFonts w:ascii="Times New Roman" w:hAnsi="Times New Roman" w:eastAsia="方正楷体简体" w:cs="Times New Roman"/>
                <w:color w:val="auto"/>
                <w:sz w:val="24"/>
                <w:szCs w:val="24"/>
              </w:rPr>
              <w:t>2440亩</w:t>
            </w:r>
            <w:r>
              <w:rPr>
                <w:rStyle w:val="39"/>
                <w:rFonts w:ascii="Times New Roman" w:hAnsi="Times New Roman" w:eastAsia="方正楷体简体" w:cs="Times New Roman"/>
                <w:color w:val="auto"/>
                <w:sz w:val="24"/>
                <w:szCs w:val="24"/>
              </w:rPr>
              <w:t>，引领产业向高端数控机床、工业机器人、成套</w:t>
            </w:r>
            <w:r>
              <w:rPr>
                <w:rStyle w:val="39"/>
                <w:rFonts w:hint="eastAsia" w:ascii="Times New Roman" w:hAnsi="Times New Roman" w:eastAsia="方正楷体简体" w:cs="Times New Roman"/>
                <w:color w:val="auto"/>
                <w:sz w:val="24"/>
                <w:szCs w:val="24"/>
                <w:lang w:eastAsia="zh-CN"/>
              </w:rPr>
              <w:t>智能</w:t>
            </w:r>
            <w:r>
              <w:rPr>
                <w:rStyle w:val="39"/>
                <w:rFonts w:ascii="Times New Roman" w:hAnsi="Times New Roman" w:eastAsia="方正楷体简体" w:cs="Times New Roman"/>
                <w:color w:val="auto"/>
                <w:sz w:val="24"/>
                <w:szCs w:val="24"/>
              </w:rPr>
              <w:t>设备方向发展，打造省级高端装备制造示范园区。</w:t>
            </w:r>
          </w:p>
        </w:tc>
      </w:tr>
      <w:tr>
        <w:tblPrEx>
          <w:tblCellMar>
            <w:top w:w="0" w:type="dxa"/>
            <w:left w:w="0" w:type="dxa"/>
            <w:bottom w:w="0" w:type="dxa"/>
            <w:right w:w="0" w:type="dxa"/>
          </w:tblCellMar>
        </w:tblPrEx>
        <w:trPr>
          <w:trHeight w:val="945"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3</w:t>
            </w:r>
          </w:p>
        </w:tc>
        <w:tc>
          <w:tcPr>
            <w:tcW w:w="1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水暖阀门园</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英都镇</w:t>
            </w:r>
          </w:p>
        </w:tc>
        <w:tc>
          <w:tcPr>
            <w:tcW w:w="6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val="0"/>
              <w:spacing w:line="400" w:lineRule="exact"/>
              <w:textAlignment w:val="top"/>
              <w:rPr>
                <w:rFonts w:ascii="Times New Roman" w:hAnsi="Times New Roman" w:eastAsia="方正楷体简体" w:cs="Times New Roman"/>
                <w:color w:val="000000"/>
                <w:sz w:val="24"/>
                <w:szCs w:val="24"/>
              </w:rPr>
            </w:pPr>
            <w:r>
              <w:rPr>
                <w:rStyle w:val="39"/>
                <w:rFonts w:ascii="Times New Roman" w:hAnsi="Times New Roman" w:eastAsia="方正楷体简体" w:cs="Times New Roman"/>
                <w:color w:val="auto"/>
                <w:sz w:val="24"/>
                <w:szCs w:val="24"/>
              </w:rPr>
              <w:t>规划面积</w:t>
            </w:r>
            <w:r>
              <w:rPr>
                <w:rStyle w:val="38"/>
                <w:rFonts w:ascii="Times New Roman" w:hAnsi="Times New Roman" w:eastAsia="方正楷体简体" w:cs="Times New Roman"/>
                <w:color w:val="auto"/>
                <w:sz w:val="24"/>
                <w:szCs w:val="24"/>
              </w:rPr>
              <w:t>5400亩</w:t>
            </w:r>
            <w:r>
              <w:rPr>
                <w:rStyle w:val="39"/>
                <w:rFonts w:ascii="Times New Roman" w:hAnsi="Times New Roman" w:eastAsia="方正楷体简体" w:cs="Times New Roman"/>
                <w:color w:val="auto"/>
                <w:sz w:val="24"/>
                <w:szCs w:val="24"/>
              </w:rPr>
              <w:t>，重点培育发展水暖阀门、厨卫洁具产业，引领产业逐步向智能加工、行业中心、消费引领、全球竞合方向发展，打造融“产、销、研”于一体的水暖阀门工业园区。</w:t>
            </w:r>
          </w:p>
        </w:tc>
      </w:tr>
      <w:tr>
        <w:tblPrEx>
          <w:tblCellMar>
            <w:top w:w="0" w:type="dxa"/>
            <w:left w:w="0" w:type="dxa"/>
            <w:bottom w:w="0" w:type="dxa"/>
            <w:right w:w="0" w:type="dxa"/>
          </w:tblCellMar>
        </w:tblPrEx>
        <w:trPr>
          <w:trHeight w:val="90"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4</w:t>
            </w:r>
          </w:p>
        </w:tc>
        <w:tc>
          <w:tcPr>
            <w:tcW w:w="1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电子信息产业园</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霞美镇</w:t>
            </w:r>
          </w:p>
        </w:tc>
        <w:tc>
          <w:tcPr>
            <w:tcW w:w="6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val="0"/>
              <w:spacing w:line="400" w:lineRule="exact"/>
              <w:textAlignment w:val="top"/>
              <w:rPr>
                <w:rFonts w:ascii="Times New Roman" w:hAnsi="Times New Roman" w:eastAsia="方正楷体简体" w:cs="Times New Roman"/>
                <w:sz w:val="24"/>
                <w:szCs w:val="24"/>
              </w:rPr>
            </w:pPr>
            <w:r>
              <w:rPr>
                <w:rStyle w:val="39"/>
                <w:rFonts w:ascii="Times New Roman" w:hAnsi="Times New Roman" w:eastAsia="方正楷体简体" w:cs="Times New Roman"/>
                <w:color w:val="auto"/>
                <w:sz w:val="24"/>
                <w:szCs w:val="24"/>
              </w:rPr>
              <w:t>规划用地</w:t>
            </w:r>
            <w:r>
              <w:rPr>
                <w:rStyle w:val="38"/>
                <w:rFonts w:ascii="Times New Roman" w:hAnsi="Times New Roman" w:eastAsia="方正楷体简体" w:cs="Times New Roman"/>
                <w:color w:val="auto"/>
                <w:sz w:val="24"/>
                <w:szCs w:val="24"/>
              </w:rPr>
              <w:t>1550亩</w:t>
            </w:r>
            <w:r>
              <w:rPr>
                <w:rStyle w:val="39"/>
                <w:rFonts w:ascii="Times New Roman" w:hAnsi="Times New Roman" w:eastAsia="方正楷体简体" w:cs="Times New Roman"/>
                <w:color w:val="auto"/>
                <w:sz w:val="24"/>
                <w:szCs w:val="24"/>
              </w:rPr>
              <w:t>，积极对接中国电子信息集团，建设集对讲机“模转数”应用、产业研究院、元器件、配件和成品交易、商贸、服务等功能为一体的数字通讯产业专业平台。</w:t>
            </w:r>
          </w:p>
        </w:tc>
      </w:tr>
      <w:tr>
        <w:tblPrEx>
          <w:tblCellMar>
            <w:top w:w="0" w:type="dxa"/>
            <w:left w:w="0" w:type="dxa"/>
            <w:bottom w:w="0" w:type="dxa"/>
            <w:right w:w="0" w:type="dxa"/>
          </w:tblCellMar>
        </w:tblPrEx>
        <w:trPr>
          <w:trHeight w:val="90"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5</w:t>
            </w:r>
          </w:p>
        </w:tc>
        <w:tc>
          <w:tcPr>
            <w:tcW w:w="1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“芯谷”</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石井镇</w:t>
            </w:r>
          </w:p>
        </w:tc>
        <w:tc>
          <w:tcPr>
            <w:tcW w:w="6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val="0"/>
              <w:spacing w:line="400" w:lineRule="exact"/>
              <w:textAlignment w:val="top"/>
              <w:rPr>
                <w:rFonts w:ascii="Times New Roman" w:hAnsi="Times New Roman" w:eastAsia="方正楷体简体" w:cs="Times New Roman"/>
                <w:sz w:val="24"/>
                <w:szCs w:val="24"/>
              </w:rPr>
            </w:pPr>
            <w:r>
              <w:rPr>
                <w:rStyle w:val="39"/>
                <w:rFonts w:ascii="Times New Roman" w:hAnsi="Times New Roman" w:eastAsia="方正楷体简体" w:cs="Times New Roman"/>
                <w:color w:val="auto"/>
                <w:sz w:val="24"/>
                <w:szCs w:val="24"/>
              </w:rPr>
              <w:t>规划面积</w:t>
            </w:r>
            <w:r>
              <w:rPr>
                <w:rStyle w:val="38"/>
                <w:rFonts w:ascii="Times New Roman" w:hAnsi="Times New Roman" w:eastAsia="方正楷体简体" w:cs="Times New Roman"/>
                <w:color w:val="auto"/>
                <w:sz w:val="24"/>
                <w:szCs w:val="24"/>
              </w:rPr>
              <w:t>33平方公里</w:t>
            </w:r>
            <w:r>
              <w:rPr>
                <w:rStyle w:val="39"/>
                <w:rFonts w:ascii="Times New Roman" w:hAnsi="Times New Roman" w:eastAsia="方正楷体简体" w:cs="Times New Roman"/>
                <w:color w:val="auto"/>
                <w:sz w:val="24"/>
                <w:szCs w:val="24"/>
              </w:rPr>
              <w:t>，远景规划目标将达200至300平方公里，以三安高端半导体项目为龙头，集聚上下游产业链企业，打造全国重要化合物半导体产业基地。</w:t>
            </w:r>
          </w:p>
        </w:tc>
      </w:tr>
      <w:tr>
        <w:tblPrEx>
          <w:tblCellMar>
            <w:top w:w="0" w:type="dxa"/>
            <w:left w:w="0" w:type="dxa"/>
            <w:bottom w:w="0" w:type="dxa"/>
            <w:right w:w="0" w:type="dxa"/>
          </w:tblCellMar>
        </w:tblPrEx>
        <w:trPr>
          <w:trHeight w:val="585"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6</w:t>
            </w:r>
          </w:p>
        </w:tc>
        <w:tc>
          <w:tcPr>
            <w:tcW w:w="1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“智谷”</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美林街道</w:t>
            </w:r>
          </w:p>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省新镇</w:t>
            </w:r>
          </w:p>
        </w:tc>
        <w:tc>
          <w:tcPr>
            <w:tcW w:w="6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val="0"/>
              <w:spacing w:line="400" w:lineRule="exact"/>
              <w:textAlignment w:val="top"/>
              <w:rPr>
                <w:rFonts w:ascii="Times New Roman" w:hAnsi="Times New Roman" w:eastAsia="方正楷体简体" w:cs="Times New Roman"/>
                <w:sz w:val="24"/>
                <w:szCs w:val="24"/>
              </w:rPr>
            </w:pPr>
            <w:r>
              <w:rPr>
                <w:rStyle w:val="39"/>
                <w:rFonts w:ascii="Times New Roman" w:hAnsi="Times New Roman" w:eastAsia="方正楷体简体" w:cs="Times New Roman"/>
                <w:color w:val="auto"/>
                <w:sz w:val="24"/>
                <w:szCs w:val="24"/>
              </w:rPr>
              <w:t>规划面积</w:t>
            </w:r>
            <w:r>
              <w:rPr>
                <w:rStyle w:val="38"/>
                <w:rFonts w:ascii="Times New Roman" w:hAnsi="Times New Roman" w:eastAsia="方正楷体简体" w:cs="Times New Roman"/>
                <w:color w:val="auto"/>
                <w:sz w:val="24"/>
                <w:szCs w:val="24"/>
              </w:rPr>
              <w:t>43平方公里</w:t>
            </w:r>
            <w:r>
              <w:rPr>
                <w:rStyle w:val="39"/>
                <w:rFonts w:ascii="Times New Roman" w:hAnsi="Times New Roman" w:eastAsia="方正楷体简体" w:cs="Times New Roman"/>
                <w:color w:val="auto"/>
                <w:sz w:val="24"/>
                <w:szCs w:val="24"/>
              </w:rPr>
              <w:t>，培育科创孵化、智慧家居、柔性制造等新业态，打造功能凸显、配套齐全、产城一体的城北智谷科创走廊。</w:t>
            </w:r>
          </w:p>
        </w:tc>
      </w:tr>
      <w:tr>
        <w:tblPrEx>
          <w:tblCellMar>
            <w:top w:w="0" w:type="dxa"/>
            <w:left w:w="0" w:type="dxa"/>
            <w:bottom w:w="0" w:type="dxa"/>
            <w:right w:w="0" w:type="dxa"/>
          </w:tblCellMar>
        </w:tblPrEx>
        <w:trPr>
          <w:trHeight w:val="540"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7</w:t>
            </w:r>
          </w:p>
        </w:tc>
        <w:tc>
          <w:tcPr>
            <w:tcW w:w="1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福建海西再生资源产业园区</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省新镇</w:t>
            </w:r>
          </w:p>
        </w:tc>
        <w:tc>
          <w:tcPr>
            <w:tcW w:w="6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val="0"/>
              <w:spacing w:line="400" w:lineRule="exact"/>
              <w:textAlignment w:val="bottom"/>
              <w:rPr>
                <w:rFonts w:ascii="Times New Roman" w:hAnsi="Times New Roman" w:eastAsia="方正楷体简体" w:cs="Times New Roman"/>
                <w:sz w:val="24"/>
                <w:szCs w:val="24"/>
              </w:rPr>
            </w:pPr>
            <w:r>
              <w:rPr>
                <w:rStyle w:val="39"/>
                <w:rFonts w:ascii="Times New Roman" w:hAnsi="Times New Roman" w:eastAsia="方正楷体简体" w:cs="Times New Roman"/>
                <w:color w:val="auto"/>
                <w:sz w:val="24"/>
                <w:szCs w:val="24"/>
              </w:rPr>
              <w:t>规划用地</w:t>
            </w:r>
            <w:r>
              <w:rPr>
                <w:rStyle w:val="38"/>
                <w:rFonts w:ascii="Times New Roman" w:hAnsi="Times New Roman" w:eastAsia="方正楷体简体" w:cs="Times New Roman"/>
                <w:color w:val="auto"/>
                <w:sz w:val="24"/>
                <w:szCs w:val="24"/>
              </w:rPr>
              <w:t>5029亩</w:t>
            </w:r>
            <w:r>
              <w:rPr>
                <w:rStyle w:val="39"/>
                <w:rFonts w:ascii="Times New Roman" w:hAnsi="Times New Roman" w:eastAsia="方正楷体简体" w:cs="Times New Roman"/>
                <w:color w:val="auto"/>
                <w:sz w:val="24"/>
                <w:szCs w:val="24"/>
              </w:rPr>
              <w:t>，一期用地</w:t>
            </w:r>
            <w:r>
              <w:rPr>
                <w:rStyle w:val="38"/>
                <w:rFonts w:ascii="Times New Roman" w:hAnsi="Times New Roman" w:eastAsia="方正楷体简体" w:cs="Times New Roman"/>
                <w:color w:val="auto"/>
                <w:sz w:val="24"/>
                <w:szCs w:val="24"/>
              </w:rPr>
              <w:t>1500亩</w:t>
            </w:r>
            <w:r>
              <w:rPr>
                <w:rStyle w:val="39"/>
                <w:rFonts w:ascii="Times New Roman" w:hAnsi="Times New Roman" w:eastAsia="方正楷体简体" w:cs="Times New Roman"/>
                <w:color w:val="auto"/>
                <w:sz w:val="24"/>
                <w:szCs w:val="24"/>
              </w:rPr>
              <w:t>，按小微产业园区模式建设集再生资源分拣、拆解、加工、交易、资源化利用、无害化处理为一体的产业链完整的高新企业园区。</w:t>
            </w:r>
          </w:p>
        </w:tc>
      </w:tr>
      <w:tr>
        <w:tblPrEx>
          <w:tblCellMar>
            <w:top w:w="0" w:type="dxa"/>
            <w:left w:w="0" w:type="dxa"/>
            <w:bottom w:w="0" w:type="dxa"/>
            <w:right w:w="0" w:type="dxa"/>
          </w:tblCellMar>
        </w:tblPrEx>
        <w:trPr>
          <w:trHeight w:val="540"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8</w:t>
            </w:r>
          </w:p>
        </w:tc>
        <w:tc>
          <w:tcPr>
            <w:tcW w:w="1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闽西南区域商贸物流中心</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省新镇</w:t>
            </w:r>
          </w:p>
        </w:tc>
        <w:tc>
          <w:tcPr>
            <w:tcW w:w="6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val="0"/>
              <w:spacing w:line="400" w:lineRule="exact"/>
              <w:textAlignment w:val="bottom"/>
              <w:rPr>
                <w:rFonts w:ascii="Times New Roman" w:hAnsi="Times New Roman" w:eastAsia="方正楷体简体" w:cs="Times New Roman"/>
                <w:sz w:val="24"/>
                <w:szCs w:val="24"/>
              </w:rPr>
            </w:pPr>
            <w:r>
              <w:rPr>
                <w:rStyle w:val="39"/>
                <w:rFonts w:ascii="Times New Roman" w:hAnsi="Times New Roman" w:eastAsia="方正楷体简体" w:cs="Times New Roman"/>
                <w:color w:val="auto"/>
                <w:sz w:val="24"/>
                <w:szCs w:val="24"/>
              </w:rPr>
              <w:t>规划面积约</w:t>
            </w:r>
            <w:r>
              <w:rPr>
                <w:rStyle w:val="38"/>
                <w:rFonts w:ascii="Times New Roman" w:hAnsi="Times New Roman" w:eastAsia="方正楷体简体" w:cs="Times New Roman"/>
                <w:color w:val="auto"/>
                <w:sz w:val="24"/>
                <w:szCs w:val="24"/>
              </w:rPr>
              <w:t>3570亩</w:t>
            </w:r>
            <w:r>
              <w:rPr>
                <w:rStyle w:val="39"/>
                <w:rFonts w:ascii="Times New Roman" w:hAnsi="Times New Roman" w:eastAsia="方正楷体简体" w:cs="Times New Roman"/>
                <w:color w:val="auto"/>
                <w:sz w:val="24"/>
                <w:szCs w:val="24"/>
              </w:rPr>
              <w:t>，建设集高铁站前服务、现代物流运输、智能终端智造、家居生产配套等为主的功能区，打造闽西南区域物流中心。</w:t>
            </w:r>
          </w:p>
        </w:tc>
      </w:tr>
      <w:tr>
        <w:tblPrEx>
          <w:tblCellMar>
            <w:top w:w="0" w:type="dxa"/>
            <w:left w:w="0" w:type="dxa"/>
            <w:bottom w:w="0" w:type="dxa"/>
            <w:right w:w="0" w:type="dxa"/>
          </w:tblCellMar>
        </w:tblPrEx>
        <w:trPr>
          <w:trHeight w:val="810"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9</w:t>
            </w:r>
          </w:p>
        </w:tc>
        <w:tc>
          <w:tcPr>
            <w:tcW w:w="1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康雪洪高新技术园区</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32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康美镇</w:t>
            </w:r>
          </w:p>
          <w:p>
            <w:pPr>
              <w:widowControl w:val="0"/>
              <w:spacing w:line="32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洪濑镇</w:t>
            </w:r>
          </w:p>
          <w:p>
            <w:pPr>
              <w:widowControl w:val="0"/>
              <w:spacing w:line="320" w:lineRule="exact"/>
              <w:jc w:val="center"/>
              <w:textAlignment w:val="center"/>
              <w:rPr>
                <w:rFonts w:ascii="Times New Roman" w:hAnsi="Times New Roman" w:eastAsia="方正楷体简体" w:cs="Times New Roman"/>
                <w:color w:val="000000"/>
                <w:sz w:val="24"/>
                <w:szCs w:val="24"/>
              </w:rPr>
            </w:pPr>
            <w:r>
              <w:rPr>
                <w:rStyle w:val="39"/>
                <w:rFonts w:ascii="Times New Roman" w:hAnsi="Times New Roman" w:eastAsia="方正楷体简体" w:cs="Times New Roman"/>
                <w:color w:val="auto"/>
                <w:sz w:val="24"/>
                <w:szCs w:val="24"/>
              </w:rPr>
              <w:t>雪峰经济开发区</w:t>
            </w:r>
          </w:p>
        </w:tc>
        <w:tc>
          <w:tcPr>
            <w:tcW w:w="6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val="0"/>
              <w:spacing w:line="400" w:lineRule="exact"/>
              <w:jc w:val="both"/>
              <w:textAlignment w:val="bottom"/>
              <w:rPr>
                <w:rFonts w:ascii="Times New Roman" w:hAnsi="Times New Roman" w:eastAsia="方正楷体简体" w:cs="Times New Roman"/>
                <w:sz w:val="24"/>
                <w:szCs w:val="24"/>
              </w:rPr>
            </w:pPr>
            <w:r>
              <w:rPr>
                <w:rStyle w:val="39"/>
                <w:rFonts w:ascii="Times New Roman" w:hAnsi="Times New Roman" w:eastAsia="方正楷体简体" w:cs="Times New Roman"/>
                <w:color w:val="auto"/>
                <w:sz w:val="24"/>
                <w:szCs w:val="24"/>
              </w:rPr>
              <w:t>规划面积约</w:t>
            </w:r>
            <w:r>
              <w:rPr>
                <w:rStyle w:val="38"/>
                <w:rFonts w:ascii="Times New Roman" w:hAnsi="Times New Roman" w:eastAsia="方正楷体简体" w:cs="Times New Roman"/>
                <w:color w:val="auto"/>
                <w:sz w:val="24"/>
                <w:szCs w:val="24"/>
              </w:rPr>
              <w:t>2430公顷</w:t>
            </w:r>
            <w:r>
              <w:rPr>
                <w:rStyle w:val="39"/>
                <w:rFonts w:ascii="Times New Roman" w:hAnsi="Times New Roman" w:eastAsia="方正楷体简体" w:cs="Times New Roman"/>
                <w:color w:val="auto"/>
                <w:sz w:val="24"/>
                <w:szCs w:val="24"/>
              </w:rPr>
              <w:t>，重点承接汽车及配件、工业机器人、可穿戴设备等优势智能制造产业的制造环节，培育发展食品加工和商贸、冷链物流中心、机械智能制造、电子信息等产业。</w:t>
            </w:r>
          </w:p>
        </w:tc>
      </w:tr>
      <w:tr>
        <w:tblPrEx>
          <w:tblCellMar>
            <w:top w:w="0" w:type="dxa"/>
            <w:left w:w="0" w:type="dxa"/>
            <w:bottom w:w="0" w:type="dxa"/>
            <w:right w:w="0" w:type="dxa"/>
          </w:tblCellMar>
        </w:tblPrEx>
        <w:trPr>
          <w:trHeight w:val="270"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10</w:t>
            </w:r>
          </w:p>
        </w:tc>
        <w:tc>
          <w:tcPr>
            <w:tcW w:w="1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石井临空临港高新区</w:t>
            </w:r>
          </w:p>
        </w:tc>
        <w:tc>
          <w:tcPr>
            <w:tcW w:w="1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石井镇</w:t>
            </w:r>
          </w:p>
        </w:tc>
        <w:tc>
          <w:tcPr>
            <w:tcW w:w="6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val="0"/>
              <w:spacing w:line="400" w:lineRule="exact"/>
              <w:textAlignment w:val="bottom"/>
              <w:rPr>
                <w:rFonts w:ascii="Times New Roman" w:hAnsi="Times New Roman" w:eastAsia="方正楷体简体" w:cs="Times New Roman"/>
                <w:sz w:val="24"/>
                <w:szCs w:val="24"/>
              </w:rPr>
            </w:pPr>
            <w:r>
              <w:rPr>
                <w:rStyle w:val="39"/>
                <w:rFonts w:ascii="Times New Roman" w:hAnsi="Times New Roman" w:eastAsia="方正楷体简体" w:cs="Times New Roman"/>
                <w:color w:val="auto"/>
                <w:sz w:val="24"/>
                <w:szCs w:val="24"/>
              </w:rPr>
              <w:t>规划面积约</w:t>
            </w:r>
            <w:r>
              <w:rPr>
                <w:rStyle w:val="38"/>
                <w:rFonts w:ascii="Times New Roman" w:hAnsi="Times New Roman" w:eastAsia="方正楷体简体" w:cs="Times New Roman"/>
                <w:color w:val="auto"/>
                <w:sz w:val="24"/>
                <w:szCs w:val="24"/>
              </w:rPr>
              <w:t>908公顷</w:t>
            </w:r>
            <w:r>
              <w:rPr>
                <w:rStyle w:val="39"/>
                <w:rFonts w:ascii="Times New Roman" w:hAnsi="Times New Roman" w:eastAsia="方正楷体简体" w:cs="Times New Roman"/>
                <w:color w:val="auto"/>
                <w:sz w:val="24"/>
                <w:szCs w:val="24"/>
              </w:rPr>
              <w:t>，重点承接对台产业转移、临空产业、临港产业，形成临空、临港产业集中区。</w:t>
            </w:r>
          </w:p>
        </w:tc>
      </w:tr>
      <w:tr>
        <w:tblPrEx>
          <w:tblCellMar>
            <w:top w:w="0" w:type="dxa"/>
            <w:left w:w="0" w:type="dxa"/>
            <w:bottom w:w="0" w:type="dxa"/>
            <w:right w:w="0" w:type="dxa"/>
          </w:tblCellMar>
        </w:tblPrEx>
        <w:trPr>
          <w:trHeight w:val="540" w:hRule="atLeast"/>
          <w:jc w:val="center"/>
        </w:trPr>
        <w:tc>
          <w:tcPr>
            <w:tcW w:w="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11</w:t>
            </w:r>
          </w:p>
        </w:tc>
        <w:tc>
          <w:tcPr>
            <w:tcW w:w="1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官桥园区</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400" w:lineRule="exact"/>
              <w:jc w:val="center"/>
              <w:textAlignment w:val="center"/>
              <w:rPr>
                <w:rFonts w:ascii="Times New Roman" w:hAnsi="Times New Roman" w:eastAsia="方正楷体简体" w:cs="Times New Roman"/>
                <w:color w:val="000000"/>
                <w:sz w:val="24"/>
                <w:szCs w:val="24"/>
              </w:rPr>
            </w:pPr>
            <w:r>
              <w:rPr>
                <w:rFonts w:ascii="Times New Roman" w:hAnsi="Times New Roman" w:eastAsia="方正楷体简体" w:cs="Times New Roman"/>
                <w:color w:val="000000"/>
                <w:sz w:val="24"/>
                <w:szCs w:val="24"/>
              </w:rPr>
              <w:t>官桥镇</w:t>
            </w:r>
          </w:p>
        </w:tc>
        <w:tc>
          <w:tcPr>
            <w:tcW w:w="64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val="0"/>
              <w:spacing w:line="400" w:lineRule="exact"/>
              <w:textAlignment w:val="bottom"/>
              <w:rPr>
                <w:rFonts w:ascii="Times New Roman" w:hAnsi="Times New Roman" w:eastAsia="方正楷体简体" w:cs="Times New Roman"/>
                <w:sz w:val="24"/>
                <w:szCs w:val="24"/>
              </w:rPr>
            </w:pPr>
            <w:r>
              <w:rPr>
                <w:rStyle w:val="39"/>
                <w:rFonts w:ascii="Times New Roman" w:hAnsi="Times New Roman" w:eastAsia="方正楷体简体" w:cs="Times New Roman"/>
                <w:color w:val="auto"/>
                <w:sz w:val="24"/>
                <w:szCs w:val="24"/>
              </w:rPr>
              <w:t>规划面积</w:t>
            </w:r>
            <w:r>
              <w:rPr>
                <w:rStyle w:val="38"/>
                <w:rFonts w:ascii="Times New Roman" w:hAnsi="Times New Roman" w:eastAsia="方正楷体简体" w:cs="Times New Roman"/>
                <w:color w:val="auto"/>
                <w:sz w:val="24"/>
                <w:szCs w:val="24"/>
              </w:rPr>
              <w:t>15平方公里</w:t>
            </w:r>
            <w:r>
              <w:rPr>
                <w:rStyle w:val="39"/>
                <w:rFonts w:ascii="Times New Roman" w:hAnsi="Times New Roman" w:eastAsia="方正楷体简体" w:cs="Times New Roman"/>
                <w:color w:val="auto"/>
                <w:sz w:val="24"/>
                <w:szCs w:val="24"/>
              </w:rPr>
              <w:t>，规划设立纺织鞋服产业园、电子信息产业园、机电与机械一体化产业园，配套建设现代物流园区、商务服务园区和生活居住区。</w:t>
            </w:r>
          </w:p>
        </w:tc>
      </w:tr>
    </w:tbl>
    <w:p>
      <w:pPr>
        <w:pStyle w:val="17"/>
        <w:widowControl w:val="0"/>
        <w:adjustRightInd/>
        <w:snapToGrid/>
        <w:spacing w:beforeLines="50" w:afterLines="50" w:line="620" w:lineRule="exact"/>
        <w:rPr>
          <w:rFonts w:ascii="Times New Roman" w:hAnsi="Times New Roman" w:eastAsia="方正小标宋简体" w:cs="Times New Roman"/>
          <w:sz w:val="36"/>
          <w:szCs w:val="36"/>
        </w:rPr>
      </w:pPr>
      <w:bookmarkStart w:id="338" w:name="_Toc27261"/>
      <w:bookmarkStart w:id="339" w:name="_Toc29419"/>
      <w:bookmarkStart w:id="340" w:name="_Toc27698"/>
      <w:bookmarkStart w:id="341" w:name="_Toc14349"/>
      <w:bookmarkStart w:id="342" w:name="_Toc7025"/>
      <w:bookmarkStart w:id="343" w:name="_Toc26889"/>
      <w:bookmarkStart w:id="344" w:name="_Toc12812"/>
      <w:bookmarkStart w:id="345" w:name="_Toc11535"/>
      <w:bookmarkStart w:id="346" w:name="_Toc68707646"/>
      <w:bookmarkStart w:id="347" w:name="_Toc1201"/>
      <w:bookmarkStart w:id="348" w:name="_Toc28266"/>
      <w:bookmarkStart w:id="349" w:name="_Toc27410"/>
      <w:bookmarkStart w:id="350" w:name="_Toc30561"/>
      <w:bookmarkStart w:id="351" w:name="_Toc26902"/>
      <w:bookmarkStart w:id="352" w:name="_Toc7856"/>
      <w:bookmarkStart w:id="353" w:name="_Toc26195"/>
      <w:bookmarkStart w:id="354" w:name="_Toc29885"/>
      <w:r>
        <w:rPr>
          <w:rFonts w:ascii="Times New Roman" w:hAnsi="Times New Roman" w:eastAsia="方正小标宋简体" w:cs="Times New Roman"/>
          <w:sz w:val="36"/>
          <w:szCs w:val="36"/>
        </w:rPr>
        <w:t>第四章  打造更具创新力的软实力体系</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widowControl w:val="0"/>
        <w:spacing w:line="600" w:lineRule="exact"/>
        <w:ind w:firstLine="640" w:firstLineChars="200"/>
        <w:jc w:val="both"/>
        <w:rPr>
          <w:rFonts w:ascii="Times New Roman" w:hAnsi="Times New Roman" w:eastAsia="方正仿宋简体" w:cs="Times New Roman"/>
          <w:bCs/>
          <w:color w:val="0D0D0D"/>
          <w:sz w:val="32"/>
          <w:szCs w:val="32"/>
        </w:rPr>
      </w:pPr>
      <w:bookmarkStart w:id="355" w:name="_Toc19732"/>
      <w:r>
        <w:rPr>
          <w:rFonts w:ascii="Times New Roman" w:hAnsi="Times New Roman" w:eastAsia="方正仿宋简体" w:cs="Times New Roman"/>
          <w:bCs/>
          <w:color w:val="0D0D0D"/>
          <w:sz w:val="32"/>
          <w:szCs w:val="32"/>
        </w:rPr>
        <w:t>抓住</w:t>
      </w:r>
      <w:r>
        <w:rPr>
          <w:rFonts w:hint="eastAsia" w:ascii="Times New Roman" w:hAnsi="Times New Roman" w:eastAsia="方正仿宋简体" w:cs="Times New Roman"/>
          <w:bCs/>
          <w:color w:val="0D0D0D"/>
          <w:sz w:val="32"/>
          <w:szCs w:val="32"/>
          <w:lang w:val="en-US" w:eastAsia="zh-CN"/>
        </w:rPr>
        <w:t>国家“</w:t>
      </w:r>
      <w:r>
        <w:rPr>
          <w:rFonts w:hint="eastAsia" w:ascii="Times New Roman" w:hAnsi="Times New Roman" w:eastAsia="方正仿宋简体" w:cs="Times New Roman"/>
          <w:bCs/>
          <w:color w:val="0D0D0D"/>
          <w:sz w:val="32"/>
          <w:szCs w:val="32"/>
        </w:rPr>
        <w:t>推进福建、新疆建设</w:t>
      </w:r>
      <w:r>
        <w:rPr>
          <w:rFonts w:hint="eastAsia" w:ascii="Times New Roman" w:hAnsi="Times New Roman" w:eastAsia="方正仿宋简体" w:cs="Times New Roman"/>
          <w:bCs/>
          <w:color w:val="0D0D0D"/>
          <w:sz w:val="32"/>
          <w:szCs w:val="32"/>
          <w:lang w:eastAsia="zh-CN"/>
        </w:rPr>
        <w:t>‘</w:t>
      </w:r>
      <w:r>
        <w:rPr>
          <w:rFonts w:hint="eastAsia" w:ascii="Times New Roman" w:hAnsi="Times New Roman" w:eastAsia="方正仿宋简体" w:cs="Times New Roman"/>
          <w:bCs/>
          <w:color w:val="0D0D0D"/>
          <w:sz w:val="32"/>
          <w:szCs w:val="32"/>
        </w:rPr>
        <w:t>一带一路</w:t>
      </w:r>
      <w:r>
        <w:rPr>
          <w:rFonts w:hint="eastAsia" w:ascii="Times New Roman" w:hAnsi="Times New Roman" w:eastAsia="方正仿宋简体" w:cs="Times New Roman"/>
          <w:bCs/>
          <w:color w:val="0D0D0D"/>
          <w:sz w:val="32"/>
          <w:szCs w:val="32"/>
          <w:lang w:eastAsia="zh-CN"/>
        </w:rPr>
        <w:t>’</w:t>
      </w:r>
      <w:r>
        <w:rPr>
          <w:rFonts w:hint="eastAsia" w:ascii="Times New Roman" w:hAnsi="Times New Roman" w:eastAsia="方正仿宋简体" w:cs="Times New Roman"/>
          <w:bCs/>
          <w:color w:val="0D0D0D"/>
          <w:sz w:val="32"/>
          <w:szCs w:val="32"/>
        </w:rPr>
        <w:t>核心区</w:t>
      </w:r>
      <w:r>
        <w:rPr>
          <w:rFonts w:hint="eastAsia" w:ascii="Times New Roman" w:hAnsi="Times New Roman" w:eastAsia="方正仿宋简体" w:cs="Times New Roman"/>
          <w:bCs/>
          <w:color w:val="0D0D0D"/>
          <w:sz w:val="32"/>
          <w:szCs w:val="32"/>
          <w:lang w:eastAsia="zh-CN"/>
        </w:rPr>
        <w:t>”</w:t>
      </w:r>
      <w:r>
        <w:rPr>
          <w:rFonts w:hint="eastAsia" w:ascii="Times New Roman" w:hAnsi="Times New Roman" w:eastAsia="方正仿宋简体" w:cs="Times New Roman"/>
          <w:bCs/>
          <w:color w:val="0D0D0D"/>
          <w:sz w:val="32"/>
          <w:szCs w:val="32"/>
          <w:lang w:val="en-US" w:eastAsia="zh-CN"/>
        </w:rPr>
        <w:t>和“</w:t>
      </w:r>
      <w:r>
        <w:rPr>
          <w:rFonts w:hint="eastAsia" w:ascii="Times New Roman" w:hAnsi="Times New Roman" w:eastAsia="方正仿宋简体" w:cs="Times New Roman"/>
          <w:bCs/>
          <w:color w:val="0D0D0D"/>
          <w:sz w:val="32"/>
          <w:szCs w:val="32"/>
        </w:rPr>
        <w:t>支持福建探索海峡两岸融合发展新路，加快两岸融合发展示范区建设</w:t>
      </w:r>
      <w:r>
        <w:rPr>
          <w:rFonts w:hint="eastAsia" w:ascii="Times New Roman" w:hAnsi="Times New Roman" w:eastAsia="方正仿宋简体" w:cs="Times New Roman"/>
          <w:bCs/>
          <w:color w:val="0D0D0D"/>
          <w:sz w:val="32"/>
          <w:szCs w:val="32"/>
          <w:lang w:val="en-US" w:eastAsia="zh-CN"/>
        </w:rPr>
        <w:t>”的战略机遇，融入闽西南协同发展区和厦漳泉都市圈规划建设，</w:t>
      </w:r>
      <w:r>
        <w:rPr>
          <w:rFonts w:ascii="Times New Roman" w:hAnsi="Times New Roman" w:eastAsia="方正仿宋简体" w:cs="Times New Roman"/>
          <w:bCs/>
          <w:color w:val="0D0D0D"/>
          <w:sz w:val="32"/>
          <w:szCs w:val="32"/>
        </w:rPr>
        <w:t>以集成改革开放为思路、扩大国内大循环为基点、畅通国内国际双循环为主体、构建创新创造创业一流营商环境为抓手，打造闽西南双循环战略示范区。</w:t>
      </w:r>
      <w:bookmarkEnd w:id="355"/>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356" w:name="_Toc392"/>
      <w:bookmarkStart w:id="357" w:name="_Toc4756"/>
      <w:bookmarkStart w:id="358" w:name="_Toc11263"/>
      <w:bookmarkStart w:id="359" w:name="_Toc15045"/>
      <w:bookmarkStart w:id="360" w:name="_Toc31504"/>
      <w:bookmarkStart w:id="361" w:name="_Toc4711"/>
      <w:bookmarkStart w:id="362" w:name="_Toc22186"/>
      <w:bookmarkStart w:id="363" w:name="_Toc28393"/>
      <w:bookmarkStart w:id="364" w:name="_Toc15417"/>
      <w:bookmarkStart w:id="365" w:name="_Toc14141"/>
      <w:bookmarkStart w:id="366" w:name="_Toc22758"/>
      <w:bookmarkStart w:id="367" w:name="_Toc14943"/>
      <w:bookmarkStart w:id="368" w:name="_Toc28138"/>
      <w:bookmarkStart w:id="369" w:name="_Toc11727"/>
      <w:bookmarkStart w:id="370" w:name="_Toc68707647"/>
      <w:bookmarkStart w:id="371" w:name="_Toc28317"/>
      <w:bookmarkStart w:id="372" w:name="_Toc14909"/>
      <w:r>
        <w:rPr>
          <w:rFonts w:ascii="Times New Roman" w:hAnsi="Times New Roman" w:eastAsia="方正黑体简体" w:cs="Times New Roman"/>
          <w:bCs/>
          <w:sz w:val="32"/>
          <w:szCs w:val="32"/>
        </w:rPr>
        <w:t>第一节  拓展双循环</w:t>
      </w:r>
      <w:bookmarkEnd w:id="356"/>
      <w:bookmarkEnd w:id="357"/>
      <w:bookmarkEnd w:id="358"/>
      <w:bookmarkEnd w:id="359"/>
      <w:r>
        <w:rPr>
          <w:rFonts w:ascii="Times New Roman" w:hAnsi="Times New Roman" w:eastAsia="方正黑体简体" w:cs="Times New Roman"/>
          <w:bCs/>
          <w:sz w:val="32"/>
          <w:szCs w:val="32"/>
        </w:rPr>
        <w:t>新通道</w:t>
      </w:r>
      <w:bookmarkEnd w:id="360"/>
      <w:bookmarkEnd w:id="361"/>
      <w:bookmarkEnd w:id="362"/>
      <w:bookmarkEnd w:id="363"/>
      <w:bookmarkEnd w:id="364"/>
      <w:bookmarkEnd w:id="365"/>
      <w:bookmarkEnd w:id="366"/>
      <w:bookmarkEnd w:id="367"/>
      <w:bookmarkEnd w:id="368"/>
      <w:bookmarkEnd w:id="369"/>
      <w:bookmarkEnd w:id="370"/>
      <w:bookmarkEnd w:id="371"/>
      <w:bookmarkEnd w:id="372"/>
    </w:p>
    <w:p>
      <w:pPr>
        <w:widowControl w:val="0"/>
        <w:spacing w:line="600" w:lineRule="exact"/>
        <w:ind w:firstLine="640" w:firstLineChars="200"/>
        <w:jc w:val="both"/>
        <w:rPr>
          <w:rFonts w:ascii="Times New Roman" w:hAnsi="Times New Roman" w:eastAsia="方正仿宋简体" w:cs="Times New Roman"/>
          <w:bCs/>
          <w:color w:val="0D0D0D"/>
          <w:sz w:val="32"/>
          <w:szCs w:val="32"/>
        </w:rPr>
      </w:pPr>
      <w:bookmarkStart w:id="373" w:name="_Toc10398"/>
      <w:bookmarkStart w:id="374" w:name="_Toc8178"/>
      <w:bookmarkStart w:id="375" w:name="_Toc12778"/>
      <w:r>
        <w:rPr>
          <w:rFonts w:ascii="Times New Roman" w:hAnsi="Times New Roman" w:eastAsia="方正仿宋简体" w:cs="Times New Roman"/>
          <w:bCs/>
          <w:color w:val="0D0D0D"/>
          <w:sz w:val="32"/>
          <w:szCs w:val="32"/>
        </w:rPr>
        <w:t>把握“以国内大循环为主体、国内国际双循环互相促进”新发展格局，</w:t>
      </w:r>
      <w:r>
        <w:rPr>
          <w:rFonts w:hint="eastAsia" w:ascii="Times New Roman" w:hAnsi="Times New Roman" w:eastAsia="方正仿宋简体" w:cs="Times New Roman"/>
          <w:bCs/>
          <w:color w:val="0D0D0D"/>
          <w:sz w:val="32"/>
          <w:szCs w:val="32"/>
          <w:lang w:val="en-US" w:eastAsia="zh-CN"/>
        </w:rPr>
        <w:t>以区域全面经济伙伴关系（RCEP）签署等为新契机，</w:t>
      </w:r>
      <w:r>
        <w:rPr>
          <w:rFonts w:ascii="Times New Roman" w:hAnsi="Times New Roman" w:eastAsia="方正仿宋简体" w:cs="Times New Roman"/>
          <w:bCs/>
          <w:color w:val="0D0D0D"/>
          <w:sz w:val="32"/>
          <w:szCs w:val="32"/>
        </w:rPr>
        <w:t>发挥“南安人经济”和华侨华人优势，融入国内国际市场，在全球经济大循环中提高南安的市场份额和知名度。</w:t>
      </w:r>
    </w:p>
    <w:p>
      <w:pPr>
        <w:widowControl w:val="0"/>
        <w:spacing w:line="600" w:lineRule="exact"/>
        <w:ind w:firstLine="602"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0"/>
          <w:szCs w:val="30"/>
        </w:rPr>
        <w:t>一、发挥“南安人经济”优势，畅通国内大循环节点。</w:t>
      </w:r>
      <w:r>
        <w:rPr>
          <w:rFonts w:ascii="Times New Roman" w:hAnsi="Times New Roman" w:eastAsia="方正仿宋简体" w:cs="Times New Roman"/>
          <w:bCs/>
          <w:color w:val="0D0D0D"/>
          <w:sz w:val="32"/>
          <w:szCs w:val="32"/>
        </w:rPr>
        <w:t>深入开展质量提升行动，实施增品种、提品质、创品牌战略，优化消费体验，提升“南安造”市场话语权。发挥我市产业门类齐全优势，引导出口企业精准对接国内商贸流通企业，拓展国内市场。推动现有电商产业园提级发展，构筑“线下孵化+供应链+线上平台”立体化销售体系。以“南安人经济”与“南安经济”有机融合为抓手，依托传统专业市场和“南安人”营销渠道优势，强化产业链引领，打造高效完善的销售网络。</w:t>
      </w:r>
    </w:p>
    <w:p>
      <w:pPr>
        <w:widowControl w:val="0"/>
        <w:spacing w:line="600" w:lineRule="exact"/>
        <w:ind w:firstLine="602"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0"/>
          <w:szCs w:val="30"/>
        </w:rPr>
        <w:t>二、融入“</w:t>
      </w:r>
      <w:r>
        <w:rPr>
          <w:rFonts w:hint="eastAsia" w:ascii="Times New Roman" w:hAnsi="Times New Roman" w:eastAsia="方正楷体简体" w:cs="Times New Roman"/>
          <w:b/>
          <w:sz w:val="30"/>
          <w:szCs w:val="30"/>
          <w:lang w:val="en-US" w:eastAsia="zh-CN"/>
        </w:rPr>
        <w:t>一带一路</w:t>
      </w:r>
      <w:r>
        <w:rPr>
          <w:rFonts w:ascii="Times New Roman" w:hAnsi="Times New Roman" w:eastAsia="方正楷体简体" w:cs="Times New Roman"/>
          <w:b/>
          <w:sz w:val="30"/>
          <w:szCs w:val="30"/>
        </w:rPr>
        <w:t>”</w:t>
      </w:r>
      <w:r>
        <w:rPr>
          <w:rFonts w:hint="eastAsia" w:ascii="Times New Roman" w:hAnsi="Times New Roman" w:eastAsia="方正楷体简体" w:cs="Times New Roman"/>
          <w:b/>
          <w:sz w:val="30"/>
          <w:szCs w:val="30"/>
          <w:lang w:val="en-US" w:eastAsia="zh-CN"/>
        </w:rPr>
        <w:t>核心区建设</w:t>
      </w:r>
      <w:r>
        <w:rPr>
          <w:rFonts w:ascii="Times New Roman" w:hAnsi="Times New Roman" w:eastAsia="方正楷体简体" w:cs="Times New Roman"/>
          <w:b/>
          <w:sz w:val="30"/>
          <w:szCs w:val="30"/>
        </w:rPr>
        <w:t>，</w:t>
      </w:r>
      <w:bookmarkEnd w:id="373"/>
      <w:bookmarkEnd w:id="374"/>
      <w:bookmarkEnd w:id="375"/>
      <w:r>
        <w:rPr>
          <w:rFonts w:ascii="Times New Roman" w:hAnsi="Times New Roman" w:eastAsia="方正楷体简体" w:cs="Times New Roman"/>
          <w:b/>
          <w:sz w:val="30"/>
          <w:szCs w:val="30"/>
        </w:rPr>
        <w:t>拓展国内国际双循环市场。</w:t>
      </w:r>
      <w:r>
        <w:rPr>
          <w:rFonts w:ascii="Times New Roman" w:hAnsi="Times New Roman" w:eastAsia="方正仿宋简体" w:cs="Times New Roman"/>
          <w:bCs/>
          <w:color w:val="0D0D0D"/>
          <w:sz w:val="32"/>
          <w:szCs w:val="32"/>
        </w:rPr>
        <w:t>发挥南安古代海丝起点和著名侨乡优势，加速融入“一带一路”全球产能合作体系，强化国内投资布局，打开国内国际双循环相互促进的发展通道。</w:t>
      </w:r>
      <w:r>
        <w:rPr>
          <w:rFonts w:ascii="Times New Roman" w:hAnsi="Times New Roman" w:eastAsia="方正仿宋简体" w:cs="Times New Roman"/>
          <w:b/>
          <w:color w:val="0D0D0D"/>
          <w:sz w:val="32"/>
          <w:szCs w:val="32"/>
        </w:rPr>
        <w:t>促进经济贸易往来，</w:t>
      </w:r>
      <w:r>
        <w:rPr>
          <w:rFonts w:ascii="Times New Roman" w:hAnsi="Times New Roman" w:eastAsia="方正仿宋简体" w:cs="Times New Roman"/>
          <w:bCs/>
          <w:color w:val="0D0D0D"/>
          <w:sz w:val="32"/>
          <w:szCs w:val="32"/>
        </w:rPr>
        <w:t>发挥石材、水暖卫浴国家级外贸转型示范基地优势，主动对接“丝路海运”“丝路飞翔”和“中欧班列”，积极参加沿线国家地区国际性展会和泉州品牌“境外行”“海丝行”系列展销活动，放大本土专业展会外溢效应，打造“买全球、卖全球”超级平台。开拓“一带一路”</w:t>
      </w:r>
      <w:r>
        <w:rPr>
          <w:rFonts w:hint="eastAsia" w:ascii="Times New Roman" w:hAnsi="Times New Roman" w:eastAsia="方正仿宋简体" w:cs="Times New Roman"/>
          <w:bCs/>
          <w:color w:val="0D0D0D"/>
          <w:sz w:val="32"/>
          <w:szCs w:val="32"/>
          <w:lang w:eastAsia="zh-CN"/>
        </w:rPr>
        <w:t>沿线国家地区</w:t>
      </w:r>
      <w:r>
        <w:rPr>
          <w:rFonts w:ascii="Times New Roman" w:hAnsi="Times New Roman" w:eastAsia="方正仿宋简体" w:cs="Times New Roman"/>
          <w:bCs/>
          <w:color w:val="0D0D0D"/>
          <w:sz w:val="32"/>
          <w:szCs w:val="32"/>
        </w:rPr>
        <w:t>、非洲、欧盟等替代市场，重点扩大印度、意大利、伊朗、巴西、土耳其等市场份额，实现贸易多元化。</w:t>
      </w:r>
      <w:r>
        <w:rPr>
          <w:rFonts w:ascii="Times New Roman" w:hAnsi="Times New Roman" w:eastAsia="方正仿宋简体" w:cs="Times New Roman"/>
          <w:b/>
          <w:color w:val="0D0D0D"/>
          <w:sz w:val="32"/>
          <w:szCs w:val="32"/>
        </w:rPr>
        <w:t>布局全球产业链，</w:t>
      </w:r>
      <w:r>
        <w:rPr>
          <w:rFonts w:ascii="Times New Roman" w:hAnsi="Times New Roman" w:eastAsia="方正仿宋简体" w:cs="Times New Roman"/>
          <w:bCs/>
          <w:color w:val="0D0D0D"/>
          <w:sz w:val="32"/>
          <w:szCs w:val="32"/>
        </w:rPr>
        <w:t>以异地商会和海外商会为战略节点，引导泛家居、建材陶瓷、机械装备品牌企业在主要贸易、贸易特惠的国家地区和全国重要城市建设加工制造型、商贸物流型园区、飞地产业园，设立专业市场或投资建厂，布局国际国内营销网络和海外仓。实行“以侨引侨”“以侨引商”模式，布局建设侨商产业聚集区和海外华侨华人创新创业基地。引导企业抱团投资海外矿山资源，从荒料交易向矿山开采、石材加工、石材装备制造等上下游延伸，提高采购议价能力，增强全球石材链的话语权和主导权。</w:t>
      </w:r>
      <w:r>
        <w:rPr>
          <w:rFonts w:ascii="Times New Roman" w:hAnsi="Times New Roman" w:eastAsia="方正仿宋简体" w:cs="Times New Roman"/>
          <w:b/>
          <w:color w:val="0D0D0D"/>
          <w:sz w:val="32"/>
          <w:szCs w:val="32"/>
        </w:rPr>
        <w:t>加强对外投资保障，</w:t>
      </w:r>
      <w:r>
        <w:rPr>
          <w:rFonts w:ascii="Times New Roman" w:hAnsi="Times New Roman" w:eastAsia="方正仿宋简体" w:cs="Times New Roman"/>
          <w:bCs/>
          <w:color w:val="0D0D0D"/>
          <w:sz w:val="32"/>
          <w:szCs w:val="32"/>
        </w:rPr>
        <w:t>构建政府、企业、行业协会“三位一体”预警协调机制，密切关注新增征税产品清单，抱团申请301调查产品排除、应对“两反一保”、337调查等中美贸易摩擦动向；构建对外投资法律服务平台，充分研究投资东道国的法律制度、政治制度和文化传统，帮助企业规避境外投资风险。</w:t>
      </w:r>
      <w:r>
        <w:rPr>
          <w:rFonts w:ascii="Times New Roman" w:hAnsi="Times New Roman" w:eastAsia="方正仿宋简体" w:cs="Times New Roman"/>
          <w:b/>
          <w:color w:val="0D0D0D"/>
          <w:sz w:val="32"/>
          <w:szCs w:val="32"/>
        </w:rPr>
        <w:t>深化友城交流合作，</w:t>
      </w:r>
      <w:r>
        <w:rPr>
          <w:rFonts w:ascii="Times New Roman" w:hAnsi="Times New Roman" w:eastAsia="方正仿宋简体" w:cs="Times New Roman"/>
          <w:bCs/>
          <w:color w:val="0D0D0D"/>
          <w:sz w:val="32"/>
          <w:szCs w:val="32"/>
        </w:rPr>
        <w:t>强化与日本平户市、菲律宾曼达韦市等友好城市常态化交往，扩大文化、教育、旅游、商业、民间和青少年等领域交流，积极与乌兹别克斯坦努拉达区、马来西亚槟岛市、印尼民礼市等紧密往来城市搭建友好城市关系，开辟一批领域互补性强的新友城。</w:t>
      </w:r>
      <w:bookmarkStart w:id="376" w:name="_Toc9079"/>
    </w:p>
    <w:p>
      <w:pPr>
        <w:numPr>
          <w:ilvl w:val="255"/>
          <w:numId w:val="0"/>
        </w:numPr>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三、发挥“成功故里”品牌效应，打造南台融合发展示范区</w:t>
      </w:r>
      <w:bookmarkEnd w:id="376"/>
      <w:r>
        <w:rPr>
          <w:rFonts w:ascii="Times New Roman" w:hAnsi="Times New Roman" w:eastAsia="方正楷体简体" w:cs="Times New Roman"/>
          <w:b/>
          <w:sz w:val="32"/>
          <w:szCs w:val="32"/>
        </w:rPr>
        <w:t>。</w:t>
      </w:r>
      <w:r>
        <w:rPr>
          <w:rFonts w:ascii="Times New Roman" w:hAnsi="Times New Roman" w:eastAsia="方正仿宋简体" w:cs="Times New Roman"/>
          <w:bCs/>
          <w:color w:val="0D0D0D"/>
          <w:sz w:val="32"/>
          <w:szCs w:val="32"/>
        </w:rPr>
        <w:t>充分发挥对台独特优势，做好“通、惠、情”三篇文章，深化两岸融合发展，在打造台胞台企登陆第一家园中展现南安方案。</w:t>
      </w:r>
      <w:r>
        <w:rPr>
          <w:rFonts w:ascii="Times New Roman" w:hAnsi="Times New Roman" w:eastAsia="方正仿宋简体" w:cs="Times New Roman"/>
          <w:b/>
          <w:color w:val="0D0D0D"/>
          <w:sz w:val="32"/>
          <w:szCs w:val="32"/>
        </w:rPr>
        <w:t>构建互利互惠“经济圈”。</w:t>
      </w:r>
      <w:r>
        <w:rPr>
          <w:rFonts w:ascii="Times New Roman" w:hAnsi="Times New Roman" w:eastAsia="方正仿宋简体" w:cs="Times New Roman"/>
          <w:bCs/>
          <w:color w:val="0D0D0D"/>
          <w:sz w:val="32"/>
          <w:szCs w:val="32"/>
        </w:rPr>
        <w:t>积极对接集成电路、精密机械、生物医疗等台湾优势产业，推进对台招商引资、招才引智工作，探索对台自由贸易先行区，扶持福建童昌医院等重点台资企业发展。建立“台湾水产品展示交易中心”等常态化展示平台，依托闽台农产品市场，探索设立台湾农产品直销小额免税市场，推动与台湾县市合作建立农渔产品“点对点”贸易平台，创新“台湾买单、南安提（配）货”模式。加强南台旅游业界合作，推广南台旅游品牌，拓展南台旅游航线。</w:t>
      </w:r>
      <w:r>
        <w:rPr>
          <w:rFonts w:ascii="Times New Roman" w:hAnsi="Times New Roman" w:eastAsia="方正仿宋简体" w:cs="Times New Roman"/>
          <w:b/>
          <w:color w:val="0D0D0D"/>
          <w:sz w:val="32"/>
          <w:szCs w:val="32"/>
        </w:rPr>
        <w:t>构建高质高效“物流圈”。</w:t>
      </w:r>
      <w:r>
        <w:rPr>
          <w:rFonts w:ascii="Times New Roman" w:hAnsi="Times New Roman" w:eastAsia="方正仿宋简体" w:cs="Times New Roman"/>
          <w:bCs/>
          <w:color w:val="0D0D0D"/>
          <w:sz w:val="32"/>
          <w:szCs w:val="32"/>
        </w:rPr>
        <w:t>促进南台港口深度合作，巩固对金澎客货运常态化成果，加快对台客货运枢纽中心建设，新建泉金客运码头，重建对台3000吨级渔业码头，增强对台客货集疏运枢纽优势。规划建设集农副产品冷链物流、仓储贸易、电子商务、进出口贸易、会展服务于一体的大型综合性园区，打造闽台农产品区域物流中心。预留厦泉金战略通道。</w:t>
      </w:r>
      <w:r>
        <w:rPr>
          <w:rFonts w:ascii="Times New Roman" w:hAnsi="Times New Roman" w:eastAsia="方正仿宋简体" w:cs="Times New Roman"/>
          <w:b/>
          <w:color w:val="0D0D0D"/>
          <w:sz w:val="32"/>
          <w:szCs w:val="32"/>
        </w:rPr>
        <w:t>构建宜居宜业“生活圈”。</w:t>
      </w:r>
      <w:r>
        <w:rPr>
          <w:rFonts w:ascii="Times New Roman" w:hAnsi="Times New Roman" w:eastAsia="方正仿宋简体" w:cs="Times New Roman"/>
          <w:bCs/>
          <w:color w:val="0D0D0D"/>
          <w:sz w:val="32"/>
          <w:szCs w:val="32"/>
        </w:rPr>
        <w:t>深化“台商台胞服务年”活动，发挥台胞投诉协调中心、台胞权益保障法官工作室以及台青驿栈作用，及时处理台胞台商投诉求助案件，保护台胞台商合法权益。创建“海峡两岸青年就业创业示范点”，建立政企合作台湾青年就业创业一站式服务平台。建立与台商定期沟通和意见反馈机制，加大对台湾人才特别是半导体、文创、医护等专业人才来南就业创业政策扶持力度。组织实施两岸学生夏（冬）令营等体验交流、创业见习活动。</w:t>
      </w:r>
      <w:r>
        <w:rPr>
          <w:rFonts w:ascii="Times New Roman" w:hAnsi="Times New Roman" w:eastAsia="方正仿宋简体" w:cs="Times New Roman"/>
          <w:b/>
          <w:color w:val="0D0D0D"/>
          <w:sz w:val="32"/>
          <w:szCs w:val="32"/>
        </w:rPr>
        <w:t>构建同根同源“文化圈”。</w:t>
      </w:r>
      <w:r>
        <w:rPr>
          <w:rFonts w:ascii="Times New Roman" w:hAnsi="Times New Roman" w:eastAsia="方正仿宋简体" w:cs="Times New Roman"/>
          <w:bCs/>
          <w:color w:val="0D0D0D"/>
          <w:sz w:val="32"/>
          <w:szCs w:val="32"/>
        </w:rPr>
        <w:t>办好郑成功文化节、凤山文化旅游节等品牌活动，加快成功文化产业园项目建设，将九日山、安平桥（五里桥）、凤山寺、郑成功系列史迹景点、蔡氏古民居等传统文化景点，九牧厨卫、英良五号等现代化企业展厅，民俗体验馆、“非遗”展示馆等文化展馆相结合，作为台胞参访线路，提升“共筑精神家园”“共续血脉亲缘”“共促交流融合”三大对台交流品牌效应，增进台胞特别是新生代</w:t>
      </w:r>
      <w:r>
        <w:rPr>
          <w:rFonts w:hint="eastAsia" w:ascii="Times New Roman" w:hAnsi="Times New Roman" w:eastAsia="方正仿宋简体" w:cs="Times New Roman"/>
          <w:bCs/>
          <w:color w:val="0D0D0D"/>
          <w:sz w:val="32"/>
          <w:szCs w:val="32"/>
          <w:lang w:eastAsia="zh-CN"/>
        </w:rPr>
        <w:t>台胞</w:t>
      </w:r>
      <w:r>
        <w:rPr>
          <w:rFonts w:ascii="Times New Roman" w:hAnsi="Times New Roman" w:eastAsia="方正仿宋简体" w:cs="Times New Roman"/>
          <w:bCs/>
          <w:color w:val="0D0D0D"/>
          <w:sz w:val="32"/>
          <w:szCs w:val="32"/>
        </w:rPr>
        <w:t>的家国情怀。深化南台民间交流机制，推动南音、诗词、木偶、高甲戏等传统优秀文化剧团社与台湾开展结对交流、互派驻点和巡演交流。</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bookmarkStart w:id="377" w:name="_Toc24535"/>
      <w:bookmarkStart w:id="378" w:name="_Toc19955"/>
      <w:bookmarkStart w:id="379" w:name="_Toc16514"/>
      <w:bookmarkStart w:id="380" w:name="_Toc3455"/>
      <w:bookmarkStart w:id="381" w:name="_Toc10116"/>
      <w:bookmarkStart w:id="382" w:name="_Toc31542318"/>
      <w:bookmarkStart w:id="383" w:name="_Toc20714"/>
      <w:r>
        <w:rPr>
          <w:rFonts w:ascii="Times New Roman" w:hAnsi="Times New Roman" w:eastAsia="方正楷体简体" w:cs="Times New Roman"/>
          <w:b/>
          <w:sz w:val="32"/>
          <w:szCs w:val="32"/>
        </w:rPr>
        <w:t>四、突出泉厦中心作用，谋求区域协作发展</w:t>
      </w:r>
      <w:bookmarkEnd w:id="377"/>
      <w:bookmarkEnd w:id="378"/>
      <w:r>
        <w:rPr>
          <w:rFonts w:ascii="Times New Roman" w:hAnsi="Times New Roman" w:eastAsia="方正楷体简体" w:cs="Times New Roman"/>
          <w:b/>
          <w:sz w:val="32"/>
          <w:szCs w:val="32"/>
        </w:rPr>
        <w:t>新局面。</w:t>
      </w:r>
      <w:r>
        <w:rPr>
          <w:rFonts w:ascii="Times New Roman" w:hAnsi="Times New Roman" w:eastAsia="方正仿宋简体" w:cs="Times New Roman"/>
          <w:bCs/>
          <w:color w:val="0D0D0D"/>
          <w:sz w:val="32"/>
          <w:szCs w:val="32"/>
        </w:rPr>
        <w:t>主动对接闽西南协同发展规划，挖掘南安区位优势</w:t>
      </w:r>
      <w:bookmarkEnd w:id="379"/>
      <w:bookmarkEnd w:id="380"/>
      <w:bookmarkEnd w:id="381"/>
      <w:bookmarkEnd w:id="382"/>
      <w:bookmarkEnd w:id="383"/>
      <w:r>
        <w:rPr>
          <w:rFonts w:ascii="Times New Roman" w:hAnsi="Times New Roman" w:eastAsia="方正仿宋简体" w:cs="Times New Roman"/>
          <w:bCs/>
          <w:color w:val="0D0D0D"/>
          <w:sz w:val="32"/>
          <w:szCs w:val="32"/>
        </w:rPr>
        <w:t>，在泉厦双中心耦合格局中谋求新发展空间。</w:t>
      </w:r>
      <w:r>
        <w:rPr>
          <w:rFonts w:ascii="Times New Roman" w:hAnsi="Times New Roman" w:eastAsia="方正仿宋简体" w:cs="Times New Roman"/>
          <w:b/>
          <w:color w:val="0D0D0D"/>
          <w:sz w:val="32"/>
          <w:szCs w:val="32"/>
        </w:rPr>
        <w:t>打造区域合作机制试验区。</w:t>
      </w:r>
      <w:r>
        <w:rPr>
          <w:rFonts w:ascii="Times New Roman" w:hAnsi="Times New Roman" w:eastAsia="方正仿宋简体" w:cs="Times New Roman"/>
          <w:bCs/>
          <w:color w:val="0D0D0D"/>
          <w:sz w:val="32"/>
          <w:szCs w:val="32"/>
        </w:rPr>
        <w:t>推动泉州与厦门共同规划布局建设接壤区域，争取设立泉厦特别合作区，探索城市和产业对接新机制，在厦门翔安机场、石井作业区、空港经济区、区域性金融中心等方面逐步形成战略合作，力争在南翼新城设立中国（福建）自贸试验区泉州新片区。布局国际化科创合作平台，建设未来科学城、孵化器（众创空间）、中试基地，引进新型研发机构，加强与厦门在电子信息、半导体、航空航天等高新产业领域的合作，共建海峡两岸集成电路产业合作试验区，打造泉厦科创走廊核心区和战略性新兴产业创新高地。借鉴“广佛跨城通办”模式，探索行政审批事项“跨城通办”。</w:t>
      </w:r>
      <w:r>
        <w:rPr>
          <w:rFonts w:ascii="Times New Roman" w:hAnsi="Times New Roman" w:eastAsia="方正仿宋简体" w:cs="Times New Roman"/>
          <w:b/>
          <w:color w:val="0D0D0D"/>
          <w:sz w:val="32"/>
          <w:szCs w:val="32"/>
        </w:rPr>
        <w:t>构建“四港”互联互通核心圈。空港互通：</w:t>
      </w:r>
      <w:r>
        <w:rPr>
          <w:rFonts w:ascii="Times New Roman" w:hAnsi="Times New Roman" w:eastAsia="方正仿宋简体" w:cs="Times New Roman"/>
          <w:bCs/>
          <w:color w:val="0D0D0D"/>
          <w:sz w:val="32"/>
          <w:szCs w:val="32"/>
        </w:rPr>
        <w:t>对接“丝路飞翔”，承接“南翔北晋”双机场辐射，以临空经济区布局为指引，以</w:t>
      </w:r>
      <w:r>
        <w:rPr>
          <w:rFonts w:hint="eastAsia" w:ascii="Times New Roman" w:hAnsi="Times New Roman" w:eastAsia="方正仿宋简体" w:cs="Times New Roman"/>
          <w:bCs/>
          <w:color w:val="0D0D0D"/>
          <w:sz w:val="32"/>
          <w:szCs w:val="32"/>
          <w:lang w:eastAsia="zh-CN"/>
        </w:rPr>
        <w:t>厦门新</w:t>
      </w:r>
      <w:r>
        <w:rPr>
          <w:rFonts w:ascii="Times New Roman" w:hAnsi="Times New Roman" w:eastAsia="方正仿宋简体" w:cs="Times New Roman"/>
          <w:bCs/>
          <w:color w:val="0D0D0D"/>
          <w:sz w:val="32"/>
          <w:szCs w:val="32"/>
        </w:rPr>
        <w:t>机场建成投运为契机，建立南翼新城与翔安区规划统筹、产业协作机制，共同引导临空制造、智能制造、航空物流、航空服务、会展商务等产业项目错位布局，形成临空经济产业协作带专业化分工体系。</w:t>
      </w:r>
      <w:r>
        <w:rPr>
          <w:rFonts w:ascii="Times New Roman" w:hAnsi="Times New Roman" w:eastAsia="方正仿宋简体" w:cs="Times New Roman"/>
          <w:b/>
          <w:color w:val="0D0D0D"/>
          <w:sz w:val="32"/>
          <w:szCs w:val="32"/>
        </w:rPr>
        <w:t>海港互通：</w:t>
      </w:r>
      <w:r>
        <w:rPr>
          <w:rFonts w:ascii="Times New Roman" w:hAnsi="Times New Roman" w:eastAsia="方正仿宋简体" w:cs="Times New Roman"/>
          <w:bCs/>
          <w:color w:val="0D0D0D"/>
          <w:sz w:val="32"/>
          <w:szCs w:val="32"/>
        </w:rPr>
        <w:t>主动对接厦门东南国际航运中心建设，推动石井作业区与厦门港等周边作业区的战略合作，推进石井作业区错位发展“水水中转”，打造闽西南“海丝”航路联系的重要出海门户。</w:t>
      </w:r>
      <w:r>
        <w:rPr>
          <w:rFonts w:ascii="Times New Roman" w:hAnsi="Times New Roman" w:eastAsia="方正仿宋简体" w:cs="Times New Roman"/>
          <w:b/>
          <w:color w:val="0D0D0D"/>
          <w:sz w:val="32"/>
          <w:szCs w:val="32"/>
        </w:rPr>
        <w:t>陆港互通：</w:t>
      </w:r>
      <w:r>
        <w:rPr>
          <w:rFonts w:ascii="Times New Roman" w:hAnsi="Times New Roman" w:eastAsia="方正仿宋简体" w:cs="Times New Roman"/>
          <w:bCs/>
          <w:color w:val="0D0D0D"/>
          <w:sz w:val="32"/>
          <w:szCs w:val="32"/>
        </w:rPr>
        <w:t>重点对接成功大道—翔安南路、滨海大道—窗东路等城市主要道路，加快联十一线、石井大道建设，做好与厦漳泉城际轨道R1线、厦门轨道交通3号线、6号线规划建设衔接，打通南翼新城与厦门翔安、泉州中心城区的快速通道。</w:t>
      </w:r>
      <w:r>
        <w:rPr>
          <w:rFonts w:ascii="Times New Roman" w:hAnsi="Times New Roman" w:eastAsia="方正仿宋简体" w:cs="Times New Roman"/>
          <w:b/>
          <w:color w:val="0D0D0D"/>
          <w:sz w:val="32"/>
          <w:szCs w:val="32"/>
        </w:rPr>
        <w:t>信息港互通：</w:t>
      </w:r>
      <w:r>
        <w:rPr>
          <w:rFonts w:ascii="Times New Roman" w:hAnsi="Times New Roman" w:eastAsia="方正仿宋简体" w:cs="Times New Roman"/>
          <w:bCs/>
          <w:color w:val="0D0D0D"/>
          <w:sz w:val="32"/>
          <w:szCs w:val="32"/>
        </w:rPr>
        <w:t>策划“新基建”合作项目，开展5G先试先用和工业互联网协同合作，实现数据跨域互联。</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384" w:name="_Toc13442"/>
      <w:bookmarkStart w:id="385" w:name="_Toc11063"/>
      <w:bookmarkStart w:id="386" w:name="_Toc29450"/>
      <w:bookmarkStart w:id="387" w:name="_Toc22809"/>
      <w:bookmarkStart w:id="388" w:name="_Toc21167"/>
      <w:bookmarkStart w:id="389" w:name="_Toc28045"/>
      <w:bookmarkStart w:id="390" w:name="_Toc13868"/>
      <w:bookmarkStart w:id="391" w:name="_Toc11850"/>
      <w:bookmarkStart w:id="392" w:name="_Toc68707648"/>
      <w:bookmarkStart w:id="393" w:name="_Toc18591"/>
      <w:bookmarkStart w:id="394" w:name="_Toc26596"/>
      <w:bookmarkStart w:id="395" w:name="_Toc7859"/>
      <w:bookmarkStart w:id="396" w:name="_Toc31458"/>
      <w:bookmarkStart w:id="397" w:name="_Toc23096"/>
      <w:bookmarkStart w:id="398" w:name="_Toc11395"/>
      <w:bookmarkStart w:id="399" w:name="_Toc16505"/>
      <w:bookmarkStart w:id="400" w:name="_Toc26514"/>
      <w:bookmarkStart w:id="401" w:name="_Toc10263"/>
      <w:r>
        <w:rPr>
          <w:rFonts w:ascii="Times New Roman" w:hAnsi="Times New Roman" w:eastAsia="方正黑体简体" w:cs="Times New Roman"/>
          <w:bCs/>
          <w:sz w:val="32"/>
          <w:szCs w:val="32"/>
        </w:rPr>
        <w:t>第二节 深化重点领域改革</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一、全面推进行政体制改革。</w:t>
      </w:r>
      <w:r>
        <w:rPr>
          <w:rFonts w:ascii="Times New Roman" w:hAnsi="Times New Roman" w:eastAsia="方正仿宋简体" w:cs="Times New Roman"/>
          <w:bCs/>
          <w:color w:val="0D0D0D"/>
          <w:sz w:val="32"/>
          <w:szCs w:val="32"/>
        </w:rPr>
        <w:t>建立定期会商指挥制度，落实民主集中制，完善党委议事规则和决策程序，完善重大决策会商机制。优化提升大督导机制，深化“钥匙+鞭子”职能，更大力度赋能督导组，推动决策部署落地落实。深化乡镇（街道）机构和经济发达镇行政管理体制改革，理顺部门和乡镇职能。巩固深化机构改革成果，深入推进综合行政执法体制改革，实施权力清单和责任清单管理，推动执法重心下移，推进“大综合、一体化”执法改革，构建全覆盖的整体政府监管体系和全闭环的行政执法体系。创新完善乡镇（街道）财政基本保障机制，理顺市镇两级财政管理体制，完善乡镇（街道）财政管理和财政资金转移支付制度，建立健全更有利于区域协调发展的激励奖补机制。创新城市管理工作机制，统筹城乡规划建设、管理运营、交通互联、历史文化、生态文明和公共服务供给侧改革。</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二、深入推进经济体制改革。</w:t>
      </w:r>
      <w:r>
        <w:rPr>
          <w:rFonts w:hint="default" w:ascii="Times New Roman" w:hAnsi="Times New Roman" w:eastAsia="方正仿宋简体" w:cs="Times New Roman"/>
          <w:b w:val="0"/>
          <w:bCs/>
          <w:color w:val="0D0D0D"/>
          <w:sz w:val="32"/>
          <w:szCs w:val="32"/>
          <w:lang w:val="en-US" w:eastAsia="zh-CN"/>
        </w:rPr>
        <w:t>创新发展“晋江经验”，积极为泉州市创建国家民营经济示范城市先行先试，</w:t>
      </w:r>
      <w:r>
        <w:rPr>
          <w:rFonts w:hint="eastAsia" w:ascii="Times New Roman" w:hAnsi="Times New Roman" w:eastAsia="方正仿宋简体" w:cs="Times New Roman"/>
          <w:b w:val="0"/>
          <w:bCs/>
          <w:color w:val="0D0D0D"/>
          <w:sz w:val="32"/>
          <w:szCs w:val="32"/>
          <w:lang w:val="en-US" w:eastAsia="zh-CN"/>
        </w:rPr>
        <w:t>支持民营企业心无旁骛做实业，</w:t>
      </w:r>
      <w:r>
        <w:rPr>
          <w:rFonts w:hint="default" w:ascii="Times New Roman" w:hAnsi="Times New Roman" w:eastAsia="方正仿宋简体" w:cs="Times New Roman"/>
          <w:b w:val="0"/>
          <w:bCs/>
          <w:color w:val="0D0D0D"/>
          <w:sz w:val="32"/>
          <w:szCs w:val="32"/>
          <w:lang w:val="en-US" w:eastAsia="zh-CN"/>
        </w:rPr>
        <w:t>打造新时代民营经济标杆。</w:t>
      </w:r>
      <w:r>
        <w:rPr>
          <w:rFonts w:ascii="Times New Roman" w:hAnsi="Times New Roman" w:eastAsia="方正仿宋简体" w:cs="Times New Roman"/>
          <w:bCs/>
          <w:color w:val="0D0D0D"/>
          <w:sz w:val="32"/>
          <w:szCs w:val="32"/>
        </w:rPr>
        <w:t>深化国企改革，完善国资监管体制，做大做优做强市级三大国资集团公司，支持民营企业参与国有企业混合所有制改革。推动</w:t>
      </w:r>
      <w:r>
        <w:rPr>
          <w:rFonts w:hint="default" w:ascii="Times New Roman" w:hAnsi="Times New Roman" w:eastAsia="方正仿宋简体" w:cs="Times New Roman"/>
          <w:bCs/>
          <w:color w:val="0D0D0D"/>
          <w:sz w:val="32"/>
          <w:szCs w:val="32"/>
        </w:rPr>
        <w:t>国有资本布局优化调整</w:t>
      </w:r>
      <w:r>
        <w:rPr>
          <w:rFonts w:hint="eastAsia" w:ascii="Times New Roman" w:hAnsi="Times New Roman" w:eastAsia="方正仿宋简体" w:cs="Times New Roman"/>
          <w:bCs/>
          <w:color w:val="0D0D0D"/>
          <w:sz w:val="32"/>
          <w:szCs w:val="32"/>
          <w:lang w:eastAsia="zh-CN"/>
        </w:rPr>
        <w:t>，进一步向关系国家安全、国民经济命脉以及关系国计民生的重要行业和关键领域集中，向前瞻性战略性新兴产业集中。</w:t>
      </w:r>
      <w:r>
        <w:rPr>
          <w:rFonts w:ascii="Times New Roman" w:hAnsi="Times New Roman" w:eastAsia="方正仿宋简体" w:cs="Times New Roman"/>
          <w:bCs/>
          <w:color w:val="0D0D0D"/>
          <w:sz w:val="32"/>
          <w:szCs w:val="32"/>
        </w:rPr>
        <w:t>推行混合所有制园区、泛家居、产业赋能、政校融合协同发展等产业经济发展模式。筹建企业投融资服务中心，推进福建海峡金融产业园等项目建设，引导民营企业建立现代企业制度，支持符合条件的民营企业上市挂牌，形成个转企、小升规、规改股、股上市的梯度培养格局。创新地方金融监管服务体系，综合运用创业投资、科技信贷等组合金融工具，形成协同金融模式。</w:t>
      </w:r>
      <w:r>
        <w:rPr>
          <w:rFonts w:hint="eastAsia" w:ascii="Times New Roman" w:hAnsi="Times New Roman" w:eastAsia="方正仿宋简体" w:cs="Times New Roman"/>
          <w:bCs/>
          <w:color w:val="0D0D0D"/>
          <w:sz w:val="32"/>
          <w:szCs w:val="32"/>
          <w:lang w:eastAsia="zh-CN"/>
        </w:rPr>
        <w:t>深化企业信用管理机制，构建以分类监管、联合监管为一体的新型社会监管机制。</w:t>
      </w:r>
      <w:r>
        <w:rPr>
          <w:rFonts w:ascii="Times New Roman" w:hAnsi="Times New Roman" w:eastAsia="方正仿宋简体" w:cs="Times New Roman"/>
          <w:bCs/>
          <w:color w:val="0D0D0D"/>
          <w:sz w:val="32"/>
          <w:szCs w:val="32"/>
        </w:rPr>
        <w:t>深化要素市场化配置，拓展公共资源交易平台功能，推行全流程电子化交易。健全工程招投标机制和“督导管”一体化的中介组织规范执业机制，强化项目评审、条件准入、合同管理。完善科技创新制度，建立科技成果入乡转化机制。缩小城乡“数据鸿沟”，构建多领域数据开发利用场景，提升数据要素价值。完善线上线下人力资源市场政策和服务体系，畅通人力资源在机关、企业、事业单位、社会组织之间合理流动。</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三、均衡推进城乡体制改革。</w:t>
      </w:r>
      <w:r>
        <w:rPr>
          <w:rFonts w:ascii="Times New Roman" w:hAnsi="Times New Roman" w:eastAsia="方正仿宋简体" w:cs="Times New Roman"/>
          <w:bCs/>
          <w:color w:val="0D0D0D"/>
          <w:sz w:val="32"/>
          <w:szCs w:val="32"/>
        </w:rPr>
        <w:t>全面推广社会治理网格化体系，全面融合人、地、事、物、组织等社会治理基础性要素，推动“5+N”要素归入网格，打造扁平化、傻瓜化、可依赖、有生命的超级工具和智慧平台，实现县域治理“一张网管到底”。健全安全生产工作机制，健全现代信息化智能化安全监管体系、综合执法联席会议制度和疏堵结合机制。推进外来人口市民化，探索积分优待管理制度，优化“新南安人”保障体系，吸纳更多流动人口，促进就地就业和就近市民化。完善规划建设管理制度机制，健全农、商、文、旅、体融合发展机制，重塑以产业功能区、特色镇、城市街道为主的新型城乡组织形态。健全城乡基本公共服务普惠共享机制，推动公共服务向农村延伸覆盖。健全城乡基础设施一体化发展机制，健全城乡融合发展机制，推动城乡要素平等交换、双向流动。</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四、大力推进农村体制改革。</w:t>
      </w:r>
      <w:r>
        <w:rPr>
          <w:rFonts w:ascii="Times New Roman" w:hAnsi="Times New Roman" w:eastAsia="方正仿宋简体" w:cs="Times New Roman"/>
          <w:bCs/>
          <w:color w:val="0D0D0D"/>
          <w:sz w:val="32"/>
          <w:szCs w:val="32"/>
        </w:rPr>
        <w:t>建立健全土地征收目录和公共利益用地认定机制，促进“农地入市”。开展土地综合整治试点，充分挖掘耕地后备资源。探索“三权分置”实现形式，推进农村闲置低效用地盘活利用。优化村级集体经济发展模式，支持村集体开发预留发展用地。深化农村集体产权制度改革，清理盘活集体“三资”，探索发展壮大村级集体经济新路径。健全农村建房规范管理机制，实行建房带设计方案审批，推进农村宅基地使用权确权登记颁证</w:t>
      </w:r>
      <w:r>
        <w:rPr>
          <w:rFonts w:hint="eastAsia" w:ascii="Times New Roman" w:hAnsi="Times New Roman" w:eastAsia="方正仿宋简体" w:cs="Times New Roman"/>
          <w:bCs/>
          <w:color w:val="0D0D0D"/>
          <w:sz w:val="32"/>
          <w:szCs w:val="32"/>
          <w:lang w:eastAsia="zh-CN"/>
        </w:rPr>
        <w:t>工作</w:t>
      </w:r>
      <w:r>
        <w:rPr>
          <w:rFonts w:ascii="Times New Roman" w:hAnsi="Times New Roman" w:eastAsia="方正仿宋简体" w:cs="Times New Roman"/>
          <w:bCs/>
          <w:color w:val="0D0D0D"/>
          <w:sz w:val="32"/>
          <w:szCs w:val="32"/>
        </w:rPr>
        <w:t>。创新村级社会稳定机制，推行信访事项治理路线图，完善“疏打导”一体化信访工作和适时息访退出机制，优化和谐村（社区）评选办法，全面落实信访评理机制。健全农村金融服务体系，扩大农村增信服务公司服务范围，发展农业保险。加快推动乡村基础设施提挡升级。健全乡村经济多元化发展机制，实施强镇带村工程，增强产业支撑能力。</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五、创新推进社会体制改革。</w:t>
      </w:r>
      <w:r>
        <w:rPr>
          <w:rFonts w:ascii="Times New Roman" w:hAnsi="Times New Roman" w:eastAsia="方正仿宋简体" w:cs="Times New Roman"/>
          <w:bCs/>
          <w:color w:val="0D0D0D"/>
          <w:sz w:val="32"/>
          <w:szCs w:val="32"/>
        </w:rPr>
        <w:t>深化教育综合改革，深化人事管理制度改革，建立科学的教育评价体系，完善教师招聘制度和绩效考核办法，健全教师待遇保障机制；深化职业教育产教融合，完善专业设置与人才需求联动调整机制，探索股份制、混合所有制办学；引导民办教育规范健康发展，落实义务教育阶段民办学校与公办学校同步招生、免试入学政策。深化医药卫生体制改革，推动“三医联动”向“全联”“深动”发展，健全现代医院管理制度、院长负责制和公立医疗卫生机构薪酬分配制度，完善法人治理结构和分级诊疗制度，增强优势医疗资源的协同性和可及性；引入社会资本办医，与公立医院形成互补；完善医患纠纷调处机制，依法打击医闹等违法行为。</w:t>
      </w:r>
    </w:p>
    <w:p>
      <w:pPr>
        <w:widowControl w:val="0"/>
        <w:tabs>
          <w:tab w:val="left" w:pos="420"/>
        </w:tabs>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六、加快推进生态体制改革。</w:t>
      </w:r>
      <w:r>
        <w:rPr>
          <w:rFonts w:ascii="Times New Roman" w:hAnsi="Times New Roman" w:eastAsia="方正仿宋简体" w:cs="Times New Roman"/>
          <w:bCs/>
          <w:color w:val="0D0D0D"/>
          <w:sz w:val="32"/>
          <w:szCs w:val="32"/>
        </w:rPr>
        <w:t>强化生态资源空间委员会统筹职能，健全国土空间规划和用途统筹协调管控制度，优化生态资源空间利用“路线图”，强化顶层管理、空间管控、系统布局。开展绿色发展年度评价，强化资源环境约束性指标考核。健全生态环保督察机制，完善环境执法与刑事司法联动机制，“零容忍”打击环境违法行为。加强生态安全监测体系建设，建立生态云平台，创新“生态+司法”模式，健全环境资源保护行政执法与刑事司法无缝衔接机制。优化河（湖、湾）长制，推行“天地人”一体化巡查监管平台。优化生态保护补偿机制，探索用能权、水权交易和生态电价改革试点，推进资源性产品价格改革，健全生态产品价值实现机制。深化集体林权制度改革，创新林地流转模式，扶持新型林业经营主体。</w:t>
      </w:r>
    </w:p>
    <w:p>
      <w:pPr>
        <w:widowControl w:val="0"/>
        <w:spacing w:line="600" w:lineRule="exact"/>
        <w:ind w:firstLine="643" w:firstLineChars="200"/>
        <w:jc w:val="both"/>
        <w:rPr>
          <w:rFonts w:hint="eastAsia" w:ascii="Times New Roman" w:hAnsi="Times New Roman" w:eastAsia="方正仿宋简体" w:cs="Times New Roman"/>
          <w:bCs/>
          <w:color w:val="0D0D0D"/>
          <w:sz w:val="32"/>
          <w:szCs w:val="32"/>
          <w:lang w:eastAsia="zh-CN"/>
        </w:rPr>
      </w:pPr>
      <w:r>
        <w:rPr>
          <w:rFonts w:ascii="Times New Roman" w:hAnsi="Times New Roman" w:eastAsia="方正楷体简体" w:cs="Times New Roman"/>
          <w:b/>
          <w:sz w:val="32"/>
          <w:szCs w:val="32"/>
        </w:rPr>
        <w:t>七、务实推进军民融合深度发展。</w:t>
      </w:r>
      <w:r>
        <w:rPr>
          <w:rFonts w:ascii="Times New Roman" w:hAnsi="Times New Roman" w:eastAsia="方正仿宋简体" w:cs="Times New Roman"/>
          <w:bCs/>
          <w:color w:val="0D0D0D"/>
          <w:sz w:val="32"/>
          <w:szCs w:val="32"/>
        </w:rPr>
        <w:t>实施军民融合发展战略，引进和培育科技军民融合研究院等新型智库，支持以企业为主体建立军民科技协同创新平台，承接“军转民”技术转化成果，承担军民融合科技创新项目，推动产业化。加强国防教育，增强全民国防观念和国防基本知识。增加国防动员投入，加强战略通道和战备物资储备基地建设，抓好民兵队伍建设。</w:t>
      </w:r>
      <w:r>
        <w:rPr>
          <w:rFonts w:hint="eastAsia" w:ascii="Times New Roman" w:hAnsi="Times New Roman" w:eastAsia="方正仿宋简体" w:cs="Times New Roman"/>
          <w:bCs/>
          <w:color w:val="0D0D0D"/>
          <w:sz w:val="32"/>
          <w:szCs w:val="32"/>
        </w:rPr>
        <w:t>健全强边固防机制，开展海防城网融合工程试点，推进“智慧海防”建设</w:t>
      </w:r>
      <w:r>
        <w:rPr>
          <w:rFonts w:hint="eastAsia" w:ascii="Times New Roman" w:hAnsi="Times New Roman" w:eastAsia="方正仿宋简体" w:cs="Times New Roman"/>
          <w:bCs/>
          <w:color w:val="0D0D0D"/>
          <w:sz w:val="32"/>
          <w:szCs w:val="32"/>
          <w:lang w:eastAsia="zh-CN"/>
        </w:rPr>
        <w:t>。</w:t>
      </w:r>
      <w:r>
        <w:rPr>
          <w:rFonts w:ascii="Times New Roman" w:hAnsi="Times New Roman" w:eastAsia="方正仿宋简体" w:cs="Times New Roman"/>
          <w:bCs/>
          <w:color w:val="0D0D0D"/>
          <w:sz w:val="32"/>
          <w:szCs w:val="32"/>
        </w:rPr>
        <w:t>巩固国家“双拥模范城”建设，创新双拥工作机制，深化科技拥军、情感拥军、绿色拥军、“双拥＋扶贫”、“双拥＋和谐家园”，实现国防建设和地方发展同频共振。</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402" w:name="_Toc21188"/>
      <w:bookmarkStart w:id="403" w:name="_Toc29779"/>
      <w:bookmarkStart w:id="404" w:name="_Toc17180"/>
      <w:bookmarkStart w:id="405" w:name="_Toc30840"/>
      <w:bookmarkStart w:id="406" w:name="_Toc5249"/>
      <w:bookmarkStart w:id="407" w:name="_Toc32007"/>
      <w:bookmarkStart w:id="408" w:name="_Toc6469"/>
      <w:bookmarkStart w:id="409" w:name="_Toc21300"/>
      <w:bookmarkStart w:id="410" w:name="_Toc6214"/>
      <w:bookmarkStart w:id="411" w:name="_Toc28501"/>
      <w:bookmarkStart w:id="412" w:name="_Toc25952"/>
      <w:bookmarkStart w:id="413" w:name="_Toc17780"/>
      <w:bookmarkStart w:id="414" w:name="_Toc68707649"/>
      <w:bookmarkStart w:id="415" w:name="_Toc9062"/>
      <w:bookmarkStart w:id="416" w:name="_Toc17813"/>
      <w:bookmarkStart w:id="417" w:name="_Toc18819"/>
      <w:bookmarkStart w:id="418" w:name="_Toc4582"/>
      <w:bookmarkStart w:id="419" w:name="_Toc18724"/>
      <w:r>
        <w:rPr>
          <w:rFonts w:ascii="Times New Roman" w:hAnsi="Times New Roman" w:eastAsia="方正黑体简体" w:cs="Times New Roman"/>
          <w:bCs/>
          <w:sz w:val="32"/>
          <w:szCs w:val="32"/>
        </w:rPr>
        <w:t>第三节 打造一流营商环境</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widowControl w:val="0"/>
        <w:spacing w:line="600" w:lineRule="exact"/>
        <w:ind w:firstLine="640" w:firstLineChars="200"/>
        <w:jc w:val="both"/>
        <w:rPr>
          <w:rFonts w:hint="eastAsia" w:ascii="Times New Roman" w:hAnsi="Times New Roman" w:eastAsia="方正仿宋简体" w:cs="Times New Roman"/>
          <w:bCs/>
          <w:color w:val="0D0D0D"/>
          <w:sz w:val="32"/>
          <w:szCs w:val="32"/>
        </w:rPr>
      </w:pPr>
      <w:r>
        <w:rPr>
          <w:rFonts w:hint="eastAsia" w:ascii="Times New Roman" w:hAnsi="Times New Roman" w:eastAsia="方正仿宋简体" w:cs="Times New Roman"/>
          <w:bCs/>
          <w:color w:val="0D0D0D"/>
          <w:sz w:val="32"/>
          <w:szCs w:val="32"/>
        </w:rPr>
        <w:t>大力倡导和践行“马上就办、真抓实干”的优良传统作风，</w:t>
      </w:r>
      <w:r>
        <w:rPr>
          <w:rFonts w:ascii="Times New Roman" w:hAnsi="Times New Roman" w:eastAsia="方正仿宋简体" w:cs="Times New Roman"/>
          <w:bCs/>
          <w:color w:val="0D0D0D"/>
          <w:sz w:val="32"/>
          <w:szCs w:val="32"/>
        </w:rPr>
        <w:t>聚焦降成本、减负担、助发展，持续开展营商环境</w:t>
      </w:r>
      <w:r>
        <w:rPr>
          <w:rFonts w:hint="eastAsia" w:ascii="Times New Roman" w:hAnsi="Times New Roman" w:eastAsia="方正仿宋简体" w:cs="Times New Roman"/>
          <w:bCs/>
          <w:color w:val="0D0D0D"/>
          <w:sz w:val="32"/>
          <w:szCs w:val="32"/>
          <w:lang w:val="en-US" w:eastAsia="zh-CN"/>
        </w:rPr>
        <w:t>提升</w:t>
      </w:r>
      <w:r>
        <w:rPr>
          <w:rFonts w:ascii="Times New Roman" w:hAnsi="Times New Roman" w:eastAsia="方正仿宋简体" w:cs="Times New Roman"/>
          <w:bCs/>
          <w:color w:val="0D0D0D"/>
          <w:sz w:val="32"/>
          <w:szCs w:val="32"/>
        </w:rPr>
        <w:t>系列年活动，</w:t>
      </w:r>
      <w:r>
        <w:rPr>
          <w:rFonts w:hint="eastAsia" w:ascii="Times New Roman" w:hAnsi="Times New Roman" w:eastAsia="方正仿宋简体" w:cs="Times New Roman"/>
          <w:bCs/>
          <w:color w:val="0D0D0D"/>
          <w:sz w:val="32"/>
          <w:szCs w:val="32"/>
        </w:rPr>
        <w:t>纵深推进“放管服”改革，</w:t>
      </w:r>
      <w:r>
        <w:rPr>
          <w:rFonts w:hint="eastAsia" w:ascii="Times New Roman" w:hAnsi="Times New Roman" w:eastAsia="方正仿宋简体" w:cs="Times New Roman"/>
          <w:bCs/>
          <w:color w:val="0D0D0D"/>
          <w:sz w:val="32"/>
          <w:szCs w:val="32"/>
          <w:lang w:eastAsia="zh-CN"/>
        </w:rPr>
        <w:t>提升</w:t>
      </w:r>
      <w:r>
        <w:rPr>
          <w:rFonts w:hint="eastAsia" w:ascii="Times New Roman" w:hAnsi="Times New Roman" w:eastAsia="方正仿宋简体" w:cs="Times New Roman"/>
          <w:bCs/>
          <w:color w:val="0D0D0D"/>
          <w:sz w:val="32"/>
          <w:szCs w:val="32"/>
        </w:rPr>
        <w:t>营商环境市场化</w:t>
      </w:r>
      <w:r>
        <w:rPr>
          <w:rFonts w:hint="eastAsia" w:ascii="Times New Roman" w:hAnsi="Times New Roman" w:eastAsia="方正仿宋简体" w:cs="Times New Roman"/>
          <w:bCs/>
          <w:color w:val="0D0D0D"/>
          <w:sz w:val="32"/>
          <w:szCs w:val="32"/>
          <w:lang w:eastAsia="zh-CN"/>
        </w:rPr>
        <w:t>、</w:t>
      </w:r>
      <w:r>
        <w:rPr>
          <w:rFonts w:hint="eastAsia" w:ascii="Times New Roman" w:hAnsi="Times New Roman" w:eastAsia="方正仿宋简体" w:cs="Times New Roman"/>
          <w:bCs/>
          <w:color w:val="0D0D0D"/>
          <w:sz w:val="32"/>
          <w:szCs w:val="32"/>
        </w:rPr>
        <w:t>法治化</w:t>
      </w:r>
      <w:r>
        <w:rPr>
          <w:rFonts w:hint="eastAsia" w:ascii="Times New Roman" w:hAnsi="Times New Roman" w:eastAsia="方正仿宋简体" w:cs="Times New Roman"/>
          <w:bCs/>
          <w:color w:val="0D0D0D"/>
          <w:sz w:val="32"/>
          <w:szCs w:val="32"/>
          <w:lang w:eastAsia="zh-CN"/>
        </w:rPr>
        <w:t>、</w:t>
      </w:r>
      <w:r>
        <w:rPr>
          <w:rFonts w:hint="eastAsia" w:ascii="Times New Roman" w:hAnsi="Times New Roman" w:eastAsia="方正仿宋简体" w:cs="Times New Roman"/>
          <w:bCs/>
          <w:color w:val="0D0D0D"/>
          <w:sz w:val="32"/>
          <w:szCs w:val="32"/>
        </w:rPr>
        <w:t>便利化</w:t>
      </w:r>
      <w:r>
        <w:rPr>
          <w:rFonts w:hint="eastAsia" w:ascii="Times New Roman" w:hAnsi="Times New Roman" w:eastAsia="方正仿宋简体" w:cs="Times New Roman"/>
          <w:bCs/>
          <w:color w:val="0D0D0D"/>
          <w:sz w:val="32"/>
          <w:szCs w:val="32"/>
          <w:lang w:eastAsia="zh-CN"/>
        </w:rPr>
        <w:t>、</w:t>
      </w:r>
      <w:r>
        <w:rPr>
          <w:rFonts w:hint="eastAsia" w:ascii="Times New Roman" w:hAnsi="Times New Roman" w:eastAsia="方正仿宋简体" w:cs="Times New Roman"/>
          <w:bCs/>
          <w:color w:val="0D0D0D"/>
          <w:sz w:val="32"/>
          <w:szCs w:val="32"/>
        </w:rPr>
        <w:t>国际化</w:t>
      </w:r>
      <w:r>
        <w:rPr>
          <w:rFonts w:hint="eastAsia" w:ascii="Times New Roman" w:hAnsi="Times New Roman" w:eastAsia="方正仿宋简体" w:cs="Times New Roman"/>
          <w:bCs/>
          <w:color w:val="0D0D0D"/>
          <w:sz w:val="32"/>
          <w:szCs w:val="32"/>
          <w:lang w:eastAsia="zh-CN"/>
        </w:rPr>
        <w:t>水平，</w:t>
      </w:r>
      <w:r>
        <w:rPr>
          <w:rFonts w:hint="eastAsia" w:ascii="Times New Roman" w:hAnsi="Times New Roman" w:eastAsia="方正仿宋简体" w:cs="Times New Roman"/>
          <w:bCs/>
          <w:color w:val="0D0D0D"/>
          <w:sz w:val="32"/>
          <w:szCs w:val="32"/>
        </w:rPr>
        <w:t>让创新创造</w:t>
      </w:r>
      <w:r>
        <w:rPr>
          <w:rFonts w:hint="eastAsia" w:ascii="Times New Roman" w:hAnsi="Times New Roman" w:eastAsia="方正仿宋简体" w:cs="Times New Roman"/>
          <w:bCs/>
          <w:color w:val="0D0D0D"/>
          <w:sz w:val="32"/>
          <w:szCs w:val="32"/>
          <w:lang w:val="en-US" w:eastAsia="zh-CN"/>
        </w:rPr>
        <w:t>创业</w:t>
      </w:r>
      <w:r>
        <w:rPr>
          <w:rFonts w:hint="eastAsia" w:ascii="Times New Roman" w:hAnsi="Times New Roman" w:eastAsia="方正仿宋简体" w:cs="Times New Roman"/>
          <w:bCs/>
          <w:color w:val="0D0D0D"/>
          <w:sz w:val="32"/>
          <w:szCs w:val="32"/>
        </w:rPr>
        <w:t>在</w:t>
      </w:r>
      <w:r>
        <w:rPr>
          <w:rFonts w:hint="eastAsia" w:ascii="Times New Roman" w:hAnsi="Times New Roman" w:eastAsia="方正仿宋简体" w:cs="Times New Roman"/>
          <w:bCs/>
          <w:color w:val="0D0D0D"/>
          <w:sz w:val="32"/>
          <w:szCs w:val="32"/>
          <w:lang w:val="en-US" w:eastAsia="zh-CN"/>
        </w:rPr>
        <w:t>南安</w:t>
      </w:r>
      <w:r>
        <w:rPr>
          <w:rFonts w:hint="eastAsia" w:ascii="Times New Roman" w:hAnsi="Times New Roman" w:eastAsia="方正仿宋简体" w:cs="Times New Roman"/>
          <w:bCs/>
          <w:color w:val="0D0D0D"/>
          <w:sz w:val="32"/>
          <w:szCs w:val="32"/>
        </w:rPr>
        <w:t>更快捷、更方便、更易成功</w:t>
      </w:r>
      <w:r>
        <w:rPr>
          <w:rFonts w:ascii="Times New Roman" w:hAnsi="Times New Roman" w:eastAsia="方正仿宋简体" w:cs="Times New Roman"/>
          <w:bCs/>
          <w:color w:val="0D0D0D"/>
          <w:sz w:val="32"/>
          <w:szCs w:val="32"/>
        </w:rPr>
        <w:t>。</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bookmarkStart w:id="420" w:name="_Toc10650"/>
      <w:bookmarkStart w:id="421" w:name="_Toc27496"/>
      <w:bookmarkStart w:id="422" w:name="_Toc23103"/>
      <w:bookmarkStart w:id="423" w:name="_Toc22659"/>
      <w:bookmarkStart w:id="424" w:name="_Toc14254"/>
      <w:r>
        <w:rPr>
          <w:rFonts w:ascii="Times New Roman" w:hAnsi="Times New Roman" w:eastAsia="方正楷体简体" w:cs="Times New Roman"/>
          <w:b/>
          <w:sz w:val="32"/>
          <w:szCs w:val="32"/>
        </w:rPr>
        <w:t>一、持续推进行政审批服务提质提速</w:t>
      </w:r>
      <w:bookmarkEnd w:id="420"/>
      <w:bookmarkEnd w:id="421"/>
      <w:bookmarkEnd w:id="422"/>
      <w:bookmarkEnd w:id="423"/>
      <w:r>
        <w:rPr>
          <w:rFonts w:ascii="Times New Roman" w:hAnsi="Times New Roman" w:eastAsia="方正楷体简体" w:cs="Times New Roman"/>
          <w:b/>
          <w:sz w:val="32"/>
          <w:szCs w:val="32"/>
        </w:rPr>
        <w:t>提效</w:t>
      </w:r>
      <w:bookmarkEnd w:id="424"/>
      <w:r>
        <w:rPr>
          <w:rFonts w:ascii="Times New Roman" w:hAnsi="Times New Roman" w:eastAsia="方正楷体简体" w:cs="Times New Roman"/>
          <w:b/>
          <w:sz w:val="32"/>
          <w:szCs w:val="32"/>
        </w:rPr>
        <w:t>。</w:t>
      </w:r>
      <w:r>
        <w:rPr>
          <w:rFonts w:ascii="Times New Roman" w:hAnsi="Times New Roman" w:eastAsia="方正仿宋简体" w:cs="Times New Roman"/>
          <w:bCs/>
          <w:color w:val="0D0D0D"/>
          <w:sz w:val="32"/>
          <w:szCs w:val="32"/>
        </w:rPr>
        <w:t>扩大商事制度改革效应，加大“证照分离”和“多证合一”改革力度，推进企业开办、工程建设项目、不动产登记等重点领域和高频事项</w:t>
      </w:r>
      <w:r>
        <w:rPr>
          <w:rFonts w:hint="eastAsia" w:ascii="Times New Roman" w:hAnsi="Times New Roman" w:eastAsia="方正仿宋简体" w:cs="Times New Roman"/>
          <w:bCs/>
          <w:color w:val="0D0D0D"/>
          <w:sz w:val="32"/>
          <w:szCs w:val="32"/>
          <w:lang w:val="en-US" w:eastAsia="zh-CN"/>
        </w:rPr>
        <w:t>更加</w:t>
      </w:r>
      <w:r>
        <w:rPr>
          <w:rFonts w:ascii="Times New Roman" w:hAnsi="Times New Roman" w:eastAsia="方正仿宋简体" w:cs="Times New Roman"/>
          <w:bCs/>
          <w:color w:val="0D0D0D"/>
          <w:sz w:val="32"/>
          <w:szCs w:val="32"/>
        </w:rPr>
        <w:t>简约化。加快政务大厅优化整合、转型升级，推进全程电子化登记和电子证照互认互通，实施无偿代办服务，实现更多政务服务事项“马上办、就近办、一次办</w:t>
      </w:r>
      <w:r>
        <w:rPr>
          <w:rFonts w:hint="eastAsia" w:ascii="Times New Roman" w:hAnsi="Times New Roman" w:eastAsia="方正仿宋简体" w:cs="Times New Roman"/>
          <w:bCs/>
          <w:color w:val="0D0D0D"/>
          <w:sz w:val="32"/>
          <w:szCs w:val="32"/>
          <w:lang w:eastAsia="zh-CN"/>
        </w:rPr>
        <w:t>、网上办</w:t>
      </w:r>
      <w:r>
        <w:rPr>
          <w:rFonts w:ascii="Times New Roman" w:hAnsi="Times New Roman" w:eastAsia="方正仿宋简体" w:cs="Times New Roman"/>
          <w:bCs/>
          <w:color w:val="0D0D0D"/>
          <w:sz w:val="32"/>
          <w:szCs w:val="32"/>
        </w:rPr>
        <w:t>”。加速政务服务数字赋能，加快政务信息系统建设和数据资源整合，实现“自助办”、“智能秒批”和“不见面审批服务”；构建市镇村“一张网”，推进网上全流程办理。规范审批“颗粒度”，聚焦“一事项一标准”，完善行政审批和服务事项清单，实现同一事项“无差别受理、同标准审批、零自由裁量”。实施审批服务台账管理制度，深化大数据分析、全流程监管、全覆盖改革，加速环节、时间、成本“三精简”。深化审批中介服务改革，实施联合验收，集中踏勘、并联统验。探索新批工业用地“标准地+承诺制”制度。全面落实减税降费政策，规范涉企经营服务性收费，降低企业成本。</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bookmarkStart w:id="425" w:name="_Toc26150"/>
      <w:bookmarkStart w:id="426" w:name="_Toc31307"/>
      <w:bookmarkStart w:id="427" w:name="_Toc6652"/>
      <w:bookmarkStart w:id="428" w:name="_Toc7582"/>
      <w:bookmarkStart w:id="429" w:name="_Toc2812"/>
      <w:bookmarkStart w:id="430" w:name="_Toc31542302"/>
      <w:r>
        <w:rPr>
          <w:rFonts w:ascii="Times New Roman" w:hAnsi="Times New Roman" w:eastAsia="方正楷体简体" w:cs="Times New Roman"/>
          <w:b/>
          <w:sz w:val="32"/>
          <w:szCs w:val="32"/>
        </w:rPr>
        <w:t>二、持续推进产权保护法治化</w:t>
      </w:r>
      <w:bookmarkEnd w:id="425"/>
      <w:bookmarkEnd w:id="426"/>
      <w:bookmarkEnd w:id="427"/>
      <w:bookmarkEnd w:id="428"/>
      <w:bookmarkEnd w:id="429"/>
      <w:r>
        <w:rPr>
          <w:rFonts w:ascii="Times New Roman" w:hAnsi="Times New Roman" w:eastAsia="方正楷体简体" w:cs="Times New Roman"/>
          <w:b/>
          <w:sz w:val="32"/>
          <w:szCs w:val="32"/>
        </w:rPr>
        <w:t>。</w:t>
      </w:r>
      <w:r>
        <w:rPr>
          <w:rFonts w:ascii="Times New Roman" w:hAnsi="Times New Roman" w:eastAsia="方正仿宋简体" w:cs="Times New Roman"/>
          <w:bCs/>
          <w:color w:val="0D0D0D"/>
          <w:sz w:val="32"/>
          <w:szCs w:val="32"/>
        </w:rPr>
        <w:t>以争创国家知识产权强县工程试点、示范县为牵引，依托泉州国家知识产权运营服务体系建设重点城市，健全知识产权运营服务体系，实施“一站式”服务，构建知识产权“大保护”格局。实施商标品牌战略，推动马德里商标国际注册工作，引导企业通过商标国际注册和国际品牌并购，培育本土跨国企业。实施产业集群专利导航，建设知识产权保护教育基地，建设省级半导体知识产权中心，争取设立泉州国家级知识产权保护中心南安分中心。加强跨部门、跨区域协同执法保护，严厉打击各类知识产权侵权行为，提升知识产权保护和运用水平。</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bookmarkStart w:id="431" w:name="_Toc12937"/>
      <w:bookmarkStart w:id="432" w:name="_Toc9785"/>
      <w:bookmarkStart w:id="433" w:name="_Toc12254"/>
      <w:bookmarkStart w:id="434" w:name="_Toc6904"/>
      <w:bookmarkStart w:id="435" w:name="_Toc4262"/>
      <w:r>
        <w:rPr>
          <w:rFonts w:ascii="Times New Roman" w:hAnsi="Times New Roman" w:eastAsia="方正楷体简体" w:cs="Times New Roman"/>
          <w:b/>
          <w:sz w:val="32"/>
          <w:szCs w:val="32"/>
        </w:rPr>
        <w:t>三、持续推进以信用为基础的新型市场监管</w:t>
      </w:r>
      <w:bookmarkEnd w:id="431"/>
      <w:bookmarkEnd w:id="432"/>
      <w:bookmarkEnd w:id="433"/>
      <w:bookmarkEnd w:id="434"/>
      <w:r>
        <w:rPr>
          <w:rFonts w:ascii="Times New Roman" w:hAnsi="Times New Roman" w:eastAsia="方正楷体简体" w:cs="Times New Roman"/>
          <w:b/>
          <w:sz w:val="32"/>
          <w:szCs w:val="32"/>
        </w:rPr>
        <w:t>体系</w:t>
      </w:r>
      <w:bookmarkEnd w:id="435"/>
      <w:r>
        <w:rPr>
          <w:rFonts w:ascii="Times New Roman" w:hAnsi="Times New Roman" w:eastAsia="方正楷体简体" w:cs="Times New Roman"/>
          <w:b/>
          <w:sz w:val="32"/>
          <w:szCs w:val="32"/>
        </w:rPr>
        <w:t>。</w:t>
      </w:r>
      <w:r>
        <w:rPr>
          <w:rFonts w:ascii="Times New Roman" w:hAnsi="Times New Roman" w:eastAsia="方正仿宋简体" w:cs="Times New Roman"/>
          <w:bCs/>
          <w:color w:val="0D0D0D"/>
          <w:sz w:val="32"/>
          <w:szCs w:val="32"/>
        </w:rPr>
        <w:t>深化“诚信南安”建设，以政务诚信建设为先导，全面推进商务环境、公共服务、司法公信等重点领域诚信建设。推行“互联网+监管”改革，运用云计算、人工智能等信息技术手段开展“智慧监管”，构建“线上+线下”立体化监管系统。创新网络市场监管模式，加强对网络经营行为动态监测，加大新型网信案件查处力度。</w:t>
      </w:r>
      <w:bookmarkEnd w:id="430"/>
      <w:r>
        <w:rPr>
          <w:rFonts w:ascii="Times New Roman" w:hAnsi="Times New Roman" w:eastAsia="方正仿宋简体" w:cs="Times New Roman"/>
          <w:bCs/>
          <w:color w:val="0D0D0D"/>
          <w:sz w:val="32"/>
          <w:szCs w:val="32"/>
        </w:rPr>
        <w:t>建立健全跨部门、跨领域的“双随机、一公开”监管执法机制，实施跨部门联合随机抽查清单制度，对信用好、风险低的，实施信用分级分类监管，减少抽查比例和频次。加强社会组织和个人诚信建设，探索市民信用积分制度，加强重点人群信用管理。</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四、创新政企互动新模式。</w:t>
      </w:r>
      <w:r>
        <w:rPr>
          <w:rFonts w:ascii="Times New Roman" w:hAnsi="Times New Roman" w:eastAsia="方正仿宋简体" w:cs="Times New Roman"/>
          <w:bCs/>
          <w:color w:val="0D0D0D"/>
          <w:sz w:val="32"/>
          <w:szCs w:val="32"/>
        </w:rPr>
        <w:t>完善产业政策科学制定制度，邀请行业协会、龙头企业、代表性企业参与涉企政策和产业路线图制定和修订，做好政策实施后的阶段性评估和“回头看”，及时调整修正、细化配套，提高施策精准度。建立龙头企业“一对一”服务机制和中小企业诉求反馈机制，打造优质企业生态圈，构建“亲”“清”政商关系</w:t>
      </w:r>
      <w:r>
        <w:rPr>
          <w:rFonts w:hint="eastAsia" w:ascii="Times New Roman" w:hAnsi="Times New Roman" w:eastAsia="方正仿宋简体" w:cs="Times New Roman"/>
          <w:bCs/>
          <w:color w:val="0D0D0D"/>
          <w:sz w:val="32"/>
          <w:szCs w:val="32"/>
          <w:lang w:eastAsia="zh-CN"/>
        </w:rPr>
        <w:t>，</w:t>
      </w:r>
      <w:r>
        <w:rPr>
          <w:rFonts w:hint="eastAsia" w:ascii="Times New Roman" w:hAnsi="Times New Roman" w:eastAsia="方正仿宋简体" w:cs="Times New Roman"/>
          <w:bCs/>
          <w:color w:val="0D0D0D"/>
          <w:sz w:val="32"/>
          <w:szCs w:val="32"/>
          <w:lang w:val="en-US" w:eastAsia="zh-CN"/>
        </w:rPr>
        <w:t>提振民营企业家爱拼敢赢精气神</w:t>
      </w:r>
      <w:r>
        <w:rPr>
          <w:rFonts w:ascii="Times New Roman" w:hAnsi="Times New Roman" w:eastAsia="方正仿宋简体" w:cs="Times New Roman"/>
          <w:bCs/>
          <w:color w:val="0D0D0D"/>
          <w:sz w:val="32"/>
          <w:szCs w:val="32"/>
        </w:rPr>
        <w:t>。</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436" w:name="_Toc30152"/>
      <w:bookmarkStart w:id="437" w:name="_Toc68707650"/>
      <w:bookmarkStart w:id="438" w:name="_Toc17801"/>
      <w:bookmarkStart w:id="439" w:name="_Toc2564"/>
      <w:bookmarkStart w:id="440" w:name="_Toc22320"/>
      <w:bookmarkStart w:id="441" w:name="_Toc11476"/>
      <w:bookmarkStart w:id="442" w:name="_Toc31739"/>
      <w:bookmarkStart w:id="443" w:name="_Toc25091"/>
      <w:bookmarkStart w:id="444" w:name="_Toc15634"/>
      <w:bookmarkStart w:id="445" w:name="_Toc10103"/>
      <w:bookmarkStart w:id="446" w:name="_Toc25649"/>
      <w:bookmarkStart w:id="447" w:name="_Toc28554"/>
      <w:bookmarkStart w:id="448" w:name="_Toc2746"/>
      <w:bookmarkStart w:id="449" w:name="_Toc12300"/>
      <w:bookmarkStart w:id="450" w:name="_Toc21600"/>
      <w:bookmarkStart w:id="451" w:name="_Toc9864"/>
      <w:bookmarkStart w:id="452" w:name="_Toc17899"/>
      <w:r>
        <w:rPr>
          <w:rFonts w:ascii="Times New Roman" w:hAnsi="Times New Roman" w:eastAsia="方正黑体简体" w:cs="Times New Roman"/>
          <w:bCs/>
          <w:sz w:val="32"/>
          <w:szCs w:val="32"/>
        </w:rPr>
        <w:t>第四节  夯实创新创业创造载体</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主动融入福厦泉国家自主创新示范区，对接泉厦科创走廊和环清源山科创走廊，坚持以创新为引领，破解体制机制障碍，营造开放型创新生态圈</w:t>
      </w:r>
      <w:r>
        <w:rPr>
          <w:rFonts w:hint="eastAsia" w:ascii="Times New Roman" w:hAnsi="Times New Roman" w:eastAsia="方正仿宋简体" w:cs="Times New Roman"/>
          <w:bCs/>
          <w:color w:val="0D0D0D"/>
          <w:sz w:val="32"/>
          <w:szCs w:val="32"/>
          <w:lang w:eastAsia="zh-CN"/>
        </w:rPr>
        <w:t>，</w:t>
      </w:r>
      <w:r>
        <w:rPr>
          <w:rFonts w:hint="eastAsia" w:ascii="Times New Roman" w:hAnsi="Times New Roman" w:eastAsia="方正仿宋简体" w:cs="Times New Roman"/>
          <w:bCs/>
          <w:color w:val="0D0D0D"/>
          <w:sz w:val="32"/>
          <w:szCs w:val="32"/>
          <w:lang w:val="en-US" w:eastAsia="zh-CN"/>
        </w:rPr>
        <w:t>全力打造科技创新发展“引领极”</w:t>
      </w:r>
      <w:r>
        <w:rPr>
          <w:rFonts w:ascii="Times New Roman" w:hAnsi="Times New Roman" w:eastAsia="方正仿宋简体" w:cs="Times New Roman"/>
          <w:bCs/>
          <w:color w:val="0D0D0D"/>
          <w:sz w:val="32"/>
          <w:szCs w:val="32"/>
        </w:rPr>
        <w:t>。</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一、培育创新型企业梯队。</w:t>
      </w:r>
      <w:r>
        <w:rPr>
          <w:rFonts w:ascii="Times New Roman" w:hAnsi="Times New Roman" w:eastAsia="方正仿宋简体" w:cs="Times New Roman"/>
          <w:bCs/>
          <w:color w:val="0D0D0D"/>
          <w:sz w:val="32"/>
          <w:szCs w:val="32"/>
        </w:rPr>
        <w:t>落实“培育壮大一批、孵化生成一批、改造提升一批、对接转化一批、引进落地一批”，至2025年国家级高新技术企业、省级科技小巨人领军企业分别突破100家、150家，形成雁形发展梯队。</w:t>
      </w:r>
      <w:r>
        <w:rPr>
          <w:rFonts w:ascii="Times New Roman" w:hAnsi="Times New Roman" w:eastAsia="方正仿宋简体" w:cs="Times New Roman"/>
          <w:b/>
          <w:color w:val="0D0D0D"/>
          <w:sz w:val="32"/>
          <w:szCs w:val="32"/>
        </w:rPr>
        <w:t>实施“雏鹰”培育计划。</w:t>
      </w:r>
      <w:r>
        <w:rPr>
          <w:rFonts w:ascii="Times New Roman" w:hAnsi="Times New Roman" w:eastAsia="方正仿宋简体" w:cs="Times New Roman"/>
          <w:bCs/>
          <w:color w:val="0D0D0D"/>
          <w:sz w:val="32"/>
          <w:szCs w:val="32"/>
        </w:rPr>
        <w:t>完善高成长性企业培育机制，建立高新技术企业培育库，深化独角兽、瞪羚企业、科技“小巨人”培育行动，汇聚一批细分行业科技领军企业，打造一批国家级、省级制造业单项冠军。</w:t>
      </w:r>
      <w:r>
        <w:rPr>
          <w:rFonts w:ascii="Times New Roman" w:hAnsi="Times New Roman" w:eastAsia="方正仿宋简体" w:cs="Times New Roman"/>
          <w:b/>
          <w:color w:val="0D0D0D"/>
          <w:sz w:val="32"/>
          <w:szCs w:val="32"/>
        </w:rPr>
        <w:t>实施“春苗”培育计划。</w:t>
      </w:r>
      <w:r>
        <w:rPr>
          <w:rFonts w:ascii="Times New Roman" w:hAnsi="Times New Roman" w:eastAsia="方正仿宋简体" w:cs="Times New Roman"/>
          <w:bCs/>
          <w:color w:val="0D0D0D"/>
          <w:sz w:val="32"/>
          <w:szCs w:val="32"/>
        </w:rPr>
        <w:t>完善科技成果转化机制，创新“孵化+创投”、“创业导师+持股孵化”、“创业培训+天使投资”、“互联网+”等孵化服务模式，吸引更多新兴产业项目来南安孵化，推动各类创新创业孵化基地和众创空间建设，培育生成一批“专、精、特、新”的科技型中小企业，从而形成高新技术企业的成长梯队。</w:t>
      </w:r>
      <w:r>
        <w:rPr>
          <w:rFonts w:ascii="Times New Roman" w:hAnsi="Times New Roman" w:eastAsia="方正仿宋简体" w:cs="Times New Roman"/>
          <w:b/>
          <w:color w:val="0D0D0D"/>
          <w:sz w:val="32"/>
          <w:szCs w:val="32"/>
        </w:rPr>
        <w:t>实施研发投入提升计划。</w:t>
      </w:r>
      <w:r>
        <w:rPr>
          <w:rFonts w:ascii="Times New Roman" w:hAnsi="Times New Roman" w:eastAsia="方正仿宋简体" w:cs="Times New Roman"/>
          <w:bCs/>
          <w:color w:val="0D0D0D"/>
          <w:sz w:val="32"/>
          <w:szCs w:val="32"/>
        </w:rPr>
        <w:t>引导重点工业企业自主或联合建立研发设计机构，提升自主研发能力；鼓励生产制造类企业建立工匠工作室，塑造工匠品牌；落实好技改奖补政策，减轻企业技改投入负担。</w:t>
      </w:r>
      <w:r>
        <w:rPr>
          <w:rFonts w:ascii="Times New Roman" w:hAnsi="Times New Roman" w:eastAsia="方正仿宋简体" w:cs="Times New Roman"/>
          <w:b/>
          <w:color w:val="0D0D0D"/>
          <w:sz w:val="32"/>
          <w:szCs w:val="32"/>
        </w:rPr>
        <w:t>深化科技特派员制度。</w:t>
      </w:r>
      <w:r>
        <w:rPr>
          <w:rFonts w:ascii="Times New Roman" w:hAnsi="Times New Roman" w:eastAsia="方正仿宋简体" w:cs="Times New Roman"/>
          <w:bCs/>
          <w:color w:val="0D0D0D"/>
          <w:sz w:val="32"/>
          <w:szCs w:val="32"/>
        </w:rPr>
        <w:t>试行科技特派员备案制度，推动“单人单点”服务向“组团联动”服务转变，每年选认省市县级科技特派员410名以上，组建团队科技特派员4个以上，培育法人科技特派员3个以上，创建3个科技特派员工作示范点。</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二、健全学研产用协同创新支撑体系。</w:t>
      </w:r>
      <w:r>
        <w:rPr>
          <w:rFonts w:ascii="Times New Roman" w:hAnsi="Times New Roman" w:eastAsia="方正仿宋简体" w:cs="Times New Roman"/>
          <w:bCs/>
          <w:color w:val="0D0D0D"/>
          <w:sz w:val="32"/>
          <w:szCs w:val="32"/>
        </w:rPr>
        <w:t>引进培育高水平开放式公共创新平台，至2025年，引进重大研发机构1家，培育科技创新服务平台1个，建设省级重点实验室1个，建成各类新型研发机构10家。</w:t>
      </w:r>
      <w:r>
        <w:rPr>
          <w:rFonts w:hint="eastAsia" w:ascii="Times New Roman" w:hAnsi="Times New Roman" w:eastAsia="方正仿宋简体" w:cs="Times New Roman"/>
          <w:b/>
          <w:color w:val="0D0D0D"/>
          <w:sz w:val="32"/>
          <w:szCs w:val="32"/>
        </w:rPr>
        <w:t>实施科技体制创新体制计划。</w:t>
      </w:r>
      <w:r>
        <w:rPr>
          <w:rFonts w:ascii="Times New Roman" w:hAnsi="Times New Roman" w:eastAsia="方正仿宋简体" w:cs="Times New Roman"/>
          <w:bCs/>
          <w:color w:val="0D0D0D"/>
          <w:sz w:val="32"/>
          <w:szCs w:val="32"/>
        </w:rPr>
        <w:t>深入推进科技体制改革，推动重点领域项目、基地、人才、资金一体化配置。加大研发投入，共建科技成果转化项目库，完善配套政策及利益共享机制，大幅提高科技成果孵化转化成效。完善金融支持创新体系，促进新技术产业化规模化应用。健全科技伦理体系。围绕国家知识产权强县示范县建设，建立知识产权快速协同保护和运营机制，培育产业核心竞争力。</w:t>
      </w:r>
      <w:r>
        <w:rPr>
          <w:rFonts w:ascii="Times New Roman" w:hAnsi="Times New Roman" w:eastAsia="方正仿宋简体" w:cs="Times New Roman"/>
          <w:b/>
          <w:color w:val="0D0D0D"/>
          <w:sz w:val="32"/>
          <w:szCs w:val="32"/>
        </w:rPr>
        <w:t>实施产业公共创新载体建设计划。</w:t>
      </w:r>
      <w:r>
        <w:rPr>
          <w:rFonts w:ascii="Times New Roman" w:hAnsi="Times New Roman" w:eastAsia="方正仿宋简体" w:cs="Times New Roman"/>
          <w:bCs/>
          <w:color w:val="0D0D0D"/>
          <w:sz w:val="32"/>
          <w:szCs w:val="32"/>
        </w:rPr>
        <w:t>推动泛家居产业联盟、装备制造产业技术研究院等新型协同创新平台建设，组建省级制造业创新中心，支持企业技术中心、工程技术研究中心、工业设计中心、重点实验室等创新网络节点建设，组织开展特色优势基础研究，突破一批“卡脖子”关键核心技术。以泉州与金奈建立友城为契机，争取金砖国家新工业革命伙伴关系创新基地落户南安。整合石材、建陶、水暖厨卫等传统支柱产业的龙头企业创新资源，筹建智慧家居创新研究院。</w:t>
      </w:r>
      <w:r>
        <w:rPr>
          <w:rFonts w:ascii="Times New Roman" w:hAnsi="Times New Roman" w:eastAsia="方正仿宋简体" w:cs="Times New Roman"/>
          <w:b/>
          <w:color w:val="0D0D0D"/>
          <w:sz w:val="32"/>
          <w:szCs w:val="32"/>
        </w:rPr>
        <w:t>实施科技服务平台提升计划。</w:t>
      </w:r>
      <w:r>
        <w:rPr>
          <w:rFonts w:ascii="Times New Roman" w:hAnsi="Times New Roman" w:eastAsia="方正仿宋简体" w:cs="Times New Roman"/>
          <w:bCs/>
          <w:color w:val="0D0D0D"/>
          <w:sz w:val="32"/>
          <w:szCs w:val="32"/>
        </w:rPr>
        <w:t>重点布局建设好创业孵化综合科技服务平台、大型科学仪器开放共享服务平台、产权交易服务平台、检验检测科技服务平台、科技金融服务平台、中小企业公共服务平台等“六大平台”，培育壮大一批科技服务集团，打造科技创新“加速器”。加强国家水暖洁具产品质量监督检验中心、国家石材建陶产品质量监督检验中心和国家建筑材料展贸中心（南方）检验检测中心等国家级平台建设，吸引各类科技研发平台和产业公共服务平台落地。</w:t>
      </w:r>
      <w:bookmarkStart w:id="453" w:name="_Toc31542308"/>
      <w:r>
        <w:rPr>
          <w:rFonts w:ascii="Times New Roman" w:hAnsi="Times New Roman" w:eastAsia="方正仿宋简体" w:cs="Times New Roman"/>
          <w:bCs/>
          <w:color w:val="0D0D0D"/>
          <w:sz w:val="32"/>
          <w:szCs w:val="32"/>
        </w:rPr>
        <w:t>至2025年，培育建设省级以上技术转移服务机构5个，实现重大科技成果落地转化项目5项。</w:t>
      </w:r>
      <w:r>
        <w:rPr>
          <w:rFonts w:ascii="Times New Roman" w:hAnsi="Times New Roman" w:eastAsia="方正仿宋简体" w:cs="Times New Roman"/>
          <w:b/>
          <w:color w:val="0D0D0D"/>
          <w:sz w:val="32"/>
          <w:szCs w:val="32"/>
        </w:rPr>
        <w:t>实施创新创业伙伴计划。</w:t>
      </w:r>
      <w:bookmarkEnd w:id="453"/>
      <w:r>
        <w:rPr>
          <w:rFonts w:ascii="Times New Roman" w:hAnsi="Times New Roman" w:eastAsia="方正仿宋简体" w:cs="Times New Roman"/>
          <w:bCs/>
          <w:color w:val="0D0D0D"/>
          <w:sz w:val="32"/>
          <w:szCs w:val="32"/>
        </w:rPr>
        <w:t>整合提升园区闲置低效载体、传统孵化器等，培育以双创示范基地、创客空间、网上创新工厂为代表的新型创业孵化载体，打造全要素集聚的创新创业高地。设立中小企业公共服务示范平台，开展创新创业赛事活动，发现和对接一批创新点子、种子项目，孵化、转化一批初创企业。搭建大中小企业融通发展平台，鼓励大中型企业开展内部创业，鼓励有条件的企业依法合规发起或参与设立公益性创业基金，参股、投资内部创业项目。</w:t>
      </w:r>
    </w:p>
    <w:p>
      <w:pPr>
        <w:widowControl w:val="0"/>
        <w:adjustRightInd/>
        <w:snapToGrid/>
        <w:spacing w:beforeLines="50" w:afterLines="50" w:line="620" w:lineRule="exact"/>
        <w:jc w:val="center"/>
        <w:outlineLvl w:val="1"/>
        <w:rPr>
          <w:rFonts w:ascii="Times New Roman" w:hAnsi="Times New Roman" w:eastAsia="方正黑体简体" w:cs="Times New Roman"/>
          <w:bCs/>
          <w:sz w:val="32"/>
          <w:szCs w:val="32"/>
        </w:rPr>
      </w:pPr>
      <w:bookmarkStart w:id="454" w:name="_Toc16101"/>
      <w:bookmarkStart w:id="455" w:name="_Toc4860"/>
      <w:bookmarkStart w:id="456" w:name="_Toc68707651"/>
      <w:bookmarkStart w:id="457" w:name="_Toc32396"/>
      <w:bookmarkStart w:id="458" w:name="_Toc4925"/>
      <w:bookmarkStart w:id="459" w:name="_Toc17511"/>
      <w:bookmarkStart w:id="460" w:name="_Toc489"/>
      <w:bookmarkStart w:id="461" w:name="_Toc19061"/>
      <w:bookmarkStart w:id="462" w:name="_Toc21335"/>
      <w:bookmarkStart w:id="463" w:name="_Toc3556"/>
      <w:bookmarkStart w:id="464" w:name="_Toc29397"/>
      <w:r>
        <w:rPr>
          <w:rFonts w:ascii="Times New Roman" w:hAnsi="Times New Roman" w:eastAsia="方正黑体简体" w:cs="Times New Roman"/>
          <w:bCs/>
          <w:sz w:val="32"/>
          <w:szCs w:val="32"/>
        </w:rPr>
        <w:t>第五节  激发人才创新创业创造活力</w:t>
      </w:r>
      <w:bookmarkEnd w:id="454"/>
      <w:bookmarkEnd w:id="455"/>
      <w:bookmarkEnd w:id="456"/>
      <w:bookmarkEnd w:id="457"/>
      <w:bookmarkEnd w:id="458"/>
      <w:bookmarkEnd w:id="459"/>
      <w:bookmarkEnd w:id="460"/>
      <w:bookmarkEnd w:id="461"/>
      <w:bookmarkEnd w:id="462"/>
      <w:bookmarkEnd w:id="463"/>
      <w:bookmarkEnd w:id="464"/>
    </w:p>
    <w:p>
      <w:pPr>
        <w:widowControl w:val="0"/>
        <w:adjustRightInd/>
        <w:snapToGrid/>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一、构建人才政策体系。</w:t>
      </w:r>
      <w:r>
        <w:rPr>
          <w:rFonts w:ascii="Times New Roman" w:hAnsi="Times New Roman" w:eastAsia="方正仿宋简体" w:cs="Times New Roman"/>
          <w:bCs/>
          <w:color w:val="0D0D0D"/>
          <w:sz w:val="32"/>
          <w:szCs w:val="32"/>
        </w:rPr>
        <w:t>深入实施人才“港湾计划”，深化人才发展体制机制改革，精准对接高端人才需求，优化人才积分制、国企代建人才房、人才持股、高层次人才编制周转池、住房补贴、公共服务捆绑配套等激励政策，培育和引进科研型人才、实用型人才和创新团队</w:t>
      </w:r>
      <w:r>
        <w:rPr>
          <w:rFonts w:hint="eastAsia" w:ascii="Times New Roman" w:hAnsi="Times New Roman" w:eastAsia="方正仿宋简体" w:cs="Times New Roman"/>
          <w:bCs/>
          <w:color w:val="0D0D0D"/>
          <w:sz w:val="32"/>
          <w:szCs w:val="32"/>
        </w:rPr>
        <w:t>。加强对人才的政治引领和政治吸纳，弘扬科学精神和工匠精神、劳模精神，营造崇尚创新的社会氛围。</w:t>
      </w:r>
      <w:r>
        <w:rPr>
          <w:rFonts w:ascii="Times New Roman" w:hAnsi="Times New Roman" w:eastAsia="方正仿宋简体" w:cs="Times New Roman"/>
          <w:bCs/>
          <w:color w:val="0D0D0D"/>
          <w:sz w:val="32"/>
          <w:szCs w:val="32"/>
        </w:rPr>
        <w:t>创新专家举荐、行业协会推荐、相关机构引荐高层次人才的办法，至2025年引进5个高层次人才团队。</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二、健全人才工作平台。</w:t>
      </w:r>
      <w:r>
        <w:rPr>
          <w:rFonts w:ascii="Times New Roman" w:hAnsi="Times New Roman" w:eastAsia="方正仿宋简体" w:cs="Times New Roman"/>
          <w:bCs/>
          <w:color w:val="0D0D0D"/>
          <w:sz w:val="32"/>
          <w:szCs w:val="32"/>
        </w:rPr>
        <w:t>做实政校企深度融合发展模式，依托市场化手段，建强与上海大学、同济大学、华侨大学等高校产学研用平台，在人才培养、城市规划、优势学科与产业对接、高端资源嫁接等领域加强合作。以产业需求为导向，建设博士后科研工作站、名师工作站、高端智库等柔性引才平台，扶持一批创业空间、孵化器、公共技术服务平台、产业人才实训基地。创建海归创业学院，拓展海外人才工作站职能，布局海外人才离岸孵化基地，择优引进海内外工程师。完善“智力回归”平台，支持南安籍人才回乡就业创业。</w:t>
      </w:r>
    </w:p>
    <w:p>
      <w:pPr>
        <w:spacing w:line="600" w:lineRule="exact"/>
        <w:ind w:firstLine="643" w:firstLineChars="200"/>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三、打造人才培养链条。</w:t>
      </w:r>
      <w:r>
        <w:rPr>
          <w:rFonts w:ascii="Times New Roman" w:hAnsi="Times New Roman" w:eastAsia="方正仿宋简体" w:cs="Times New Roman"/>
          <w:bCs/>
          <w:color w:val="0D0D0D"/>
          <w:sz w:val="32"/>
          <w:szCs w:val="32"/>
        </w:rPr>
        <w:t>完善人才培养机制，分行业建立人才资源动态数据库，形成完整人才培养链条。实施党政人才专业素养提升计划，提高高学历、高职称专业人才的比重，改善干部队伍专业结构，提升干部综合素质。实施企业家队伍培养计划，创新“以企业家培养企业家”模式，培养中小企业领军人物和青年企业家队伍。依托闽南科技学院、泉州工程职业技术学校，引进泉州市高级技工学校</w:t>
      </w:r>
      <w:r>
        <w:rPr>
          <w:rFonts w:hint="eastAsia" w:ascii="Times New Roman" w:hAnsi="Times New Roman" w:eastAsia="方正仿宋简体" w:cs="Times New Roman"/>
          <w:bCs/>
          <w:color w:val="0D0D0D"/>
          <w:sz w:val="32"/>
          <w:szCs w:val="32"/>
          <w:lang w:eastAsia="zh-CN"/>
        </w:rPr>
        <w:t>等职业技能教育培训平台</w:t>
      </w:r>
      <w:r>
        <w:rPr>
          <w:rFonts w:ascii="Times New Roman" w:hAnsi="Times New Roman" w:eastAsia="方正仿宋简体" w:cs="Times New Roman"/>
          <w:bCs/>
          <w:color w:val="0D0D0D"/>
          <w:sz w:val="32"/>
          <w:szCs w:val="32"/>
        </w:rPr>
        <w:t>，采用“师徒结对”与“集中培训”相结合的方式，实施重点产业人才教育对接和梯次培养计划，打造与产业链匹配的新时期产业工人队伍。</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四、营造人才服务环境。</w:t>
      </w:r>
      <w:r>
        <w:rPr>
          <w:rFonts w:ascii="Times New Roman" w:hAnsi="Times New Roman" w:eastAsia="方正仿宋简体" w:cs="Times New Roman"/>
          <w:bCs/>
          <w:color w:val="0D0D0D"/>
          <w:sz w:val="32"/>
          <w:szCs w:val="32"/>
        </w:rPr>
        <w:t>落实党管人才职责体系，健全人才工作责任清单、任务清单、问题清单“三张清单”制度。落实人才“港湾计划”关于人才子女就学、医疗保健、安居保障各项服务举措，在中心城区</w:t>
      </w:r>
      <w:r>
        <w:rPr>
          <w:rFonts w:hint="eastAsia" w:ascii="Times New Roman" w:hAnsi="Times New Roman" w:eastAsia="方正仿宋简体" w:cs="Times New Roman"/>
          <w:bCs/>
          <w:color w:val="0D0D0D"/>
          <w:sz w:val="32"/>
          <w:szCs w:val="32"/>
          <w:lang w:eastAsia="zh-CN"/>
        </w:rPr>
        <w:t>、</w:t>
      </w:r>
      <w:r>
        <w:rPr>
          <w:rFonts w:ascii="Times New Roman" w:hAnsi="Times New Roman" w:eastAsia="方正仿宋简体" w:cs="Times New Roman"/>
          <w:bCs/>
          <w:color w:val="0D0D0D"/>
          <w:sz w:val="32"/>
          <w:szCs w:val="32"/>
        </w:rPr>
        <w:t>南翼新城</w:t>
      </w:r>
      <w:r>
        <w:rPr>
          <w:rFonts w:hint="eastAsia" w:ascii="Times New Roman" w:hAnsi="Times New Roman" w:eastAsia="方正仿宋简体" w:cs="Times New Roman"/>
          <w:bCs/>
          <w:color w:val="0D0D0D"/>
          <w:sz w:val="32"/>
          <w:szCs w:val="32"/>
          <w:lang w:eastAsia="zh-CN"/>
        </w:rPr>
        <w:t>和北部新城</w:t>
      </w:r>
      <w:r>
        <w:rPr>
          <w:rFonts w:ascii="Times New Roman" w:hAnsi="Times New Roman" w:eastAsia="方正仿宋简体" w:cs="Times New Roman"/>
          <w:bCs/>
          <w:color w:val="0D0D0D"/>
          <w:sz w:val="32"/>
          <w:szCs w:val="32"/>
        </w:rPr>
        <w:t>新增用地配建不少于总建筑面积10%的高层次人才公寓和公租房，在中心城区</w:t>
      </w:r>
      <w:r>
        <w:rPr>
          <w:rFonts w:hint="eastAsia" w:ascii="Times New Roman" w:hAnsi="Times New Roman" w:eastAsia="方正仿宋简体" w:cs="Times New Roman"/>
          <w:bCs/>
          <w:color w:val="0D0D0D"/>
          <w:sz w:val="32"/>
          <w:szCs w:val="32"/>
          <w:lang w:eastAsia="zh-CN"/>
        </w:rPr>
        <w:t>、</w:t>
      </w:r>
      <w:r>
        <w:rPr>
          <w:rFonts w:ascii="Times New Roman" w:hAnsi="Times New Roman" w:eastAsia="方正仿宋简体" w:cs="Times New Roman"/>
          <w:bCs/>
          <w:color w:val="0D0D0D"/>
          <w:sz w:val="32"/>
          <w:szCs w:val="32"/>
        </w:rPr>
        <w:t>芯谷、智谷、高新园区、小微产业园等人才集聚区域，高标准规划建设一批高品质的国际人才社区、台湾人才社区、青年人才社区和“潮空间”。</w:t>
      </w:r>
    </w:p>
    <w:p>
      <w:pPr>
        <w:pStyle w:val="17"/>
        <w:widowControl w:val="0"/>
        <w:adjustRightInd/>
        <w:snapToGrid/>
        <w:spacing w:beforeLines="50" w:afterLines="50" w:line="620" w:lineRule="exact"/>
        <w:rPr>
          <w:rFonts w:ascii="Times New Roman" w:hAnsi="Times New Roman" w:eastAsia="方正小标宋简体" w:cs="Times New Roman"/>
          <w:sz w:val="36"/>
          <w:szCs w:val="36"/>
        </w:rPr>
      </w:pPr>
      <w:bookmarkStart w:id="465" w:name="_Toc18934"/>
      <w:bookmarkStart w:id="466" w:name="_Toc9816"/>
      <w:bookmarkStart w:id="467" w:name="_Toc68707652"/>
      <w:bookmarkStart w:id="468" w:name="_Toc5128"/>
      <w:bookmarkStart w:id="469" w:name="_Toc17525"/>
      <w:bookmarkStart w:id="470" w:name="_Toc13531"/>
      <w:bookmarkStart w:id="471" w:name="_Toc7222"/>
      <w:bookmarkStart w:id="472" w:name="_Toc26155"/>
      <w:bookmarkStart w:id="473" w:name="_Toc20716"/>
      <w:bookmarkStart w:id="474" w:name="_Toc19625"/>
      <w:bookmarkStart w:id="475" w:name="_Toc87"/>
      <w:bookmarkStart w:id="476" w:name="_Toc32350"/>
      <w:bookmarkStart w:id="477" w:name="_Toc8563"/>
      <w:bookmarkStart w:id="478" w:name="_Toc20235"/>
      <w:bookmarkStart w:id="479" w:name="_Toc20925"/>
      <w:bookmarkStart w:id="480" w:name="_Toc4490"/>
      <w:bookmarkStart w:id="481" w:name="_Toc18926"/>
      <w:r>
        <w:rPr>
          <w:rFonts w:ascii="Times New Roman" w:hAnsi="Times New Roman" w:eastAsia="方正小标宋简体" w:cs="Times New Roman"/>
          <w:sz w:val="36"/>
          <w:szCs w:val="36"/>
        </w:rPr>
        <w:t>第五章  打造更具吸引力的品质城市体系</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widowControl w:val="0"/>
        <w:autoSpaceDE w:val="0"/>
        <w:spacing w:line="600" w:lineRule="exact"/>
        <w:ind w:firstLine="640" w:firstLineChars="200"/>
        <w:jc w:val="both"/>
        <w:rPr>
          <w:rFonts w:ascii="Times New Roman" w:hAnsi="Times New Roman" w:eastAsia="方正仿宋简体" w:cs="Times New Roman"/>
          <w:bCs/>
          <w:sz w:val="32"/>
          <w:szCs w:val="32"/>
        </w:rPr>
      </w:pPr>
      <w:bookmarkStart w:id="482" w:name="_Toc10105"/>
      <w:bookmarkStart w:id="483" w:name="_Toc31763"/>
      <w:bookmarkStart w:id="484" w:name="_Toc23943"/>
      <w:bookmarkStart w:id="485" w:name="_Toc3564"/>
      <w:bookmarkStart w:id="486" w:name="_Toc18809"/>
      <w:bookmarkStart w:id="487" w:name="_Toc24424"/>
      <w:r>
        <w:rPr>
          <w:rFonts w:ascii="Times New Roman" w:hAnsi="Times New Roman" w:eastAsia="方正仿宋简体" w:cs="Times New Roman"/>
          <w:bCs/>
          <w:color w:val="0D0D0D"/>
          <w:sz w:val="32"/>
          <w:szCs w:val="32"/>
        </w:rPr>
        <w:t>融入泉州、对接厦门，加速产城人文融合，构建以中心城区为主城，南翼新城、北部新城为副城的“一核两翼”城市格局，统筹推进</w:t>
      </w:r>
      <w:r>
        <w:rPr>
          <w:rFonts w:hint="eastAsia" w:ascii="Times New Roman" w:hAnsi="Times New Roman" w:eastAsia="方正仿宋简体" w:cs="Times New Roman"/>
          <w:bCs/>
          <w:color w:val="0D0D0D"/>
          <w:sz w:val="32"/>
          <w:szCs w:val="32"/>
          <w:lang w:eastAsia="zh-CN"/>
        </w:rPr>
        <w:t>城市品质</w:t>
      </w:r>
      <w:r>
        <w:rPr>
          <w:rFonts w:ascii="Times New Roman" w:hAnsi="Times New Roman" w:eastAsia="方正仿宋简体" w:cs="Times New Roman"/>
          <w:bCs/>
          <w:color w:val="0D0D0D"/>
          <w:sz w:val="32"/>
          <w:szCs w:val="32"/>
        </w:rPr>
        <w:t>提升与乡村振兴战略，深化“两新一重”基础设施规划建设，</w:t>
      </w:r>
      <w:bookmarkEnd w:id="482"/>
      <w:bookmarkEnd w:id="483"/>
      <w:bookmarkEnd w:id="484"/>
      <w:bookmarkEnd w:id="485"/>
      <w:bookmarkEnd w:id="486"/>
      <w:bookmarkEnd w:id="487"/>
      <w:r>
        <w:rPr>
          <w:rFonts w:ascii="Times New Roman" w:hAnsi="Times New Roman" w:eastAsia="方正仿宋简体" w:cs="Times New Roman"/>
          <w:bCs/>
          <w:color w:val="0D0D0D"/>
          <w:sz w:val="32"/>
          <w:szCs w:val="32"/>
        </w:rPr>
        <w:t>全面增强城市支撑保障和承载能力。</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488" w:name="_Toc24382"/>
      <w:bookmarkStart w:id="489" w:name="_Toc4706"/>
      <w:bookmarkStart w:id="490" w:name="_Toc19289"/>
      <w:bookmarkStart w:id="491" w:name="_Toc26896"/>
      <w:bookmarkStart w:id="492" w:name="_Toc20216"/>
      <w:bookmarkStart w:id="493" w:name="_Toc23765"/>
      <w:bookmarkStart w:id="494" w:name="_Toc8058"/>
      <w:bookmarkStart w:id="495" w:name="_Toc10000"/>
      <w:bookmarkStart w:id="496" w:name="_Toc12030"/>
      <w:bookmarkStart w:id="497" w:name="_Toc5699"/>
      <w:bookmarkStart w:id="498" w:name="_Toc21541"/>
      <w:bookmarkStart w:id="499" w:name="_Toc4136"/>
      <w:bookmarkStart w:id="500" w:name="_Toc10751"/>
      <w:bookmarkStart w:id="501" w:name="_Toc6942"/>
      <w:bookmarkStart w:id="502" w:name="_Toc10338"/>
      <w:bookmarkStart w:id="503" w:name="_Toc1837"/>
      <w:bookmarkStart w:id="504" w:name="_Toc68707653"/>
      <w:bookmarkStart w:id="505" w:name="_Toc3256"/>
      <w:bookmarkStart w:id="506" w:name="_Toc26885"/>
      <w:r>
        <w:rPr>
          <w:rFonts w:ascii="Times New Roman" w:hAnsi="Times New Roman" w:eastAsia="方正黑体简体" w:cs="Times New Roman"/>
          <w:bCs/>
          <w:sz w:val="32"/>
          <w:szCs w:val="32"/>
        </w:rPr>
        <w:t>第一节  加速</w:t>
      </w:r>
      <w:r>
        <w:rPr>
          <w:rFonts w:hint="eastAsia" w:ascii="Times New Roman" w:hAnsi="Times New Roman" w:eastAsia="方正黑体简体" w:cs="Times New Roman"/>
          <w:bCs/>
          <w:sz w:val="32"/>
          <w:szCs w:val="32"/>
          <w:lang w:val="en-US" w:eastAsia="zh-CN"/>
        </w:rPr>
        <w:t>产城</w:t>
      </w:r>
      <w:r>
        <w:rPr>
          <w:rFonts w:ascii="Times New Roman" w:hAnsi="Times New Roman" w:eastAsia="方正黑体简体" w:cs="Times New Roman"/>
          <w:bCs/>
          <w:sz w:val="32"/>
          <w:szCs w:val="32"/>
        </w:rPr>
        <w:t>人文融合，提升城市</w:t>
      </w:r>
      <w:bookmarkEnd w:id="488"/>
      <w:r>
        <w:rPr>
          <w:rFonts w:ascii="Times New Roman" w:hAnsi="Times New Roman" w:eastAsia="方正黑体简体" w:cs="Times New Roman"/>
          <w:bCs/>
          <w:sz w:val="32"/>
          <w:szCs w:val="32"/>
        </w:rPr>
        <w:t>竞争力</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widowControl w:val="0"/>
        <w:autoSpaceDE w:val="0"/>
        <w:spacing w:line="600" w:lineRule="exact"/>
        <w:ind w:firstLine="640" w:firstLineChars="200"/>
        <w:jc w:val="both"/>
        <w:rPr>
          <w:rFonts w:ascii="Times New Roman" w:hAnsi="Times New Roman" w:eastAsia="方正仿宋简体" w:cs="Times New Roman"/>
          <w:bCs/>
          <w:sz w:val="32"/>
          <w:szCs w:val="32"/>
        </w:rPr>
      </w:pPr>
      <w:bookmarkStart w:id="507" w:name="_Toc15266"/>
      <w:bookmarkStart w:id="508" w:name="_Toc9755"/>
      <w:bookmarkStart w:id="509" w:name="_Toc32293"/>
      <w:bookmarkStart w:id="510" w:name="_Toc22992"/>
      <w:bookmarkStart w:id="511" w:name="_Toc14142"/>
      <w:bookmarkStart w:id="512" w:name="_Toc2819"/>
      <w:bookmarkStart w:id="513" w:name="_Toc24079"/>
      <w:r>
        <w:rPr>
          <w:rFonts w:ascii="Times New Roman" w:hAnsi="Times New Roman" w:eastAsia="方正仿宋简体" w:cs="Times New Roman"/>
          <w:bCs/>
          <w:color w:val="0D0D0D"/>
          <w:sz w:val="32"/>
          <w:szCs w:val="32"/>
        </w:rPr>
        <w:t>突出南安中心城区和南翼新城的双核心引领作用，加速北部小城镇集聚发展、融合发展，形成多个次城市中心，构建“中等城市—小城市—特色镇”梯次衔接、功能配套、用地节约的组团式城镇体系，促进</w:t>
      </w:r>
      <w:r>
        <w:rPr>
          <w:rFonts w:hint="eastAsia" w:ascii="Times New Roman" w:hAnsi="Times New Roman" w:eastAsia="方正仿宋简体" w:cs="Times New Roman"/>
          <w:bCs/>
          <w:color w:val="0D0D0D"/>
          <w:sz w:val="32"/>
          <w:szCs w:val="32"/>
          <w:lang w:eastAsia="zh-CN"/>
        </w:rPr>
        <w:t>产城</w:t>
      </w:r>
      <w:r>
        <w:rPr>
          <w:rFonts w:ascii="Times New Roman" w:hAnsi="Times New Roman" w:eastAsia="方正仿宋简体" w:cs="Times New Roman"/>
          <w:bCs/>
          <w:color w:val="0D0D0D"/>
          <w:sz w:val="32"/>
          <w:szCs w:val="32"/>
        </w:rPr>
        <w:t>人文高度融合，提升城市集聚度和辐射力。</w:t>
      </w:r>
      <w:bookmarkEnd w:id="507"/>
      <w:bookmarkEnd w:id="508"/>
      <w:bookmarkEnd w:id="509"/>
      <w:bookmarkEnd w:id="510"/>
      <w:bookmarkEnd w:id="511"/>
      <w:bookmarkEnd w:id="512"/>
    </w:p>
    <w:p>
      <w:pPr>
        <w:widowControl w:val="0"/>
        <w:spacing w:line="600" w:lineRule="exact"/>
        <w:ind w:firstLine="643" w:firstLineChars="200"/>
        <w:jc w:val="both"/>
        <w:rPr>
          <w:rFonts w:ascii="Times New Roman" w:hAnsi="Times New Roman" w:cs="Times New Roman"/>
        </w:rPr>
      </w:pPr>
      <w:r>
        <w:rPr>
          <w:rFonts w:ascii="Times New Roman" w:hAnsi="Times New Roman" w:eastAsia="方正楷体简体" w:cs="Times New Roman"/>
          <w:b/>
          <w:sz w:val="32"/>
          <w:szCs w:val="32"/>
        </w:rPr>
        <w:t>一、加速集聚发展，提高中心城区的首位度</w:t>
      </w:r>
      <w:bookmarkEnd w:id="513"/>
      <w:r>
        <w:rPr>
          <w:rFonts w:ascii="Times New Roman" w:hAnsi="Times New Roman" w:eastAsia="方正楷体简体" w:cs="Times New Roman"/>
          <w:b/>
          <w:sz w:val="32"/>
          <w:szCs w:val="32"/>
        </w:rPr>
        <w:t>。加速中心城区集聚集成。</w:t>
      </w:r>
      <w:r>
        <w:rPr>
          <w:rFonts w:ascii="Times New Roman" w:hAnsi="Times New Roman" w:eastAsia="方正仿宋简体" w:cs="Times New Roman"/>
          <w:bCs/>
          <w:color w:val="0D0D0D"/>
          <w:sz w:val="32"/>
          <w:szCs w:val="32"/>
        </w:rPr>
        <w:t>更好地融入环泉州湾发展格局，坚持“东进、西连、南拓、北延”发展思路，高标准规划建设城市新区，重点发展兴泉铁路南安北站片区、洋美、龙峰片区，城南柳湖、三丰、港仔渡、北山片区，城东双溪口片区和霞美组团，城西改造提升崎峰、贵峰等滨溪区域景观，打造智能家居制造重要基地、“泛家居”展贸集采体验平台、闽西南区域商贸物流中心。</w:t>
      </w:r>
      <w:r>
        <w:rPr>
          <w:rFonts w:ascii="Times New Roman" w:hAnsi="Times New Roman" w:eastAsia="方正仿宋简体" w:cs="Times New Roman"/>
          <w:b/>
          <w:sz w:val="32"/>
          <w:szCs w:val="32"/>
        </w:rPr>
        <w:t>无缝对接泉州市区。</w:t>
      </w:r>
      <w:r>
        <w:rPr>
          <w:rFonts w:hint="eastAsia" w:ascii="Times New Roman" w:hAnsi="Times New Roman" w:eastAsia="方正仿宋简体" w:cs="Times New Roman"/>
          <w:b w:val="0"/>
          <w:bCs/>
          <w:color w:val="0D0D0D"/>
          <w:sz w:val="32"/>
          <w:szCs w:val="32"/>
          <w:lang w:eastAsia="zh-CN"/>
        </w:rPr>
        <w:t>赋能</w:t>
      </w:r>
      <w:r>
        <w:rPr>
          <w:rFonts w:ascii="Times New Roman" w:hAnsi="Times New Roman" w:eastAsia="方正仿宋简体" w:cs="Times New Roman"/>
          <w:bCs/>
          <w:color w:val="0D0D0D"/>
          <w:sz w:val="32"/>
          <w:szCs w:val="32"/>
        </w:rPr>
        <w:t>霞美、丰州城市</w:t>
      </w:r>
      <w:r>
        <w:rPr>
          <w:rFonts w:hint="eastAsia" w:ascii="Times New Roman" w:hAnsi="Times New Roman" w:eastAsia="方正仿宋简体" w:cs="Times New Roman"/>
          <w:bCs/>
          <w:color w:val="0D0D0D"/>
          <w:sz w:val="32"/>
          <w:szCs w:val="32"/>
          <w:lang w:eastAsia="zh-CN"/>
        </w:rPr>
        <w:t>发展</w:t>
      </w:r>
      <w:r>
        <w:rPr>
          <w:rFonts w:ascii="Times New Roman" w:hAnsi="Times New Roman" w:eastAsia="方正仿宋简体" w:cs="Times New Roman"/>
          <w:bCs/>
          <w:color w:val="0D0D0D"/>
          <w:sz w:val="32"/>
          <w:szCs w:val="32"/>
        </w:rPr>
        <w:t>能级，形成</w:t>
      </w:r>
      <w:r>
        <w:rPr>
          <w:rFonts w:hint="eastAsia" w:ascii="Times New Roman" w:hAnsi="Times New Roman" w:eastAsia="方正仿宋简体" w:cs="Times New Roman"/>
          <w:bCs/>
          <w:color w:val="0D0D0D"/>
          <w:sz w:val="32"/>
          <w:szCs w:val="32"/>
          <w:lang w:eastAsia="zh-CN"/>
        </w:rPr>
        <w:t>串联</w:t>
      </w:r>
      <w:r>
        <w:rPr>
          <w:rFonts w:ascii="Times New Roman" w:hAnsi="Times New Roman" w:eastAsia="方正仿宋简体" w:cs="Times New Roman"/>
          <w:bCs/>
          <w:color w:val="0D0D0D"/>
          <w:sz w:val="32"/>
          <w:szCs w:val="32"/>
        </w:rPr>
        <w:t>南安至泉州的高端城市带。融入泉州中心市区北峰—丰州组团，加快西华洋丰州片区规划建设，实施丰州古城复兴计划，借力“泉州：宋元中国的世界海洋商贸中心”申遗</w:t>
      </w:r>
      <w:r>
        <w:rPr>
          <w:rFonts w:hint="eastAsia" w:ascii="Times New Roman" w:hAnsi="Times New Roman" w:eastAsia="方正仿宋简体" w:cs="Times New Roman"/>
          <w:bCs/>
          <w:color w:val="0D0D0D"/>
          <w:sz w:val="32"/>
          <w:szCs w:val="32"/>
          <w:lang w:eastAsia="zh-CN"/>
        </w:rPr>
        <w:t>系列工作</w:t>
      </w:r>
      <w:r>
        <w:rPr>
          <w:rFonts w:ascii="Times New Roman" w:hAnsi="Times New Roman" w:eastAsia="方正仿宋简体" w:cs="Times New Roman"/>
          <w:bCs/>
          <w:color w:val="0D0D0D"/>
          <w:sz w:val="32"/>
          <w:szCs w:val="32"/>
        </w:rPr>
        <w:t>，推进“丰州古城”城市修复，修缮城隍庙、丰州书院，疏浚护城河水系，打造古城核心空间。</w:t>
      </w:r>
      <w:r>
        <w:rPr>
          <w:rFonts w:ascii="Times New Roman" w:hAnsi="Times New Roman" w:eastAsia="方正仿宋简体" w:cs="Times New Roman"/>
          <w:b/>
          <w:sz w:val="32"/>
          <w:szCs w:val="32"/>
        </w:rPr>
        <w:t>强化区域职住功能平衡。</w:t>
      </w:r>
      <w:r>
        <w:rPr>
          <w:rFonts w:ascii="Times New Roman" w:hAnsi="Times New Roman" w:eastAsia="方正仿宋简体" w:cs="Times New Roman"/>
          <w:bCs/>
          <w:color w:val="0D0D0D"/>
          <w:sz w:val="32"/>
          <w:szCs w:val="32"/>
        </w:rPr>
        <w:t>以西溪发展轴为骨架，加速“四心”建设，紧密串联“八组团”（溪美组团、美林组团、柳城组团、扶茂组团、省新组团、城南组团、霞美组团、丰州组团），完善中心城区基础设施。加强老城更新、空间整理，深化历史街区保护与利用，基于城市“双修”理念有序推进城市更新，完善交通组织，梳理街区功能，标准化配套优质公共服务，促进“村改居”和“镇改街”的城市化发展。</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bookmarkStart w:id="514" w:name="_Toc6181"/>
      <w:r>
        <w:rPr>
          <w:rFonts w:ascii="Times New Roman" w:hAnsi="Times New Roman" w:eastAsia="方正楷体简体" w:cs="Times New Roman"/>
          <w:b/>
          <w:sz w:val="32"/>
          <w:szCs w:val="32"/>
        </w:rPr>
        <w:t>二、加速融合发展，提高南翼新城的聚合度</w:t>
      </w:r>
      <w:bookmarkEnd w:id="514"/>
      <w:r>
        <w:rPr>
          <w:rFonts w:ascii="Times New Roman" w:hAnsi="Times New Roman" w:eastAsia="方正楷体简体" w:cs="Times New Roman"/>
          <w:b/>
          <w:sz w:val="32"/>
          <w:szCs w:val="32"/>
        </w:rPr>
        <w:t>。融入环泉州湾、厦门湾战略。</w:t>
      </w:r>
      <w:r>
        <w:rPr>
          <w:rFonts w:hint="default" w:ascii="Times New Roman" w:hAnsi="Times New Roman" w:eastAsia="方正仿宋简体" w:cs="Times New Roman"/>
          <w:b w:val="0"/>
          <w:bCs/>
          <w:color w:val="0D0D0D"/>
          <w:sz w:val="32"/>
          <w:szCs w:val="32"/>
          <w:lang w:eastAsia="zh-CN"/>
        </w:rPr>
        <w:t>推动</w:t>
      </w:r>
      <w:r>
        <w:rPr>
          <w:rFonts w:ascii="Times New Roman" w:hAnsi="Times New Roman" w:eastAsia="方正仿宋简体" w:cs="Times New Roman"/>
          <w:bCs/>
          <w:color w:val="0D0D0D"/>
          <w:sz w:val="32"/>
          <w:szCs w:val="32"/>
        </w:rPr>
        <w:t>厦漳泉同城化试验区规划建设，重点</w:t>
      </w:r>
      <w:r>
        <w:rPr>
          <w:rFonts w:hint="eastAsia" w:ascii="Times New Roman" w:hAnsi="Times New Roman" w:eastAsia="方正仿宋简体" w:cs="Times New Roman"/>
          <w:bCs/>
          <w:color w:val="0D0D0D"/>
          <w:sz w:val="32"/>
          <w:szCs w:val="32"/>
          <w:lang w:eastAsia="zh-CN"/>
        </w:rPr>
        <w:t>推进</w:t>
      </w:r>
      <w:r>
        <w:rPr>
          <w:rFonts w:ascii="Times New Roman" w:hAnsi="Times New Roman" w:eastAsia="方正仿宋简体" w:cs="Times New Roman"/>
          <w:bCs/>
          <w:color w:val="0D0D0D"/>
          <w:sz w:val="32"/>
          <w:szCs w:val="32"/>
        </w:rPr>
        <w:t>区域交通路网、市政配套、公共服务扩容提质和共建共享，发展芯片半导体、生命科学、信息技术、空港临港和文化旅游等产业</w:t>
      </w:r>
      <w:r>
        <w:rPr>
          <w:rFonts w:hint="eastAsia" w:ascii="Times New Roman" w:hAnsi="Times New Roman" w:eastAsia="方正仿宋简体" w:cs="Times New Roman"/>
          <w:bCs/>
          <w:color w:val="0D0D0D"/>
          <w:sz w:val="32"/>
          <w:szCs w:val="32"/>
        </w:rPr>
        <w:t>，</w:t>
      </w:r>
      <w:r>
        <w:rPr>
          <w:rFonts w:ascii="Times New Roman" w:hAnsi="Times New Roman" w:eastAsia="方正仿宋简体" w:cs="Times New Roman"/>
          <w:bCs/>
          <w:color w:val="0D0D0D"/>
          <w:sz w:val="32"/>
          <w:szCs w:val="32"/>
        </w:rPr>
        <w:t>争取福建自贸区泉州新片区落户南翼，泉州综合保税区扩区至南翼。</w:t>
      </w:r>
      <w:r>
        <w:rPr>
          <w:rFonts w:ascii="Times New Roman" w:hAnsi="Times New Roman" w:eastAsia="方正仿宋简体" w:cs="Times New Roman"/>
          <w:b/>
          <w:sz w:val="32"/>
          <w:szCs w:val="32"/>
        </w:rPr>
        <w:t>南翼协同、一体建设。</w:t>
      </w:r>
      <w:r>
        <w:rPr>
          <w:rFonts w:ascii="Times New Roman" w:hAnsi="Times New Roman" w:eastAsia="方正仿宋简体" w:cs="Times New Roman"/>
          <w:bCs/>
          <w:color w:val="0D0D0D"/>
          <w:sz w:val="32"/>
          <w:szCs w:val="32"/>
        </w:rPr>
        <w:t>实施“南翼优先”战略，抢滩围头湾</w:t>
      </w:r>
      <w:r>
        <w:rPr>
          <w:rFonts w:hint="eastAsia" w:ascii="Times New Roman" w:hAnsi="Times New Roman" w:eastAsia="方正仿宋简体" w:cs="Times New Roman"/>
          <w:bCs/>
          <w:color w:val="0D0D0D"/>
          <w:sz w:val="32"/>
          <w:szCs w:val="32"/>
          <w:lang w:eastAsia="zh-CN"/>
        </w:rPr>
        <w:t>重大发展机遇</w:t>
      </w:r>
      <w:r>
        <w:rPr>
          <w:rFonts w:ascii="Times New Roman" w:hAnsi="Times New Roman" w:eastAsia="方正仿宋简体" w:cs="Times New Roman"/>
          <w:bCs/>
          <w:color w:val="0D0D0D"/>
          <w:sz w:val="32"/>
          <w:szCs w:val="32"/>
        </w:rPr>
        <w:t>，以海联片区为城市综合服务中心，以“</w:t>
      </w:r>
      <w:r>
        <w:rPr>
          <w:rFonts w:hint="eastAsia" w:ascii="Times New Roman" w:hAnsi="Times New Roman" w:eastAsia="方正仿宋简体" w:cs="Times New Roman"/>
          <w:bCs/>
          <w:color w:val="0D0D0D"/>
          <w:sz w:val="32"/>
          <w:szCs w:val="32"/>
        </w:rPr>
        <w:t>泉州</w:t>
      </w:r>
      <w:r>
        <w:rPr>
          <w:rFonts w:ascii="Times New Roman" w:hAnsi="Times New Roman" w:eastAsia="方正仿宋简体" w:cs="Times New Roman"/>
          <w:bCs/>
          <w:color w:val="0D0D0D"/>
          <w:sz w:val="32"/>
          <w:szCs w:val="32"/>
        </w:rPr>
        <w:t>芯谷”南安</w:t>
      </w:r>
      <w:r>
        <w:rPr>
          <w:rFonts w:hint="eastAsia" w:ascii="Times New Roman" w:hAnsi="Times New Roman" w:eastAsia="方正仿宋简体" w:cs="Times New Roman"/>
          <w:bCs/>
          <w:color w:val="0D0D0D"/>
          <w:sz w:val="32"/>
          <w:szCs w:val="32"/>
        </w:rPr>
        <w:t>分</w:t>
      </w:r>
      <w:r>
        <w:rPr>
          <w:rFonts w:ascii="Times New Roman" w:hAnsi="Times New Roman" w:eastAsia="方正仿宋简体" w:cs="Times New Roman"/>
          <w:bCs/>
          <w:color w:val="0D0D0D"/>
          <w:sz w:val="32"/>
          <w:szCs w:val="32"/>
        </w:rPr>
        <w:t>园区为空港临港经济中心，推动官桥、水头、石井三镇资源整合、优势互补、一体建设，打造现代滨海城市。</w:t>
      </w:r>
      <w:r>
        <w:rPr>
          <w:rFonts w:ascii="Times New Roman" w:hAnsi="Times New Roman" w:eastAsia="方正仿宋简体" w:cs="Times New Roman"/>
          <w:b/>
          <w:sz w:val="32"/>
          <w:szCs w:val="32"/>
        </w:rPr>
        <w:t>以产兴城、以城聚人、产城人融合。</w:t>
      </w:r>
      <w:r>
        <w:rPr>
          <w:rFonts w:ascii="Times New Roman" w:hAnsi="Times New Roman" w:eastAsia="方正仿宋简体" w:cs="Times New Roman"/>
          <w:bCs/>
          <w:color w:val="0D0D0D"/>
          <w:sz w:val="32"/>
          <w:szCs w:val="32"/>
        </w:rPr>
        <w:t>统筹沿海三镇空间布局，优化调整产业结构。石井片区重点以</w:t>
      </w:r>
      <w:r>
        <w:rPr>
          <w:rFonts w:hint="eastAsia" w:ascii="Times New Roman" w:hAnsi="Times New Roman" w:eastAsia="方正仿宋简体" w:cs="Times New Roman"/>
          <w:bCs/>
          <w:color w:val="0D0D0D"/>
          <w:sz w:val="32"/>
          <w:szCs w:val="32"/>
        </w:rPr>
        <w:t>“</w:t>
      </w:r>
      <w:r>
        <w:rPr>
          <w:rFonts w:ascii="Times New Roman" w:hAnsi="Times New Roman" w:eastAsia="方正仿宋简体" w:cs="Times New Roman"/>
          <w:bCs/>
          <w:color w:val="0D0D0D"/>
          <w:sz w:val="32"/>
          <w:szCs w:val="32"/>
        </w:rPr>
        <w:t>泉州芯谷</w:t>
      </w:r>
      <w:r>
        <w:rPr>
          <w:rFonts w:hint="eastAsia" w:ascii="Times New Roman" w:hAnsi="Times New Roman" w:eastAsia="方正仿宋简体" w:cs="Times New Roman"/>
          <w:bCs/>
          <w:color w:val="0D0D0D"/>
          <w:sz w:val="32"/>
          <w:szCs w:val="32"/>
        </w:rPr>
        <w:t>”</w:t>
      </w:r>
      <w:r>
        <w:rPr>
          <w:rFonts w:ascii="Times New Roman" w:hAnsi="Times New Roman" w:eastAsia="方正仿宋简体" w:cs="Times New Roman"/>
          <w:bCs/>
          <w:color w:val="0D0D0D"/>
          <w:sz w:val="32"/>
          <w:szCs w:val="32"/>
        </w:rPr>
        <w:t>南安分园区为核心建设临空</w:t>
      </w:r>
      <w:r>
        <w:rPr>
          <w:rFonts w:hint="eastAsia" w:ascii="Times New Roman" w:hAnsi="Times New Roman" w:eastAsia="方正仿宋简体" w:cs="Times New Roman"/>
          <w:bCs/>
          <w:color w:val="0D0D0D"/>
          <w:sz w:val="32"/>
          <w:szCs w:val="32"/>
          <w:lang w:eastAsia="zh-CN"/>
        </w:rPr>
        <w:t>临港</w:t>
      </w:r>
      <w:r>
        <w:rPr>
          <w:rFonts w:ascii="Times New Roman" w:hAnsi="Times New Roman" w:eastAsia="方正仿宋简体" w:cs="Times New Roman"/>
          <w:bCs/>
          <w:color w:val="0D0D0D"/>
          <w:sz w:val="32"/>
          <w:szCs w:val="32"/>
        </w:rPr>
        <w:t>经济区和集成电路、生物医药等战略性新兴产业高地，打造科学城、未来港和高端产城区。水头片区重点建设南翼新城核心区，加快水头高速出口片区更新和门户形象改造，全产</w:t>
      </w:r>
      <w:r>
        <w:rPr>
          <w:rFonts w:hint="eastAsia" w:ascii="Times New Roman" w:hAnsi="Times New Roman" w:eastAsia="方正仿宋简体" w:cs="Times New Roman"/>
          <w:bCs/>
          <w:color w:val="0D0D0D"/>
          <w:sz w:val="32"/>
          <w:szCs w:val="32"/>
          <w:lang w:eastAsia="zh-CN"/>
        </w:rPr>
        <w:t>业</w:t>
      </w:r>
      <w:r>
        <w:rPr>
          <w:rFonts w:ascii="Times New Roman" w:hAnsi="Times New Roman" w:eastAsia="方正仿宋简体" w:cs="Times New Roman"/>
          <w:bCs/>
          <w:color w:val="0D0D0D"/>
          <w:sz w:val="32"/>
          <w:szCs w:val="32"/>
        </w:rPr>
        <w:t>链提升石材产业能级</w:t>
      </w:r>
      <w:r>
        <w:rPr>
          <w:rFonts w:hint="eastAsia" w:ascii="Times New Roman" w:hAnsi="Times New Roman" w:eastAsia="方正仿宋简体" w:cs="Times New Roman"/>
          <w:bCs/>
          <w:color w:val="0D0D0D"/>
          <w:sz w:val="32"/>
          <w:szCs w:val="32"/>
        </w:rPr>
        <w:t>，打造全球石展示体验中心</w:t>
      </w:r>
      <w:r>
        <w:rPr>
          <w:rFonts w:ascii="Times New Roman" w:hAnsi="Times New Roman" w:eastAsia="方正仿宋简体" w:cs="Times New Roman"/>
          <w:bCs/>
          <w:color w:val="0D0D0D"/>
          <w:sz w:val="32"/>
          <w:szCs w:val="32"/>
        </w:rPr>
        <w:t>。官桥片区重点做优陶瓷石材生产基地，打造全国重要粮油集散中心、全省快递物流中心和现代建材示范基地。</w:t>
      </w:r>
      <w:r>
        <w:rPr>
          <w:rFonts w:ascii="Times New Roman" w:hAnsi="Times New Roman" w:eastAsia="方正仿宋简体" w:cs="Times New Roman"/>
          <w:b/>
          <w:sz w:val="32"/>
          <w:szCs w:val="32"/>
        </w:rPr>
        <w:t>强镇扩权、补齐短板。</w:t>
      </w:r>
      <w:r>
        <w:rPr>
          <w:rFonts w:ascii="Times New Roman" w:hAnsi="Times New Roman" w:eastAsia="方正仿宋简体" w:cs="Times New Roman"/>
          <w:bCs/>
          <w:color w:val="0D0D0D"/>
          <w:sz w:val="32"/>
          <w:szCs w:val="32"/>
        </w:rPr>
        <w:t>统筹推进水头镇、石井镇省级经济发达镇行政管理体制改革，落实省上确定下放的77项县级经济社会管理权限，理顺市镇关系。完善三镇城市功能配套，优化医疗、教育等配套环境。</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三、加速北部振兴，提高北部新城的协同度。</w:t>
      </w:r>
      <w:r>
        <w:rPr>
          <w:rFonts w:ascii="Times New Roman" w:hAnsi="Times New Roman" w:eastAsia="方正仿宋简体" w:cs="Times New Roman"/>
          <w:bCs/>
          <w:color w:val="0D0D0D"/>
          <w:sz w:val="32"/>
          <w:szCs w:val="32"/>
        </w:rPr>
        <w:t>实施北部崛起战略，以梅山、罗东、洪濑等小城镇试点建设为依托，发展北部文化、教育、产业、生活新中心，打造著名侨乡、新兴城市片区、厦漳泉都市区健康休闲后花园。推进康美—雪峰—洪濑、梅山—罗东—</w:t>
      </w:r>
      <w:r>
        <w:rPr>
          <w:rFonts w:hint="eastAsia" w:ascii="Times New Roman" w:hAnsi="Times New Roman" w:eastAsia="方正仿宋简体" w:cs="Times New Roman"/>
          <w:bCs/>
          <w:color w:val="0D0D0D"/>
          <w:sz w:val="32"/>
          <w:szCs w:val="32"/>
        </w:rPr>
        <w:t>九都</w:t>
      </w:r>
      <w:r>
        <w:rPr>
          <w:rFonts w:ascii="Times New Roman" w:hAnsi="Times New Roman" w:eastAsia="方正仿宋简体" w:cs="Times New Roman"/>
          <w:bCs/>
          <w:color w:val="0D0D0D"/>
          <w:sz w:val="32"/>
          <w:szCs w:val="32"/>
        </w:rPr>
        <w:t>、诗山—金淘—码头三个城镇组团的特色化发展，构筑三个服务中心。康雪洪组团建设为科技教育、商贸物流、文化体育、休闲旅游等现代公共服务中心；梅罗</w:t>
      </w:r>
      <w:r>
        <w:rPr>
          <w:rFonts w:hint="eastAsia" w:ascii="Times New Roman" w:hAnsi="Times New Roman" w:eastAsia="方正仿宋简体" w:cs="Times New Roman"/>
          <w:bCs/>
          <w:color w:val="0D0D0D"/>
          <w:sz w:val="32"/>
          <w:szCs w:val="32"/>
        </w:rPr>
        <w:t>九</w:t>
      </w:r>
      <w:r>
        <w:rPr>
          <w:rFonts w:ascii="Times New Roman" w:hAnsi="Times New Roman" w:eastAsia="方正仿宋简体" w:cs="Times New Roman"/>
          <w:bCs/>
          <w:color w:val="0D0D0D"/>
          <w:sz w:val="32"/>
          <w:szCs w:val="32"/>
        </w:rPr>
        <w:t>组团建设为科教文卫全面发展的综合服务中心，建设美丽侨乡；诗淘码组团建设南安西北部的区域性旅游服务中心。在梅山、洪濑之间预留北部行政服务中心，引导梅罗</w:t>
      </w:r>
      <w:r>
        <w:rPr>
          <w:rFonts w:hint="eastAsia" w:ascii="Times New Roman" w:hAnsi="Times New Roman" w:eastAsia="方正仿宋简体" w:cs="Times New Roman"/>
          <w:bCs/>
          <w:color w:val="0D0D0D"/>
          <w:sz w:val="32"/>
          <w:szCs w:val="32"/>
        </w:rPr>
        <w:t>九</w:t>
      </w:r>
      <w:r>
        <w:rPr>
          <w:rFonts w:ascii="Times New Roman" w:hAnsi="Times New Roman" w:eastAsia="方正仿宋简体" w:cs="Times New Roman"/>
          <w:bCs/>
          <w:color w:val="0D0D0D"/>
          <w:sz w:val="32"/>
          <w:szCs w:val="32"/>
        </w:rPr>
        <w:t>组团与康雪洪组团联合发展小城市，规划北部远景形成一城多镇的城乡空间格局。引导城镇组团联合发展，城镇建设向三大城镇组团集中，集中配套公共服务设施，吸引农民进城务工和返乡人员“镇区购房”；生态优先，加强重点生态敏感区保护，实现人与自然和谐发展；按照“一产三产化”的思路推动都市农业的发展，形成生态、旅游、农业生产复合的功能区，发展制伞、鞋服为主的无污染型轻工业；实行“增减挂钩”与土地流转政策，推动农村建设用地整理与土地规模化经营。发挥高速出口乡镇作用，培育产业动力；发挥城镇生态文化特色，落实两溪一湾行动，引导特色化发展，形成一镇一品牌的发展方向。</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515" w:name="_Toc2172"/>
      <w:bookmarkStart w:id="516" w:name="_Toc9855"/>
      <w:bookmarkStart w:id="517" w:name="_Toc13110"/>
      <w:bookmarkStart w:id="518" w:name="_Toc30736"/>
      <w:bookmarkStart w:id="519" w:name="_Toc10318"/>
      <w:bookmarkStart w:id="520" w:name="_Toc29608"/>
      <w:bookmarkStart w:id="521" w:name="_Toc17242"/>
      <w:bookmarkStart w:id="522" w:name="_Toc4933"/>
      <w:bookmarkStart w:id="523" w:name="_Toc68707654"/>
      <w:bookmarkStart w:id="524" w:name="_Toc11881"/>
      <w:bookmarkStart w:id="525" w:name="_Toc42"/>
      <w:bookmarkStart w:id="526" w:name="_Toc29678"/>
      <w:bookmarkStart w:id="527" w:name="_Toc27074"/>
      <w:bookmarkStart w:id="528" w:name="_Toc8173"/>
      <w:bookmarkStart w:id="529" w:name="_Toc3170"/>
      <w:bookmarkStart w:id="530" w:name="_Toc3631"/>
      <w:bookmarkStart w:id="531" w:name="_Toc22925"/>
      <w:bookmarkStart w:id="532" w:name="_Toc30541"/>
      <w:bookmarkStart w:id="533" w:name="_Toc4865"/>
      <w:r>
        <w:rPr>
          <w:rFonts w:ascii="Times New Roman" w:hAnsi="Times New Roman" w:eastAsia="方正黑体简体" w:cs="Times New Roman"/>
          <w:bCs/>
          <w:sz w:val="32"/>
          <w:szCs w:val="32"/>
        </w:rPr>
        <w:t>第二节  加速品质社区建设，提升未来生活空间</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坚持需求导向，统筹集成、统筹推进城乡社区建设和治理，改善城乡社区生产生活条件，打造新型城市功能单元。</w:t>
      </w:r>
    </w:p>
    <w:p>
      <w:pPr>
        <w:widowControl w:val="0"/>
        <w:autoSpaceDE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一、完善社区生活圈配套。</w:t>
      </w:r>
      <w:r>
        <w:rPr>
          <w:rFonts w:ascii="Times New Roman" w:hAnsi="Times New Roman" w:eastAsia="方正仿宋简体" w:cs="Times New Roman"/>
          <w:bCs/>
          <w:color w:val="0D0D0D"/>
          <w:sz w:val="32"/>
          <w:szCs w:val="32"/>
        </w:rPr>
        <w:t>引入“完整社区”理念，结合棚户区和老旧小区改造，优化配置党群服务、基础教育、医疗卫生、福利养老、公共文化、体育健身、市政公用、便民商业、公共空间等公共服务资源，加快推进城镇区域老旧农贸市场环境设施智慧化升级改造，形成复合型生活社区。</w:t>
      </w:r>
    </w:p>
    <w:p>
      <w:pPr>
        <w:widowControl w:val="0"/>
        <w:autoSpaceDE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二、转型数字化融合社区。</w:t>
      </w:r>
      <w:r>
        <w:rPr>
          <w:rFonts w:ascii="Times New Roman" w:hAnsi="Times New Roman" w:eastAsia="方正仿宋简体" w:cs="Times New Roman"/>
          <w:bCs/>
          <w:color w:val="0D0D0D"/>
          <w:sz w:val="32"/>
          <w:szCs w:val="32"/>
        </w:rPr>
        <w:t>针对新冠肺炎疫情发生后暴露出来的数字化短板，结合5G基站布点建设，开展“未来社区”建设试点，建立社区数字化信息平台，以未来邻里、教育、健康、创业、建筑、交通、能源、物业和治理等九大场景为要点，推动邻里开放共享、托育设施全覆盖、智慧养老服务、健康管理O2O等理念，实现社区智慧化、健康化改造。</w:t>
      </w:r>
    </w:p>
    <w:p>
      <w:pPr>
        <w:widowControl w:val="0"/>
        <w:autoSpaceDE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三、共建共治共享社区。</w:t>
      </w:r>
      <w:r>
        <w:rPr>
          <w:rFonts w:ascii="Times New Roman" w:hAnsi="Times New Roman" w:eastAsia="方正仿宋简体" w:cs="Times New Roman"/>
          <w:bCs/>
          <w:color w:val="0D0D0D"/>
          <w:sz w:val="32"/>
          <w:szCs w:val="32"/>
        </w:rPr>
        <w:t>以人民为中心，优化社区基层公共服务体系，健全社区治理链条，构建多方共治格局，推动社区、社会组织、辖区单位共建共治共享，通过市场化运作引入各类企业和社会组织以营利、志愿服务等模式参与社区治理，实现社区共建共治共享。探索设立社区基金会，发挥社区教育、社区组织、社区服务、公益资助、倡导社区成员参与社会治理功能。</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534" w:name="_Toc26383"/>
      <w:bookmarkStart w:id="535" w:name="_Toc28669"/>
      <w:bookmarkStart w:id="536" w:name="_Toc20382"/>
      <w:bookmarkStart w:id="537" w:name="_Toc27658"/>
      <w:bookmarkStart w:id="538" w:name="_Toc15320"/>
      <w:bookmarkStart w:id="539" w:name="_Toc3095"/>
      <w:bookmarkStart w:id="540" w:name="_Toc3905"/>
      <w:bookmarkStart w:id="541" w:name="_Toc18451"/>
      <w:bookmarkStart w:id="542" w:name="_Toc20195"/>
      <w:bookmarkStart w:id="543" w:name="_Toc31951"/>
      <w:bookmarkStart w:id="544" w:name="_Toc11350"/>
      <w:bookmarkStart w:id="545" w:name="_Toc7357"/>
      <w:bookmarkStart w:id="546" w:name="_Toc26323"/>
      <w:bookmarkStart w:id="547" w:name="_Toc17401"/>
      <w:bookmarkStart w:id="548" w:name="_Toc1322"/>
      <w:bookmarkStart w:id="549" w:name="_Toc68707655"/>
      <w:bookmarkStart w:id="550" w:name="_Toc17614"/>
      <w:bookmarkStart w:id="551" w:name="_Toc1922"/>
      <w:r>
        <w:rPr>
          <w:rFonts w:ascii="Times New Roman" w:hAnsi="Times New Roman" w:eastAsia="方正黑体简体" w:cs="Times New Roman"/>
          <w:bCs/>
          <w:sz w:val="32"/>
          <w:szCs w:val="32"/>
        </w:rPr>
        <w:t>第三节  实施乡村振兴战略，</w:t>
      </w:r>
      <w:bookmarkEnd w:id="534"/>
      <w:r>
        <w:rPr>
          <w:rFonts w:ascii="Times New Roman" w:hAnsi="Times New Roman" w:eastAsia="方正黑体简体" w:cs="Times New Roman"/>
          <w:bCs/>
          <w:sz w:val="32"/>
          <w:szCs w:val="32"/>
        </w:rPr>
        <w:t>描绘繁荣复兴新三农</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widowControl w:val="0"/>
        <w:autoSpaceDE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建立健全城乡融合发展体制机制和政策体系，</w:t>
      </w:r>
      <w:r>
        <w:rPr>
          <w:rFonts w:hint="eastAsia" w:ascii="Times New Roman" w:hAnsi="Times New Roman" w:eastAsia="方正仿宋简体" w:cs="Times New Roman"/>
          <w:bCs/>
          <w:color w:val="0D0D0D"/>
          <w:sz w:val="32"/>
          <w:szCs w:val="32"/>
          <w:lang w:val="en-US" w:eastAsia="zh-CN"/>
        </w:rPr>
        <w:t>实现巩固拓展脱贫攻坚成果同乡村振兴有效衔接，坚持乡村振兴战略与新型城镇化互促共生、双轮驱动，</w:t>
      </w:r>
      <w:r>
        <w:rPr>
          <w:rFonts w:ascii="Times New Roman" w:hAnsi="Times New Roman" w:eastAsia="方正仿宋简体" w:cs="Times New Roman"/>
          <w:bCs/>
          <w:color w:val="0D0D0D"/>
          <w:sz w:val="32"/>
          <w:szCs w:val="32"/>
        </w:rPr>
        <w:t>统筹推进农村经济、政治、文化、社会、生态文明和党的建设，</w:t>
      </w:r>
      <w:r>
        <w:rPr>
          <w:rFonts w:hint="eastAsia" w:ascii="Times New Roman" w:hAnsi="Times New Roman" w:eastAsia="方正仿宋简体" w:cs="Times New Roman"/>
          <w:bCs/>
          <w:color w:val="0D0D0D"/>
          <w:sz w:val="32"/>
          <w:szCs w:val="32"/>
          <w:lang w:val="en-US" w:eastAsia="zh-CN"/>
        </w:rPr>
        <w:t>畅通城乡循环，</w:t>
      </w:r>
      <w:r>
        <w:rPr>
          <w:rFonts w:ascii="Times New Roman" w:hAnsi="Times New Roman" w:eastAsia="方正仿宋简体" w:cs="Times New Roman"/>
          <w:bCs/>
          <w:color w:val="0D0D0D"/>
          <w:sz w:val="32"/>
          <w:szCs w:val="32"/>
        </w:rPr>
        <w:t>科学推动乡村产业振兴、人才振兴、文化振兴、生态振兴、组织振兴、民生振兴</w:t>
      </w:r>
      <w:r>
        <w:rPr>
          <w:rFonts w:hint="eastAsia" w:ascii="Times New Roman" w:hAnsi="Times New Roman" w:eastAsia="方正仿宋简体" w:cs="Times New Roman"/>
          <w:bCs/>
          <w:color w:val="0D0D0D"/>
          <w:sz w:val="32"/>
          <w:szCs w:val="32"/>
          <w:lang w:eastAsia="zh-CN"/>
        </w:rPr>
        <w:t>，</w:t>
      </w:r>
      <w:r>
        <w:rPr>
          <w:rFonts w:ascii="Times New Roman" w:hAnsi="Times New Roman" w:eastAsia="方正仿宋简体" w:cs="Times New Roman"/>
          <w:bCs/>
          <w:color w:val="0D0D0D"/>
          <w:sz w:val="32"/>
          <w:szCs w:val="32"/>
        </w:rPr>
        <w:t>加快推进乡村治理体系和治理能力现代化。</w:t>
      </w:r>
    </w:p>
    <w:p>
      <w:pPr>
        <w:widowControl w:val="0"/>
        <w:autoSpaceDE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w:t>
      </w:r>
      <w:r>
        <w:rPr>
          <w:rFonts w:hint="eastAsia" w:ascii="Times New Roman" w:hAnsi="Times New Roman" w:eastAsia="方正楷体简体" w:cs="Times New Roman"/>
          <w:b/>
          <w:sz w:val="32"/>
          <w:szCs w:val="32"/>
          <w:lang w:val="en-US" w:eastAsia="zh-CN"/>
        </w:rPr>
        <w:t>实现巩固拓展脱贫攻坚成果同乡村振兴有效衔接</w:t>
      </w:r>
      <w:r>
        <w:rPr>
          <w:rFonts w:ascii="Times New Roman" w:hAnsi="Times New Roman" w:eastAsia="方正楷体简体" w:cs="Times New Roman"/>
          <w:b/>
          <w:sz w:val="32"/>
          <w:szCs w:val="32"/>
        </w:rPr>
        <w:t>。</w:t>
      </w:r>
      <w:r>
        <w:rPr>
          <w:rFonts w:hint="default" w:ascii="Times New Roman" w:hAnsi="Times New Roman" w:eastAsia="方正仿宋简体" w:cs="Times New Roman"/>
          <w:b w:val="0"/>
          <w:bCs/>
          <w:color w:val="0D0D0D"/>
          <w:sz w:val="32"/>
          <w:szCs w:val="32"/>
          <w:lang w:val="en-US" w:eastAsia="zh-CN"/>
        </w:rPr>
        <w:t>践行“弱鸟先飞”理念，发扬“滴水穿石”精神，</w:t>
      </w:r>
      <w:r>
        <w:rPr>
          <w:rFonts w:hint="eastAsia" w:ascii="Times New Roman" w:hAnsi="Times New Roman" w:eastAsia="方正仿宋简体" w:cs="Times New Roman"/>
          <w:b w:val="0"/>
          <w:bCs/>
          <w:color w:val="0D0D0D"/>
          <w:sz w:val="32"/>
          <w:szCs w:val="32"/>
          <w:lang w:val="en-US" w:eastAsia="zh-CN"/>
        </w:rPr>
        <w:t>落实“四个不摘”要求，抓好产业、人才、组织、规划、政策“五个衔接”。健全完善防返贫稳脱贫控新贫预警监测和帮扶机制，对易返贫致贫人口实施常态化监测，重点监测收入水平变化和“两不愁三保障”巩固情况，坚决守住脱贫攻坚成果。弘扬闽宁对口扶贫协作援宁群体“时代楷模”精神，高质量推进扶贫协作、对口支援。接续推进欠发达地区乡村全面振兴，鼓励各种社会力量参与。</w:t>
      </w:r>
    </w:p>
    <w:p>
      <w:pPr>
        <w:widowControl w:val="0"/>
        <w:autoSpaceDE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二、构建城乡产业新体系。</w:t>
      </w:r>
      <w:r>
        <w:rPr>
          <w:rFonts w:ascii="Times New Roman" w:hAnsi="Times New Roman" w:eastAsia="方正仿宋简体" w:cs="Times New Roman"/>
          <w:bCs/>
          <w:color w:val="0D0D0D"/>
          <w:sz w:val="32"/>
          <w:szCs w:val="32"/>
        </w:rPr>
        <w:t>深化农业供给侧结构性改革，实施“藏粮于地、藏粮于技”战略，稳定粮食产量。实施优势特色农业提质增效行动计划，优化产业布局，强化数字农业、智慧农业科技支撑，提升发展现代农业产业园区，发展特色农业示范区和优势工业集聚区。实施“优一强二连三”工程，提升农产品加工业，优化发展休闲农业和乡村旅游，大力发展农村电子商务、冷链物流等农村新型服务业态，提升特色农业生产价值。壮大农业产业化龙头企业队伍，加快培育农民合作社、家庭农场等新型农业经营主体，健全农业专业化社会化服务体系，培育农业产业化联合体，发展多类型融合业态。</w:t>
      </w:r>
    </w:p>
    <w:p>
      <w:pPr>
        <w:widowControl w:val="0"/>
        <w:autoSpaceDE w:val="0"/>
        <w:spacing w:line="600" w:lineRule="exact"/>
        <w:ind w:firstLine="643" w:firstLineChars="200"/>
        <w:jc w:val="both"/>
        <w:rPr>
          <w:rFonts w:hint="default" w:ascii="Times New Roman" w:hAnsi="Times New Roman" w:eastAsia="方正仿宋简体" w:cs="Times New Roman"/>
          <w:bCs/>
          <w:color w:val="0D0D0D"/>
          <w:sz w:val="32"/>
          <w:szCs w:val="32"/>
          <w:lang w:val="en-US" w:eastAsia="zh-CN"/>
        </w:rPr>
      </w:pPr>
      <w:r>
        <w:rPr>
          <w:rFonts w:ascii="Times New Roman" w:hAnsi="Times New Roman" w:eastAsia="方正楷体简体" w:cs="Times New Roman"/>
          <w:b/>
          <w:sz w:val="32"/>
          <w:szCs w:val="32"/>
        </w:rPr>
        <w:t>三、</w:t>
      </w:r>
      <w:r>
        <w:rPr>
          <w:rFonts w:hint="eastAsia" w:ascii="Times New Roman" w:hAnsi="Times New Roman" w:eastAsia="方正楷体简体" w:cs="Times New Roman"/>
          <w:b/>
          <w:sz w:val="32"/>
          <w:szCs w:val="32"/>
          <w:lang w:val="en-US" w:eastAsia="zh-CN"/>
        </w:rPr>
        <w:t>实施乡村建设行动。</w:t>
      </w:r>
      <w:r>
        <w:rPr>
          <w:rFonts w:hint="default" w:ascii="Times New Roman" w:hAnsi="Times New Roman" w:eastAsia="方正仿宋简体" w:cs="Times New Roman"/>
          <w:b w:val="0"/>
          <w:bCs/>
          <w:color w:val="0D0D0D"/>
          <w:sz w:val="32"/>
          <w:szCs w:val="32"/>
          <w:lang w:val="en-US" w:eastAsia="zh-CN"/>
        </w:rPr>
        <w:t>继续把公共基础设施建设的重点放在农村，在推进城乡基本公共服务均等化上持续发力</w:t>
      </w:r>
      <w:r>
        <w:rPr>
          <w:rFonts w:ascii="Times New Roman" w:hAnsi="Times New Roman" w:eastAsia="方正仿宋简体" w:cs="Times New Roman"/>
          <w:b w:val="0"/>
          <w:bCs/>
          <w:color w:val="0D0D0D"/>
          <w:sz w:val="32"/>
          <w:szCs w:val="32"/>
        </w:rPr>
        <w:t>。</w:t>
      </w:r>
      <w:r>
        <w:rPr>
          <w:rFonts w:ascii="Times New Roman" w:hAnsi="Times New Roman" w:eastAsia="方正仿宋简体" w:cs="Times New Roman"/>
          <w:bCs/>
          <w:color w:val="0D0D0D"/>
          <w:sz w:val="32"/>
          <w:szCs w:val="32"/>
        </w:rPr>
        <w:t>完善乡村振兴试点工作方案和考评工作方案，强化乡村振兴村庄建设规范指引，推进各级乡村振兴试点村建设与拓展，打造一批国家级省级市级乡村振兴试点村，规划建设梅山、蓬华、九都三条乡村振兴示范线路，以点带面推进乡村振兴示范建设。持续实施农村人居环境整治提升</w:t>
      </w:r>
      <w:r>
        <w:rPr>
          <w:rFonts w:hint="eastAsia" w:ascii="Times New Roman" w:hAnsi="Times New Roman" w:eastAsia="方正仿宋简体" w:cs="Times New Roman"/>
          <w:bCs/>
          <w:color w:val="0D0D0D"/>
          <w:sz w:val="32"/>
          <w:szCs w:val="32"/>
          <w:lang w:eastAsia="zh-CN"/>
        </w:rPr>
        <w:t>五</w:t>
      </w:r>
      <w:r>
        <w:rPr>
          <w:rFonts w:ascii="Times New Roman" w:hAnsi="Times New Roman" w:eastAsia="方正仿宋简体" w:cs="Times New Roman"/>
          <w:bCs/>
          <w:color w:val="0D0D0D"/>
          <w:sz w:val="32"/>
          <w:szCs w:val="32"/>
        </w:rPr>
        <w:t>年行动，深入推进“千村整治、百村示范”工程</w:t>
      </w:r>
      <w:r>
        <w:rPr>
          <w:rFonts w:hint="eastAsia" w:ascii="Times New Roman" w:hAnsi="Times New Roman" w:eastAsia="方正仿宋简体" w:cs="Times New Roman"/>
          <w:bCs/>
          <w:color w:val="0D0D0D"/>
          <w:sz w:val="32"/>
          <w:szCs w:val="32"/>
          <w:lang w:val="en-US" w:eastAsia="zh-CN"/>
        </w:rPr>
        <w:t>和“一革命五行动”</w:t>
      </w:r>
      <w:r>
        <w:rPr>
          <w:rFonts w:ascii="Times New Roman" w:hAnsi="Times New Roman" w:eastAsia="方正仿宋简体" w:cs="Times New Roman"/>
          <w:bCs/>
          <w:color w:val="0D0D0D"/>
          <w:sz w:val="32"/>
          <w:szCs w:val="32"/>
        </w:rPr>
        <w:t>，全面改善农村人居环境，推动乡村生态振兴，以乡村绿色发展、环境秀丽为主攻方向，创建绿色生态发展工程，重点开发绿色健康产业，推动农业绿色持续发展，</w:t>
      </w:r>
      <w:r>
        <w:rPr>
          <w:rFonts w:hint="eastAsia" w:ascii="Times New Roman" w:hAnsi="Times New Roman" w:eastAsia="方正仿宋简体" w:cs="Times New Roman"/>
          <w:bCs/>
          <w:color w:val="0D0D0D"/>
          <w:sz w:val="32"/>
          <w:szCs w:val="32"/>
          <w:lang w:val="en-US" w:eastAsia="zh-CN"/>
        </w:rPr>
        <w:t>梯次建设“绿盈乡村”，</w:t>
      </w:r>
      <w:r>
        <w:rPr>
          <w:rFonts w:ascii="Times New Roman" w:hAnsi="Times New Roman" w:eastAsia="方正仿宋简体" w:cs="Times New Roman"/>
          <w:bCs/>
          <w:color w:val="0D0D0D"/>
          <w:sz w:val="32"/>
          <w:szCs w:val="32"/>
        </w:rPr>
        <w:t>全力打造美丽宜居村庄，加大生态保护与修复力度，统筹山水林田湖</w:t>
      </w:r>
      <w:r>
        <w:rPr>
          <w:rFonts w:hint="eastAsia" w:ascii="Times New Roman" w:hAnsi="Times New Roman" w:eastAsia="方正仿宋简体" w:cs="Times New Roman"/>
          <w:bCs/>
          <w:color w:val="0D0D0D"/>
          <w:sz w:val="32"/>
          <w:szCs w:val="32"/>
        </w:rPr>
        <w:t>海</w:t>
      </w:r>
      <w:r>
        <w:rPr>
          <w:rFonts w:ascii="Times New Roman" w:hAnsi="Times New Roman" w:eastAsia="方正仿宋简体" w:cs="Times New Roman"/>
          <w:bCs/>
          <w:color w:val="0D0D0D"/>
          <w:sz w:val="32"/>
          <w:szCs w:val="32"/>
        </w:rPr>
        <w:t>系统治理，增强乡村生态保护修复，打造生态宜居美丽乡村。</w:t>
      </w:r>
      <w:r>
        <w:rPr>
          <w:rFonts w:hint="eastAsia" w:ascii="Times New Roman" w:hAnsi="Times New Roman" w:eastAsia="方正仿宋简体" w:cs="Times New Roman"/>
          <w:bCs/>
          <w:color w:val="0D0D0D"/>
          <w:sz w:val="32"/>
          <w:szCs w:val="32"/>
          <w:lang w:val="en-US" w:eastAsia="zh-CN"/>
        </w:rPr>
        <w:t>全面开展村庄房前屋后整治，做到“三边三清”“三沿三保”。</w:t>
      </w:r>
    </w:p>
    <w:p>
      <w:pPr>
        <w:widowControl w:val="0"/>
        <w:spacing w:line="600" w:lineRule="exact"/>
        <w:ind w:firstLine="643" w:firstLineChars="200"/>
        <w:contextualSpacing/>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四、树立乡风文明新气象。</w:t>
      </w:r>
      <w:r>
        <w:rPr>
          <w:rFonts w:ascii="Times New Roman" w:hAnsi="Times New Roman" w:eastAsia="方正仿宋简体" w:cs="Times New Roman"/>
          <w:bCs/>
          <w:color w:val="0D0D0D"/>
          <w:sz w:val="32"/>
          <w:szCs w:val="32"/>
        </w:rPr>
        <w:t>坚持塑形与铸魂并重，</w:t>
      </w:r>
      <w:r>
        <w:rPr>
          <w:rFonts w:hint="default" w:ascii="Times New Roman" w:hAnsi="Times New Roman" w:eastAsia="方正仿宋简体" w:cs="Times New Roman"/>
          <w:bCs/>
          <w:color w:val="0D0D0D"/>
          <w:sz w:val="32"/>
          <w:szCs w:val="32"/>
        </w:rPr>
        <w:t>持续开展乡风文明行动和农村精神文明建设</w:t>
      </w:r>
      <w:r>
        <w:rPr>
          <w:rFonts w:ascii="Times New Roman" w:hAnsi="Times New Roman" w:eastAsia="方正仿宋简体" w:cs="Times New Roman"/>
          <w:bCs/>
          <w:color w:val="0D0D0D"/>
          <w:sz w:val="32"/>
          <w:szCs w:val="32"/>
        </w:rPr>
        <w:t>，</w:t>
      </w:r>
      <w:r>
        <w:rPr>
          <w:rFonts w:hint="eastAsia" w:ascii="Times New Roman" w:hAnsi="Times New Roman" w:eastAsia="方正仿宋简体" w:cs="Times New Roman"/>
          <w:bCs/>
          <w:color w:val="0D0D0D"/>
          <w:sz w:val="32"/>
          <w:szCs w:val="32"/>
        </w:rPr>
        <w:t>提升农民精神风貌，提高乡村文明程度，塑造乡村文明新风尚</w:t>
      </w:r>
      <w:r>
        <w:rPr>
          <w:rFonts w:ascii="Times New Roman" w:hAnsi="Times New Roman" w:eastAsia="方正仿宋简体" w:cs="Times New Roman"/>
          <w:bCs/>
          <w:color w:val="0D0D0D"/>
          <w:sz w:val="32"/>
          <w:szCs w:val="32"/>
        </w:rPr>
        <w:t>。传承</w:t>
      </w:r>
      <w:r>
        <w:rPr>
          <w:rFonts w:hint="eastAsia" w:ascii="Times New Roman" w:hAnsi="Times New Roman" w:eastAsia="方正仿宋简体" w:cs="Times New Roman"/>
          <w:bCs/>
          <w:color w:val="0D0D0D"/>
          <w:sz w:val="32"/>
          <w:szCs w:val="32"/>
        </w:rPr>
        <w:t>和</w:t>
      </w:r>
      <w:r>
        <w:rPr>
          <w:rFonts w:ascii="Times New Roman" w:hAnsi="Times New Roman" w:eastAsia="方正仿宋简体" w:cs="Times New Roman"/>
          <w:bCs/>
          <w:color w:val="0D0D0D"/>
          <w:sz w:val="32"/>
          <w:szCs w:val="32"/>
        </w:rPr>
        <w:t>弘扬乡村优秀传统文化，加强历史文化遗产保护，发展农村特色文化产业。加强乡村公共文化建设，完善乡村公共文化设施，提升公共文化服务效能，丰富乡村群众文体活动。提升农民精神风貌，提高乡村文明程度，塑造乡村文明新风尚。巩固提升农村移风易俗成效</w:t>
      </w:r>
      <w:r>
        <w:rPr>
          <w:rFonts w:hint="eastAsia" w:ascii="Times New Roman" w:hAnsi="Times New Roman" w:eastAsia="方正仿宋简体" w:cs="Times New Roman"/>
          <w:bCs/>
          <w:sz w:val="32"/>
          <w:szCs w:val="32"/>
          <w:shd w:val="clear" w:color="auto" w:fill="FFFFFF"/>
        </w:rPr>
        <w:t>，倡导喜事新办丧事简办，提高殡葬服务水平，补齐公益性殡葬设施短板，完善基本殡葬公共服务保障和服务供给。</w:t>
      </w:r>
    </w:p>
    <w:p>
      <w:pPr>
        <w:widowControl w:val="0"/>
        <w:autoSpaceDE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五、开拓乡村善治新局面。</w:t>
      </w:r>
      <w:r>
        <w:rPr>
          <w:rFonts w:ascii="Times New Roman" w:hAnsi="Times New Roman" w:eastAsia="方正仿宋简体" w:cs="Times New Roman"/>
          <w:bCs/>
          <w:color w:val="0D0D0D"/>
          <w:sz w:val="32"/>
          <w:szCs w:val="32"/>
        </w:rPr>
        <w:t>推动乡村组织振兴，创建乡村治理提升工程，建立健全党委领导、政府负责、社会协同、公众参与、法治保障的现代乡村社会治理体制。坚持自治、法治、德治相结合，探索基层治理网格化管理新模式。以村规民约、新乡贤、家规家训等方式，激活乡村的自我净化和纠错能力。开展省级乡村治理体系建设试点和创建示范村镇工作，创建2个省级示范镇和26个省级示范村。</w:t>
      </w:r>
    </w:p>
    <w:p>
      <w:pPr>
        <w:widowControl w:val="0"/>
        <w:autoSpaceDE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六、提高乡村生活新格调。</w:t>
      </w:r>
      <w:r>
        <w:rPr>
          <w:rFonts w:ascii="Times New Roman" w:hAnsi="Times New Roman" w:eastAsia="方正仿宋简体" w:cs="Times New Roman"/>
          <w:bCs/>
          <w:color w:val="0D0D0D"/>
          <w:sz w:val="32"/>
          <w:szCs w:val="32"/>
        </w:rPr>
        <w:t>推动农村基础设施提档升级，加快数字乡村服务建设，畅通农村交通、物流和电商网络，加大农村太阳能、小水电、风能等可再生能源综合开发力度，完善农村信息基础设施。推进城乡基本公共服务均等化，促进公共教育、医疗卫生、社会保障等资源向农村倾斜。</w:t>
      </w:r>
    </w:p>
    <w:p>
      <w:pPr>
        <w:widowControl w:val="0"/>
        <w:autoSpaceDE w:val="0"/>
        <w:spacing w:line="600" w:lineRule="exact"/>
        <w:ind w:firstLine="640"/>
        <w:jc w:val="both"/>
        <w:rPr>
          <w:rFonts w:hint="default" w:ascii="Times New Roman" w:hAnsi="Times New Roman" w:eastAsia="方正仿宋简体" w:cs="Times New Roman"/>
          <w:bCs/>
          <w:color w:val="0D0D0D"/>
          <w:sz w:val="32"/>
          <w:szCs w:val="32"/>
          <w:lang w:val="en-US" w:eastAsia="zh-CN"/>
        </w:rPr>
      </w:pPr>
      <w:r>
        <w:rPr>
          <w:rFonts w:hint="default" w:ascii="Times New Roman" w:hAnsi="Times New Roman" w:eastAsia="方正楷体简体" w:cs="Times New Roman"/>
          <w:b/>
          <w:bCs w:val="0"/>
          <w:sz w:val="32"/>
          <w:szCs w:val="32"/>
          <w:lang w:val="en-US" w:eastAsia="zh-CN"/>
        </w:rPr>
        <w:t>七、加快老区苏区振兴发展。</w:t>
      </w:r>
      <w:r>
        <w:rPr>
          <w:rFonts w:hint="default" w:ascii="Times New Roman" w:hAnsi="Times New Roman" w:eastAsia="方正仿宋简体" w:cs="Times New Roman"/>
          <w:bCs/>
          <w:color w:val="0D0D0D"/>
          <w:sz w:val="32"/>
          <w:szCs w:val="32"/>
          <w:lang w:val="en-US" w:eastAsia="zh-CN"/>
        </w:rPr>
        <w:t>坚持“老区优先、适当倾斜”，</w:t>
      </w:r>
      <w:r>
        <w:rPr>
          <w:rFonts w:hint="eastAsia" w:ascii="Times New Roman" w:hAnsi="Times New Roman" w:eastAsia="方正仿宋简体" w:cs="Times New Roman"/>
          <w:bCs/>
          <w:color w:val="0D0D0D"/>
          <w:sz w:val="32"/>
          <w:szCs w:val="32"/>
          <w:lang w:val="en-US" w:eastAsia="zh-CN"/>
        </w:rPr>
        <w:t>加大对革命老区苏区乡村的扶持，确保老区苏区在现代化进程中一个都不掉队。</w:t>
      </w:r>
      <w:r>
        <w:rPr>
          <w:rFonts w:hint="default" w:ascii="Times New Roman" w:hAnsi="Times New Roman" w:eastAsia="方正仿宋简体" w:cs="Times New Roman"/>
          <w:bCs/>
          <w:color w:val="0D0D0D"/>
          <w:sz w:val="32"/>
          <w:szCs w:val="32"/>
          <w:lang w:val="en-US" w:eastAsia="zh-CN"/>
        </w:rPr>
        <w:t>用好</w:t>
      </w:r>
      <w:r>
        <w:rPr>
          <w:rFonts w:hint="eastAsia" w:ascii="Times New Roman" w:hAnsi="Times New Roman" w:eastAsia="方正仿宋简体" w:cs="Times New Roman"/>
          <w:bCs/>
          <w:color w:val="0D0D0D"/>
          <w:sz w:val="32"/>
          <w:szCs w:val="32"/>
          <w:lang w:val="en-US" w:eastAsia="zh-CN"/>
        </w:rPr>
        <w:t>用活用足国家政策，积极争取建设项目列入中央预算内投资并按中西部地区政策执行，争取上级对南安转移支付补助力度。推动老区苏区乡村“外通内联”，补齐基础设施和公共服务短板。坚持绿色、红色、特色导向，支持老区苏区乡村实施制造业升级改造重大工程，发展壮大特色产业，争创绿色发展示范区，打造红色旅游线路和国家全域旅游示范县。</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552" w:name="_Toc18808"/>
      <w:bookmarkStart w:id="553" w:name="_Toc27282"/>
      <w:bookmarkStart w:id="554" w:name="_Toc6560"/>
      <w:bookmarkStart w:id="555" w:name="_Toc4763"/>
      <w:bookmarkStart w:id="556" w:name="_Toc27010"/>
      <w:bookmarkStart w:id="557" w:name="_Toc2599"/>
      <w:bookmarkStart w:id="558" w:name="_Toc16838"/>
      <w:bookmarkStart w:id="559" w:name="_Toc21077"/>
      <w:bookmarkStart w:id="560" w:name="_Toc26750"/>
      <w:bookmarkStart w:id="561" w:name="_Toc32059"/>
      <w:bookmarkStart w:id="562" w:name="_Toc7921"/>
      <w:bookmarkStart w:id="563" w:name="_Toc11322"/>
      <w:bookmarkStart w:id="564" w:name="_Toc15226"/>
      <w:bookmarkStart w:id="565" w:name="_Toc17289"/>
      <w:bookmarkStart w:id="566" w:name="_Toc20965"/>
      <w:bookmarkStart w:id="567" w:name="_Toc23183"/>
      <w:bookmarkStart w:id="568" w:name="_Toc68707656"/>
      <w:r>
        <w:rPr>
          <w:rFonts w:ascii="Times New Roman" w:hAnsi="Times New Roman" w:eastAsia="方正黑体简体" w:cs="Times New Roman"/>
          <w:bCs/>
          <w:sz w:val="32"/>
          <w:szCs w:val="32"/>
        </w:rPr>
        <w:t>第四节  加速基础设施建设，提升城乡承载能力</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widowControl w:val="0"/>
        <w:adjustRightInd/>
        <w:snapToGrid/>
        <w:spacing w:line="600" w:lineRule="exact"/>
        <w:ind w:firstLine="640" w:firstLineChars="200"/>
        <w:jc w:val="both"/>
        <w:rPr>
          <w:rFonts w:ascii="Times New Roman" w:hAnsi="Times New Roman" w:eastAsia="方正仿宋简体" w:cs="Times New Roman"/>
          <w:sz w:val="32"/>
          <w:szCs w:val="32"/>
        </w:rPr>
      </w:pPr>
      <w:r>
        <w:rPr>
          <w:rFonts w:ascii="Times New Roman" w:hAnsi="Times New Roman" w:eastAsia="方正仿宋简体" w:cs="Times New Roman"/>
          <w:bCs/>
          <w:color w:val="0D0D0D"/>
          <w:sz w:val="32"/>
          <w:szCs w:val="32"/>
        </w:rPr>
        <w:t>坚持突出重点、注重实效、适度超前，统筹布局“两新一重”，补齐城乡基础设施和公共服务设施短板，打造结构优化、集约高效、经济适用、智能绿色、安全可靠的现代化基础设施体系。</w:t>
      </w:r>
    </w:p>
    <w:p>
      <w:pPr>
        <w:widowControl w:val="0"/>
        <w:numPr>
          <w:ilvl w:val="255"/>
          <w:numId w:val="0"/>
        </w:numPr>
        <w:spacing w:line="600" w:lineRule="exact"/>
        <w:ind w:firstLine="643" w:firstLineChars="200"/>
        <w:jc w:val="both"/>
        <w:rPr>
          <w:rFonts w:ascii="Times New Roman" w:hAnsi="Times New Roman" w:eastAsia="方正楷体简体" w:cs="Times New Roman"/>
          <w:b/>
          <w:sz w:val="32"/>
          <w:szCs w:val="32"/>
        </w:rPr>
      </w:pPr>
      <w:bookmarkStart w:id="569" w:name="_Toc24309"/>
      <w:bookmarkStart w:id="570" w:name="_Toc18470"/>
      <w:r>
        <w:rPr>
          <w:rFonts w:hint="eastAsia" w:ascii="Times New Roman" w:hAnsi="Times New Roman" w:eastAsia="方正楷体简体" w:cs="Times New Roman"/>
          <w:b/>
          <w:sz w:val="32"/>
          <w:szCs w:val="32"/>
        </w:rPr>
        <w:t>一、</w:t>
      </w:r>
      <w:r>
        <w:rPr>
          <w:rFonts w:ascii="Times New Roman" w:hAnsi="Times New Roman" w:eastAsia="方正楷体简体" w:cs="Times New Roman"/>
          <w:b/>
          <w:sz w:val="32"/>
          <w:szCs w:val="32"/>
        </w:rPr>
        <w:t>突出“新基建”</w:t>
      </w:r>
      <w:bookmarkEnd w:id="569"/>
      <w:bookmarkEnd w:id="570"/>
      <w:r>
        <w:rPr>
          <w:rFonts w:ascii="Times New Roman" w:hAnsi="Times New Roman" w:eastAsia="方正楷体简体" w:cs="Times New Roman"/>
          <w:b/>
          <w:sz w:val="32"/>
          <w:szCs w:val="32"/>
        </w:rPr>
        <w:t>，推进“智慧城市”建设</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1.加速布局5G网络。</w:t>
      </w:r>
      <w:r>
        <w:rPr>
          <w:rFonts w:ascii="Times New Roman" w:hAnsi="Times New Roman" w:eastAsia="方正仿宋简体" w:cs="Times New Roman"/>
          <w:bCs/>
          <w:color w:val="0D0D0D"/>
          <w:sz w:val="32"/>
          <w:szCs w:val="32"/>
        </w:rPr>
        <w:t>加快5G网络、数据中心等新型基础设施建设，以高速光纤网络、4G/5G移动网络、移动物联网（NB-IoT）和互联网协议第六版（IPv6）等基础设施建设为重点，推进5G试商用，开发5G应用场景，率先推动移动支付、智能工厂、车联网、5G+4K、远程医疗、远程教育等“5G+”示范应用。</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2.发展工业互联网。</w:t>
      </w:r>
      <w:r>
        <w:rPr>
          <w:rFonts w:ascii="Times New Roman" w:hAnsi="Times New Roman" w:eastAsia="方正仿宋简体" w:cs="Times New Roman"/>
          <w:bCs/>
          <w:color w:val="0D0D0D"/>
          <w:sz w:val="32"/>
          <w:szCs w:val="32"/>
        </w:rPr>
        <w:t>率先推动物联网在智能物流领域的运用发展，依托天地汇（泉州）公路港、宏图华昌公路港等项目，开启网络货运模式新时代，打造闽西南物联网高地。培育工业APP和工业互联网的研发、推广和使用，打造“互联网+泛家居产业平台”等工业互联网示范平台。推动石材、水暖、机械、鞋服等传统优势专业市场打造商情监测系统，形成行业景气指数、价格指数等产业大数据模型。推进云计算广泛覆盖，引导企业推广设备网联上云、数据集成上云等深度用云。</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3.打造智慧城市升级版。</w:t>
      </w:r>
      <w:r>
        <w:rPr>
          <w:rFonts w:ascii="Times New Roman" w:hAnsi="Times New Roman" w:eastAsia="方正仿宋简体" w:cs="Times New Roman"/>
          <w:bCs/>
          <w:color w:val="0D0D0D"/>
          <w:sz w:val="32"/>
          <w:szCs w:val="32"/>
        </w:rPr>
        <w:t>依托大数据中心建立“城市大脑”，加强各类市政设施管理数字化平台建设和功能整合，建设综合性城市运行管理数据库，构建城市安全信息系统、空间地理信息平台，加快多源信息整合和共享，逐步建成智慧城管、智慧交通、智慧旅游、智慧教育、智慧医疗、智慧农业、智慧环保等体系。</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4.建设智能停车设施。</w:t>
      </w:r>
      <w:r>
        <w:rPr>
          <w:rFonts w:ascii="Times New Roman" w:hAnsi="Times New Roman" w:eastAsia="方正仿宋简体" w:cs="Times New Roman"/>
          <w:bCs/>
          <w:color w:val="0D0D0D"/>
          <w:sz w:val="32"/>
          <w:szCs w:val="32"/>
        </w:rPr>
        <w:t>统筹智慧停车管理系统和公共停车场投资建设运营管理，加快推进中心城区和南翼新城停车场项目建设，建成58个停车场、新增13000个车位，实行智能化停车收费及停车诱导系统建设，推进智能充电、停车一体化，加快各类公共充电桩设施建设，接入国家电网“e充电”信息平台。</w:t>
      </w:r>
    </w:p>
    <w:p>
      <w:pPr>
        <w:widowControl w:val="0"/>
        <w:spacing w:line="600" w:lineRule="exact"/>
        <w:ind w:firstLine="643" w:firstLineChars="200"/>
        <w:jc w:val="both"/>
        <w:rPr>
          <w:rFonts w:ascii="Times New Roman" w:hAnsi="Times New Roman" w:eastAsia="方正楷体简体" w:cs="Times New Roman"/>
          <w:b/>
          <w:sz w:val="32"/>
          <w:szCs w:val="32"/>
        </w:rPr>
      </w:pPr>
      <w:bookmarkStart w:id="571" w:name="_Toc16495"/>
      <w:bookmarkStart w:id="572" w:name="_Toc19963"/>
      <w:bookmarkStart w:id="573" w:name="_Toc9660"/>
      <w:r>
        <w:rPr>
          <w:rFonts w:ascii="Times New Roman" w:hAnsi="Times New Roman" w:eastAsia="方正楷体简体" w:cs="Times New Roman"/>
          <w:b/>
          <w:sz w:val="32"/>
          <w:szCs w:val="32"/>
        </w:rPr>
        <w:t>二、突出城乡统筹，夯实城镇市政基础设施基础</w:t>
      </w:r>
      <w:bookmarkEnd w:id="571"/>
      <w:bookmarkEnd w:id="572"/>
      <w:bookmarkEnd w:id="573"/>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1.建设海绵城市。</w:t>
      </w:r>
      <w:r>
        <w:rPr>
          <w:rFonts w:ascii="Times New Roman" w:hAnsi="Times New Roman" w:eastAsia="方正仿宋简体" w:cs="Times New Roman"/>
          <w:bCs/>
          <w:color w:val="0D0D0D"/>
          <w:sz w:val="32"/>
          <w:szCs w:val="32"/>
        </w:rPr>
        <w:t>开展海绵城市试点，聚焦“渗、蓄、滞、净、用、排”，构建城市多层次海绵体系，改造升级滞洪区排水管网、排涝泵站和河道，完善绿地、花园、可渗透路面等城市配套设施，立体构建“水利+市政道路+园林景观”体系，实现城市良性水循环，建成具有自然积存、自然渗透、自然净化功能的海绵型城市。</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2.建设无废城市。</w:t>
      </w:r>
      <w:r>
        <w:rPr>
          <w:rFonts w:ascii="Times New Roman" w:hAnsi="Times New Roman" w:eastAsia="方正仿宋简体" w:cs="Times New Roman"/>
          <w:bCs/>
          <w:color w:val="0D0D0D"/>
          <w:sz w:val="32"/>
          <w:szCs w:val="32"/>
        </w:rPr>
        <w:t>健全“无废城市”建设指标、管理和技术体系，以大宗工业固体废物、主要农业废弃物、生活垃圾、建筑垃圾、危险废物等处置和石粉综合利用、垃圾分类等工作为重点，实现源头大幅减量、充分资源化利用和安全处置。</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3.建设园林城市。</w:t>
      </w:r>
      <w:r>
        <w:rPr>
          <w:rFonts w:ascii="Times New Roman" w:hAnsi="Times New Roman" w:eastAsia="方正仿宋简体" w:cs="Times New Roman"/>
          <w:bCs/>
          <w:color w:val="0D0D0D"/>
          <w:sz w:val="32"/>
          <w:szCs w:val="32"/>
        </w:rPr>
        <w:t>引入“园中建城、城中有园、城园相融、人城和谐”的公园城市理念，加快实施城南片区山水漫道二期（南山漫道）建设，串联南山公园、北山公园，并与兰溪湿地公园闭环，构建由北山森林公园、湿地公园、城市公园</w:t>
      </w:r>
      <w:r>
        <w:rPr>
          <w:rFonts w:hint="eastAsia" w:ascii="Times New Roman" w:hAnsi="Times New Roman" w:eastAsia="方正仿宋简体" w:cs="Times New Roman"/>
          <w:bCs/>
          <w:color w:val="0D0D0D"/>
          <w:sz w:val="32"/>
          <w:szCs w:val="32"/>
          <w:lang w:eastAsia="zh-CN"/>
        </w:rPr>
        <w:t>和</w:t>
      </w:r>
      <w:r>
        <w:rPr>
          <w:rFonts w:ascii="Times New Roman" w:hAnsi="Times New Roman" w:eastAsia="方正仿宋简体" w:cs="Times New Roman"/>
          <w:bCs/>
          <w:color w:val="0D0D0D"/>
          <w:sz w:val="32"/>
          <w:szCs w:val="32"/>
        </w:rPr>
        <w:t>“口袋”公园组成的全域公园体系。</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4.建设韧性城市。</w:t>
      </w:r>
      <w:r>
        <w:rPr>
          <w:rFonts w:ascii="Times New Roman" w:hAnsi="Times New Roman" w:eastAsia="方正仿宋简体" w:cs="Times New Roman"/>
          <w:bCs/>
          <w:color w:val="0D0D0D"/>
          <w:sz w:val="32"/>
          <w:szCs w:val="32"/>
        </w:rPr>
        <w:t>深刻汲取泉州欣佳酒店坍塌事故教训，完善“两违”综合治理常打常治机制，扎实推进危险化学品、矿山、交通运输、工业园、城市建设、危险废物等重点领域安全整治，扎实推进安全生产治理现代化。</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5.建设现代能源体系。</w:t>
      </w:r>
      <w:r>
        <w:rPr>
          <w:rFonts w:ascii="Times New Roman" w:hAnsi="Times New Roman" w:eastAsia="方正仿宋简体" w:cs="Times New Roman"/>
          <w:bCs/>
          <w:color w:val="0D0D0D"/>
          <w:sz w:val="32"/>
          <w:szCs w:val="32"/>
        </w:rPr>
        <w:t>加强建设涵盖区域泛能微网、智能燃气网、智能电网、智能加油的城市泛能网，实现冷、热、电、气、汽油等能源网络融合。实施智能电网工程，新改建110千伏变电站15座，增容110千伏变电站3座，新改建35千伏变电站4座，到2025年全市容量达4460.8兆伏安。推广应用新能源，推动海西天然气管网德化支线天然气及西翼环网、霞美与丰州管网互联、水头与晋江安海管网互联等燃气管网互联互通工程建设，拓展太阳能多元化利用，综合高效利用生物质能。</w:t>
      </w:r>
    </w:p>
    <w:p>
      <w:pPr>
        <w:widowControl w:val="0"/>
        <w:spacing w:line="600" w:lineRule="exact"/>
        <w:ind w:firstLine="643" w:firstLineChars="200"/>
        <w:jc w:val="both"/>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三、突出交通引领，构建“外中内”环形城市交通网络</w:t>
      </w:r>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实施“交通强市”战略，按照“能快则快”原则，构建集道路、铁路、港口、场站于一体</w:t>
      </w:r>
      <w:r>
        <w:rPr>
          <w:rFonts w:hint="eastAsia" w:ascii="Times New Roman" w:hAnsi="Times New Roman" w:eastAsia="方正仿宋简体" w:cs="Times New Roman"/>
          <w:bCs/>
          <w:color w:val="0D0D0D"/>
          <w:sz w:val="32"/>
          <w:szCs w:val="32"/>
        </w:rPr>
        <w:t>，</w:t>
      </w:r>
      <w:r>
        <w:rPr>
          <w:rFonts w:ascii="Times New Roman" w:hAnsi="Times New Roman" w:eastAsia="方正仿宋简体" w:cs="Times New Roman"/>
          <w:bCs/>
          <w:color w:val="0D0D0D"/>
          <w:sz w:val="32"/>
          <w:szCs w:val="32"/>
        </w:rPr>
        <w:t>便捷联系周边、有效联通内部、具备较强服务能力的现代综合交通运输体系。</w:t>
      </w:r>
    </w:p>
    <w:p>
      <w:pPr>
        <w:widowControl w:val="0"/>
        <w:spacing w:line="600" w:lineRule="exact"/>
        <w:ind w:firstLine="64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
          <w:sz w:val="32"/>
          <w:szCs w:val="32"/>
        </w:rPr>
        <w:t>（一）外环：拓展对外连接通道。</w:t>
      </w:r>
      <w:r>
        <w:rPr>
          <w:rFonts w:ascii="Times New Roman" w:hAnsi="Times New Roman" w:eastAsia="方正仿宋简体" w:cs="Times New Roman"/>
          <w:bCs/>
          <w:color w:val="0D0D0D"/>
          <w:sz w:val="32"/>
          <w:szCs w:val="32"/>
        </w:rPr>
        <w:t>突出厦门、泉州、安永德方向，强化区域交通枢纽功能，提升铁水公对外交通能级，构建“外联外拓”的对外大动脉。</w:t>
      </w:r>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
          <w:sz w:val="32"/>
          <w:szCs w:val="32"/>
        </w:rPr>
        <w:t>1.建设高标准、现代化的干线铁路。</w:t>
      </w:r>
      <w:r>
        <w:rPr>
          <w:rFonts w:ascii="Times New Roman" w:hAnsi="Times New Roman" w:eastAsia="方正仿宋简体" w:cs="Times New Roman"/>
          <w:bCs/>
          <w:color w:val="0D0D0D"/>
          <w:sz w:val="32"/>
          <w:szCs w:val="32"/>
        </w:rPr>
        <w:t>加快兴泉铁路、福厦客专南安段建设，力争2022年建成通车；融入厦漳泉城际轨道R1线建设，跟进R4线前期工作，争取纳入泉厦区域城际轨道网（轨道交通泉州轻轨1号线和厦门地铁R1、R3、R6线）。战略预留南翼新城站，争取福厦客专在南安段分岔经翔安机场至金门，争取昌厦高铁采用“Y”型铁路布局接入南翼新城。依托兴泉铁路南安北站和福厦铁路石井支线石井作业区货运站等铁路枢纽，谋划建设铁路物流港，争取陆地港平台政策，打造区域性铁路物流中心。</w:t>
      </w:r>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
          <w:sz w:val="32"/>
          <w:szCs w:val="32"/>
        </w:rPr>
        <w:t>2.建设高效率、广辐射的沿海港口。</w:t>
      </w:r>
      <w:r>
        <w:rPr>
          <w:rFonts w:ascii="Times New Roman" w:hAnsi="Times New Roman" w:eastAsia="方正仿宋简体" w:cs="Times New Roman"/>
          <w:bCs/>
          <w:color w:val="0D0D0D"/>
          <w:sz w:val="32"/>
          <w:szCs w:val="32"/>
        </w:rPr>
        <w:t>加强石井作业区与厦门港、泉州港和翔安机场战略合作，承接厦门国际航运中心的功能辐射，发展水水联运，打造泉州海丝先行区中心港。争取设立临港功能保税区，衔接空港物流和海港物流，形成海空联运集散地。推进石井滨海大道、南港路和通海路等疏港公路路网及市政公共配套建设，完善港口物流体系。争取泊位和作业区周边路网用海指标，到2022年建成石井作业区16#-17#泊位和口岸运营中心；到2025年建成18#-19#泊位，开工建设10#-12#、13#-15#泊位和围头湾石井通海航道二期工程。开展在大小佰岛建设深水港的前期研究。</w:t>
      </w:r>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
          <w:sz w:val="32"/>
          <w:szCs w:val="32"/>
        </w:rPr>
        <w:t>3.建设高速度、外直联的快速路网。</w:t>
      </w:r>
      <w:r>
        <w:rPr>
          <w:rFonts w:ascii="Times New Roman" w:hAnsi="Times New Roman" w:eastAsia="方正仿宋简体" w:cs="Times New Roman"/>
          <w:bCs/>
          <w:color w:val="0D0D0D"/>
          <w:sz w:val="32"/>
          <w:szCs w:val="32"/>
        </w:rPr>
        <w:t>开工建设泉南线扩容工程泉州市区至永春段、石井至翔安新机场通道等项目，加快推进晋江至长泰高速、武夷新区至厦门高速公路等项目，打造“三纵二横五联”高速公路网。实施联十一线、晋江世纪大道至南翼新城科院路（南安段）快速通道、科院北路二期规划建设，主动对接石井大道连接机场跨海大桥、安溪至厦门机场连接大道前期工作，打通连接厦门的快速通道。实施武荣大桥、江滨南路、324国道市政化改造等项目建设，打通连接泉州的快速通道。实施省道215线拓改、茂盛路等项目建设，打通连接安永德的快速通道。</w:t>
      </w:r>
    </w:p>
    <w:p>
      <w:pPr>
        <w:widowControl w:val="0"/>
        <w:spacing w:line="600" w:lineRule="exact"/>
        <w:ind w:firstLine="64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
          <w:sz w:val="32"/>
          <w:szCs w:val="32"/>
        </w:rPr>
        <w:t>（二）中环：促进市域内各板块互联互通。</w:t>
      </w:r>
      <w:r>
        <w:rPr>
          <w:rFonts w:ascii="Times New Roman" w:hAnsi="Times New Roman" w:eastAsia="方正仿宋简体" w:cs="Times New Roman"/>
          <w:bCs/>
          <w:color w:val="0D0D0D"/>
          <w:sz w:val="32"/>
          <w:szCs w:val="32"/>
        </w:rPr>
        <w:t>依托国省干线和县道，优化市域快捷交通路网，强化中心城区与南翼新城之间、城镇组团之间的快速联系，构建“直联直通”的市域大通道。</w:t>
      </w:r>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
          <w:sz w:val="32"/>
          <w:szCs w:val="32"/>
        </w:rPr>
        <w:t>1.建设服务过境交通的干线路网。</w:t>
      </w:r>
      <w:r>
        <w:rPr>
          <w:rFonts w:ascii="Times New Roman" w:hAnsi="Times New Roman" w:eastAsia="方正仿宋简体" w:cs="Times New Roman"/>
          <w:bCs/>
          <w:color w:val="0D0D0D"/>
          <w:sz w:val="32"/>
          <w:szCs w:val="32"/>
        </w:rPr>
        <w:t>紧跟新一轮国省路网规划调整，推动联十一线纳入国道网、争取柳城至霞美公路新增纳入省道并推进实施，形成“五纵二横二联”的普通国省干线公路网，重点实施联十一线南安段、纵一线石井外线、联三线南安段、横九线溪美至柳城、柳城至霞美公路、纵三线省新至溪美路段等项目，推进部分未达标路段干线公路的路面重铺和“白改黑”，撑开城市空间框架。</w:t>
      </w:r>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
          <w:sz w:val="32"/>
          <w:szCs w:val="32"/>
        </w:rPr>
        <w:t>2.提升镇村公路服务质量。</w:t>
      </w:r>
      <w:r>
        <w:rPr>
          <w:rFonts w:ascii="Times New Roman" w:hAnsi="Times New Roman" w:eastAsia="方正仿宋简体" w:cs="Times New Roman"/>
          <w:bCs/>
          <w:color w:val="0D0D0D"/>
          <w:sz w:val="32"/>
          <w:szCs w:val="32"/>
        </w:rPr>
        <w:t>规划建设乐峰至向阳、仑苍至眉山、洪梅至罗东等通乡（镇）公路，实施县道四晋三、乡道单改双、通较大自然村公路硬化为主的农村公路改造提升工程，加快农村公路安保提升、养护生态示范路创建和危桥改造，实现“镇镇通干线”，基本建成全覆盖的农村公路网。</w:t>
      </w:r>
    </w:p>
    <w:p>
      <w:pPr>
        <w:widowControl w:val="0"/>
        <w:spacing w:line="600" w:lineRule="exact"/>
        <w:ind w:firstLine="64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
          <w:sz w:val="32"/>
          <w:szCs w:val="32"/>
        </w:rPr>
        <w:t>（三）内环：疏解主城区通行，建设快速闭环圈。</w:t>
      </w:r>
      <w:r>
        <w:rPr>
          <w:rFonts w:ascii="Times New Roman" w:hAnsi="Times New Roman" w:eastAsia="方正仿宋简体" w:cs="Times New Roman"/>
          <w:bCs/>
          <w:color w:val="0D0D0D"/>
          <w:sz w:val="32"/>
          <w:szCs w:val="32"/>
        </w:rPr>
        <w:t>进一步完善快速路、主干路、次干路、支路的级配，提升城市路网的通达性，构建“内畅内快”的城区微循环。</w:t>
      </w:r>
    </w:p>
    <w:p>
      <w:pPr>
        <w:widowControl w:val="0"/>
        <w:spacing w:line="600" w:lineRule="exact"/>
        <w:ind w:firstLine="640" w:firstLineChars="200"/>
        <w:jc w:val="both"/>
        <w:rPr>
          <w:rFonts w:ascii="Times New Roman" w:hAnsi="Times New Roman" w:eastAsia="方正仿宋简体" w:cs="Times New Roman"/>
          <w:bCs/>
          <w:sz w:val="32"/>
          <w:szCs w:val="32"/>
        </w:rPr>
      </w:pPr>
      <w:r>
        <w:rPr>
          <w:rFonts w:ascii="Times New Roman" w:hAnsi="Times New Roman" w:eastAsia="方正仿宋简体" w:cs="Times New Roman"/>
          <w:b/>
          <w:sz w:val="32"/>
          <w:szCs w:val="32"/>
        </w:rPr>
        <w:t>1.优化城区路网结构</w:t>
      </w:r>
      <w:r>
        <w:rPr>
          <w:rFonts w:ascii="Times New Roman" w:hAnsi="Times New Roman" w:eastAsia="方正仿宋简体" w:cs="Times New Roman"/>
          <w:bCs/>
          <w:sz w:val="32"/>
          <w:szCs w:val="32"/>
        </w:rPr>
        <w:t>。</w:t>
      </w:r>
      <w:r>
        <w:rPr>
          <w:rFonts w:ascii="Times New Roman" w:hAnsi="Times New Roman" w:eastAsia="方正仿宋简体" w:cs="Times New Roman"/>
          <w:bCs/>
          <w:color w:val="0D0D0D"/>
          <w:sz w:val="32"/>
          <w:szCs w:val="32"/>
        </w:rPr>
        <w:t>实施路网提升和畅通工程，加强“微循环”改造，打通瓶颈路、断头路，形成“ 一环、十四射、八联”中心城区路网。推进北外环路二期工程建成贯通，加快成功街科创中心段建设，提升成功街、柳</w:t>
      </w:r>
      <w:r>
        <w:rPr>
          <w:rFonts w:hint="eastAsia" w:ascii="Times New Roman" w:hAnsi="Times New Roman" w:eastAsia="方正仿宋简体" w:cs="Times New Roman"/>
          <w:bCs/>
          <w:color w:val="0D0D0D"/>
          <w:sz w:val="32"/>
          <w:szCs w:val="32"/>
          <w:lang w:eastAsia="zh-CN"/>
        </w:rPr>
        <w:t>湖</w:t>
      </w:r>
      <w:r>
        <w:rPr>
          <w:rFonts w:ascii="Times New Roman" w:hAnsi="Times New Roman" w:eastAsia="方正仿宋简体" w:cs="Times New Roman"/>
          <w:bCs/>
          <w:color w:val="0D0D0D"/>
          <w:sz w:val="32"/>
          <w:szCs w:val="32"/>
        </w:rPr>
        <w:t>南路、柳中路、南同路、南洪路、南金路、北外环路等7条道路通达能力，开展道路优化美化行动。</w:t>
      </w:r>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
          <w:sz w:val="32"/>
          <w:szCs w:val="32"/>
        </w:rPr>
        <w:t>2.优先建设“公交都市”。</w:t>
      </w:r>
      <w:r>
        <w:rPr>
          <w:rFonts w:ascii="Times New Roman" w:hAnsi="Times New Roman" w:eastAsia="方正仿宋简体" w:cs="Times New Roman"/>
          <w:bCs/>
          <w:color w:val="0D0D0D"/>
          <w:sz w:val="32"/>
          <w:szCs w:val="32"/>
        </w:rPr>
        <w:t>实施公交优先发展战略，建立公共交通引导城市发展机制，完善公共交通运营扶持政策，提高公交线路、站点密度，延伸主城区公交线路，推动城市公交向城乡结合部、城市周边地区及毗邻县延伸，推进南翼三镇公交一体化。优化公共自行车租赁系统，完善公交与公共自行车有效接驳。争取“十四五”期间，实现主城区500米公共交通覆盖率达100%。</w:t>
      </w:r>
    </w:p>
    <w:p>
      <w:pPr>
        <w:widowControl w:val="0"/>
        <w:autoSpaceDE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
          <w:sz w:val="32"/>
          <w:szCs w:val="32"/>
        </w:rPr>
        <w:t>3.加快城乡交通一体化。</w:t>
      </w:r>
      <w:r>
        <w:rPr>
          <w:rFonts w:ascii="Times New Roman" w:hAnsi="Times New Roman" w:eastAsia="方正仿宋简体" w:cs="Times New Roman"/>
          <w:bCs/>
          <w:color w:val="0D0D0D"/>
          <w:sz w:val="32"/>
          <w:szCs w:val="32"/>
        </w:rPr>
        <w:t>合理布局城乡客运和公交网线，发展城乡定制公交、农村客运班线，推行区域客运服务，前瞻推进农村客运公交化改造。完善客运站场体系，推进乡镇综合运输服务站建设改造。深化“村村通客车”工程，加大对不具备通车条件的建制村改造力度，重点扶持</w:t>
      </w:r>
      <w:r>
        <w:rPr>
          <w:rFonts w:hint="eastAsia" w:ascii="Times New Roman" w:hAnsi="Times New Roman" w:eastAsia="方正仿宋简体" w:cs="Times New Roman"/>
          <w:bCs/>
          <w:color w:val="0D0D0D"/>
          <w:sz w:val="32"/>
          <w:szCs w:val="32"/>
        </w:rPr>
        <w:t>偏远</w:t>
      </w:r>
      <w:r>
        <w:rPr>
          <w:rFonts w:ascii="Times New Roman" w:hAnsi="Times New Roman" w:eastAsia="方正仿宋简体" w:cs="Times New Roman"/>
          <w:bCs/>
          <w:color w:val="0D0D0D"/>
          <w:sz w:val="32"/>
          <w:szCs w:val="32"/>
        </w:rPr>
        <w:t>地区发展农村客运。</w:t>
      </w:r>
    </w:p>
    <w:p>
      <w:pPr>
        <w:widowControl w:val="0"/>
        <w:spacing w:line="600" w:lineRule="exact"/>
        <w:ind w:firstLine="643" w:firstLineChars="200"/>
        <w:jc w:val="both"/>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四、突出清水润城，构建水资源安全保障体系</w:t>
      </w:r>
    </w:p>
    <w:p>
      <w:pPr>
        <w:widowControl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以水系统综合整治为主线，以“两溪一湾”为重要空间载体，实施一批重要水利气象基础设施项目建设，深化水务管理体制及水务投融资改革，保障防洪安全、供水安全、经济安全。</w:t>
      </w:r>
    </w:p>
    <w:p>
      <w:pPr>
        <w:widowControl w:val="0"/>
        <w:autoSpaceDE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
          <w:sz w:val="32"/>
          <w:szCs w:val="32"/>
        </w:rPr>
        <w:t>1.加强防洪排涝体系建设。</w:t>
      </w:r>
      <w:r>
        <w:rPr>
          <w:rFonts w:ascii="Times New Roman" w:hAnsi="Times New Roman" w:eastAsia="方正仿宋简体" w:cs="Times New Roman"/>
          <w:bCs/>
          <w:color w:val="0D0D0D"/>
          <w:sz w:val="32"/>
          <w:szCs w:val="32"/>
        </w:rPr>
        <w:t>系统构建“两溪一湾”安全生态水系，加快晋江防洪工程南安城区三期右岸堤段等工程建设，打造治水升级版。持续推进雨污分流改造，实施府前大道洋美红绿灯至新公安局道路雨污管、崎峰社区污水管道等工程，打通污水“断头管”。开展中小型水利工程安全鉴定，抓好中小河流治理、海堤及病险水库除险加固和地质灾害防治。</w:t>
      </w:r>
    </w:p>
    <w:p>
      <w:pPr>
        <w:widowControl w:val="0"/>
        <w:autoSpaceDE w:val="0"/>
        <w:spacing w:line="600" w:lineRule="exact"/>
        <w:ind w:firstLine="640" w:firstLineChars="200"/>
        <w:jc w:val="both"/>
        <w:rPr>
          <w:rFonts w:ascii="Times New Roman" w:hAnsi="Times New Roman" w:eastAsia="方正小标宋简体" w:cs="Times New Roman"/>
          <w:bCs/>
          <w:kern w:val="2"/>
          <w:sz w:val="36"/>
          <w:szCs w:val="36"/>
        </w:rPr>
      </w:pPr>
      <w:r>
        <w:rPr>
          <w:rFonts w:ascii="Times New Roman" w:hAnsi="Times New Roman" w:eastAsia="方正仿宋简体" w:cs="Times New Roman"/>
          <w:b/>
          <w:sz w:val="32"/>
          <w:szCs w:val="32"/>
        </w:rPr>
        <w:t>2.加强供水保障体系建设。</w:t>
      </w:r>
      <w:r>
        <w:rPr>
          <w:rFonts w:ascii="Times New Roman" w:hAnsi="Times New Roman" w:eastAsia="方正仿宋简体" w:cs="Times New Roman"/>
          <w:bCs/>
          <w:color w:val="0D0D0D"/>
          <w:sz w:val="32"/>
          <w:szCs w:val="32"/>
        </w:rPr>
        <w:t>规划建设一批蓄引调水、应急水源、备用水源供水工程</w:t>
      </w:r>
      <w:r>
        <w:rPr>
          <w:rFonts w:hint="eastAsia" w:ascii="Times New Roman" w:hAnsi="Times New Roman" w:eastAsia="方正仿宋简体" w:cs="Times New Roman"/>
          <w:bCs/>
          <w:color w:val="0D0D0D"/>
          <w:sz w:val="32"/>
          <w:szCs w:val="32"/>
          <w:lang w:eastAsia="zh-CN"/>
        </w:rPr>
        <w:t>，</w:t>
      </w:r>
      <w:r>
        <w:rPr>
          <w:rFonts w:hint="eastAsia" w:ascii="Times New Roman" w:hAnsi="Times New Roman" w:eastAsia="方正仿宋简体" w:cs="Times New Roman"/>
          <w:bCs/>
          <w:color w:val="0D0D0D"/>
          <w:sz w:val="32"/>
          <w:szCs w:val="32"/>
          <w:lang w:val="en-US" w:eastAsia="zh-CN"/>
        </w:rPr>
        <w:t>全力推进“十四五”福建省山美大型灌区续建配套与现代化改造</w:t>
      </w:r>
      <w:r>
        <w:rPr>
          <w:rFonts w:ascii="Times New Roman" w:hAnsi="Times New Roman" w:eastAsia="方正仿宋简体" w:cs="Times New Roman"/>
          <w:bCs/>
          <w:color w:val="0D0D0D"/>
          <w:sz w:val="32"/>
          <w:szCs w:val="32"/>
        </w:rPr>
        <w:t>。实施水质提升计划，构建城乡供水安全多级屏障体系，加强对供水水质不达标的水厂、管网和二次供水设施的更新改造，新改建城乡一体化供水管网，深化农村饮用水改造提升工程。实施城市节水综合改造，推进城市再生水、雨水等非常规水源的利用，建设节水型城市。</w:t>
      </w:r>
    </w:p>
    <w:p>
      <w:pPr>
        <w:pStyle w:val="17"/>
        <w:widowControl w:val="0"/>
        <w:adjustRightInd/>
        <w:snapToGrid/>
        <w:spacing w:beforeLines="50" w:afterLines="50" w:line="620" w:lineRule="exact"/>
        <w:rPr>
          <w:rFonts w:ascii="Times New Roman" w:hAnsi="Times New Roman" w:eastAsia="方正小标宋简体" w:cs="Times New Roman"/>
          <w:sz w:val="36"/>
          <w:szCs w:val="36"/>
        </w:rPr>
      </w:pPr>
      <w:bookmarkStart w:id="574" w:name="_Toc194"/>
      <w:bookmarkStart w:id="575" w:name="_Toc20244"/>
      <w:bookmarkStart w:id="576" w:name="_Toc16403"/>
      <w:bookmarkStart w:id="577" w:name="_Toc15328"/>
      <w:bookmarkStart w:id="578" w:name="_Toc14987"/>
      <w:bookmarkStart w:id="579" w:name="_Toc5768"/>
      <w:bookmarkStart w:id="580" w:name="_Toc28171"/>
      <w:bookmarkStart w:id="581" w:name="_Toc21894"/>
      <w:bookmarkStart w:id="582" w:name="_Toc4931"/>
      <w:bookmarkStart w:id="583" w:name="_Toc68707657"/>
      <w:bookmarkStart w:id="584" w:name="_Toc16152"/>
      <w:bookmarkStart w:id="585" w:name="_Toc16455"/>
      <w:bookmarkStart w:id="586" w:name="_Toc28469"/>
      <w:bookmarkStart w:id="587" w:name="_Toc19323"/>
      <w:bookmarkStart w:id="588" w:name="_Toc25655"/>
      <w:bookmarkStart w:id="589" w:name="_Toc13214"/>
      <w:bookmarkStart w:id="590" w:name="_Toc21421"/>
      <w:r>
        <w:rPr>
          <w:rFonts w:ascii="Times New Roman" w:hAnsi="Times New Roman" w:eastAsia="方正小标宋简体" w:cs="Times New Roman"/>
          <w:sz w:val="36"/>
          <w:szCs w:val="36"/>
        </w:rPr>
        <w:t>第六章  打造更具亲和力的幸福民生体系</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widowControl w:val="0"/>
        <w:autoSpaceDE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坚持把实现好、维护好、发展好最广大人民根本利益作为发展的出发点和落脚点，</w:t>
      </w:r>
      <w:r>
        <w:rPr>
          <w:rFonts w:hint="eastAsia" w:ascii="Times New Roman" w:hAnsi="Times New Roman" w:eastAsia="方正仿宋简体" w:cs="Times New Roman"/>
          <w:bCs/>
          <w:color w:val="0D0D0D"/>
          <w:sz w:val="32"/>
          <w:szCs w:val="32"/>
        </w:rPr>
        <w:t>强化</w:t>
      </w:r>
      <w:r>
        <w:rPr>
          <w:rFonts w:ascii="Times New Roman" w:hAnsi="Times New Roman" w:eastAsia="方正仿宋简体" w:cs="Times New Roman"/>
          <w:bCs/>
          <w:color w:val="0D0D0D"/>
          <w:sz w:val="32"/>
          <w:szCs w:val="32"/>
        </w:rPr>
        <w:t>就业优先政策，实施教育强市战略，健全多元社会保障体系，推进健康南安建设，持续提升基本公共服务均等化水平。</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591" w:name="_Toc20541"/>
      <w:bookmarkStart w:id="592" w:name="_Toc29658"/>
      <w:bookmarkStart w:id="593" w:name="_Toc14483"/>
      <w:bookmarkStart w:id="594" w:name="_Toc28223"/>
      <w:bookmarkStart w:id="595" w:name="_Toc5792"/>
      <w:bookmarkStart w:id="596" w:name="_Toc28133"/>
      <w:bookmarkStart w:id="597" w:name="_Toc68707658"/>
      <w:bookmarkStart w:id="598" w:name="_Toc24938"/>
      <w:bookmarkStart w:id="599" w:name="_Toc12942"/>
      <w:bookmarkStart w:id="600" w:name="_Toc25416"/>
      <w:bookmarkStart w:id="601" w:name="_Toc11946"/>
      <w:bookmarkStart w:id="602" w:name="_Toc17041"/>
      <w:bookmarkStart w:id="603" w:name="_Toc26353"/>
      <w:r>
        <w:rPr>
          <w:rFonts w:ascii="Times New Roman" w:hAnsi="Times New Roman" w:eastAsia="方正黑体简体" w:cs="Times New Roman"/>
          <w:bCs/>
          <w:sz w:val="32"/>
          <w:szCs w:val="32"/>
        </w:rPr>
        <w:t>第一节  持续促进城乡居民就业增收</w:t>
      </w:r>
      <w:bookmarkEnd w:id="591"/>
      <w:bookmarkEnd w:id="592"/>
      <w:bookmarkEnd w:id="593"/>
      <w:bookmarkEnd w:id="594"/>
      <w:bookmarkEnd w:id="595"/>
      <w:bookmarkEnd w:id="596"/>
      <w:bookmarkEnd w:id="597"/>
      <w:bookmarkEnd w:id="598"/>
      <w:bookmarkEnd w:id="599"/>
      <w:bookmarkEnd w:id="600"/>
      <w:bookmarkEnd w:id="601"/>
      <w:bookmarkEnd w:id="602"/>
      <w:bookmarkEnd w:id="603"/>
    </w:p>
    <w:p>
      <w:pPr>
        <w:widowControl w:val="0"/>
        <w:autoSpaceDE w:val="0"/>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持续实施就业优先战略，构建全方位、多层次的就业增收政策和服务体系，千方百计稳住就业基本盘，强化重点群体就业扶持措施，努力提高城乡居民收入。</w:t>
      </w:r>
    </w:p>
    <w:p>
      <w:pPr>
        <w:widowControl w:val="0"/>
        <w:autoSpaceDE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一、实施更加积极的就业政策。</w:t>
      </w:r>
      <w:r>
        <w:rPr>
          <w:rFonts w:ascii="Times New Roman" w:hAnsi="Times New Roman" w:eastAsia="方正仿宋简体" w:cs="Times New Roman"/>
          <w:bCs/>
          <w:color w:val="0D0D0D"/>
          <w:sz w:val="32"/>
          <w:szCs w:val="32"/>
        </w:rPr>
        <w:t>注重精准施策，坚持援企、稳岗、扩就业、保民生多措并举。实施困难行业和中小微企业帮扶行动，用足用好阶段性降低失业保险费率、工伤保险费率、缓缴社会保险费、金融支持、降低成本等助企纾困政策，支持企业稳定岗位。大力开展以工代训，落实补贴资金，全力支持企业吸纳特殊劳动力。鼓励发展灵活多样的就业方式，支持劳动者通过新兴业态实现多元化就业，符合条件的可享受灵活就业扶持政策。</w:t>
      </w:r>
    </w:p>
    <w:p>
      <w:pPr>
        <w:widowControl w:val="0"/>
        <w:autoSpaceDE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二、健全就业创业服务体系。</w:t>
      </w:r>
      <w:r>
        <w:rPr>
          <w:rFonts w:ascii="Times New Roman" w:hAnsi="Times New Roman" w:eastAsia="方正仿宋简体" w:cs="Times New Roman"/>
          <w:bCs/>
          <w:color w:val="0D0D0D"/>
          <w:sz w:val="32"/>
          <w:szCs w:val="32"/>
        </w:rPr>
        <w:t>开展职业技能提升行动，统筹利用各类职业培训资源，完善面向所有劳动者的职业培训体系，以中高级技能人才培训和重点产业、新兴产业从业人员技能培训为重点，不断改善职业技能培训结构，提高城乡劳动者就业能力和职业转换能力。大力推行现代学徒制，支持创建高技能人才培训基地、产业实训基地、大师工作室等。进一步强化就业援助，深入实施城乡统一的就业失业登记和就业援助扶持制度，统筹解决重点群体就业创业。加大创业引导力度，支持精英创业、返乡创业、草根创业、线上创业，通过免费创业培训、开业指导、项目推介、政策咨询、持续推进创业担保贷款等工作，引导创业带动就业。</w:t>
      </w:r>
    </w:p>
    <w:p>
      <w:pPr>
        <w:widowControl w:val="0"/>
        <w:autoSpaceDE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三、拓宽城乡居民增收渠道。</w:t>
      </w:r>
      <w:r>
        <w:rPr>
          <w:rFonts w:ascii="Times New Roman" w:hAnsi="Times New Roman" w:eastAsia="方正仿宋简体" w:cs="Times New Roman"/>
          <w:bCs/>
          <w:color w:val="0D0D0D"/>
          <w:sz w:val="32"/>
          <w:szCs w:val="32"/>
        </w:rPr>
        <w:t>突出提低、扩中、调高“三轮驱动”，精准实施城镇职工、农民、高级人才、困难群体“四大群体增收计划”，努力缩小城乡、区域、行业间的收入差距，拓宽工资性、经营性、财产性、转移性收入渠道，多措并举促进居民收入持续平稳增长，保持与经济增长基本同步。</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604" w:name="_Toc5799"/>
      <w:bookmarkStart w:id="605" w:name="_Toc28313"/>
      <w:bookmarkStart w:id="606" w:name="_Toc22384"/>
      <w:bookmarkStart w:id="607" w:name="_Toc906"/>
      <w:bookmarkStart w:id="608" w:name="_Toc6670"/>
      <w:bookmarkStart w:id="609" w:name="_Toc11167"/>
      <w:bookmarkStart w:id="610" w:name="_Toc28060"/>
      <w:bookmarkStart w:id="611" w:name="_Toc22606"/>
      <w:bookmarkStart w:id="612" w:name="_Toc24473"/>
      <w:bookmarkStart w:id="613" w:name="_Toc6555"/>
      <w:bookmarkStart w:id="614" w:name="_Toc29233"/>
      <w:bookmarkStart w:id="615" w:name="_Toc13599"/>
      <w:bookmarkStart w:id="616" w:name="_Toc24052"/>
      <w:bookmarkStart w:id="617" w:name="_Toc1614"/>
      <w:bookmarkStart w:id="618" w:name="_Toc4096"/>
      <w:bookmarkStart w:id="619" w:name="_Toc25170"/>
      <w:bookmarkStart w:id="620" w:name="_Toc19119"/>
      <w:bookmarkStart w:id="621" w:name="_Toc68707659"/>
      <w:r>
        <w:rPr>
          <w:rFonts w:ascii="Times New Roman" w:hAnsi="Times New Roman" w:eastAsia="方正黑体简体" w:cs="Times New Roman"/>
          <w:bCs/>
          <w:sz w:val="32"/>
          <w:szCs w:val="32"/>
        </w:rPr>
        <w:t>第二节  办好人民满意的教育</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pPr>
        <w:widowControl w:val="0"/>
        <w:autoSpaceDE w:val="0"/>
        <w:adjustRightInd/>
        <w:snapToGrid/>
        <w:spacing w:line="600" w:lineRule="exact"/>
        <w:ind w:firstLine="640" w:firstLineChars="200"/>
        <w:jc w:val="both"/>
        <w:rPr>
          <w:rFonts w:ascii="Times New Roman" w:hAnsi="Times New Roman" w:eastAsia="方正仿宋简体" w:cs="Times New Roman"/>
          <w:bCs/>
          <w:color w:val="0D0D0D"/>
          <w:sz w:val="32"/>
          <w:szCs w:val="32"/>
        </w:rPr>
      </w:pPr>
      <w:bookmarkStart w:id="622" w:name="_Toc16896"/>
      <w:bookmarkStart w:id="623" w:name="_Toc7950"/>
      <w:bookmarkStart w:id="624" w:name="_Toc3415"/>
      <w:bookmarkStart w:id="625" w:name="_Toc10449"/>
      <w:bookmarkStart w:id="626" w:name="_Toc14489"/>
      <w:bookmarkStart w:id="627" w:name="_Toc1010"/>
      <w:bookmarkStart w:id="628" w:name="_Toc9847"/>
      <w:r>
        <w:rPr>
          <w:rFonts w:hint="eastAsia" w:ascii="Times New Roman" w:hAnsi="Times New Roman" w:eastAsia="方正仿宋简体" w:cs="Times New Roman"/>
          <w:bCs/>
          <w:color w:val="0D0D0D"/>
          <w:sz w:val="32"/>
          <w:szCs w:val="32"/>
          <w:lang w:val="en-US" w:eastAsia="zh-CN"/>
        </w:rPr>
        <w:t>全面贯彻党的教育方针，加快推进新时代教育改革发展，</w:t>
      </w:r>
      <w:r>
        <w:rPr>
          <w:rFonts w:ascii="Times New Roman" w:hAnsi="Times New Roman" w:eastAsia="方正仿宋简体" w:cs="Times New Roman"/>
          <w:bCs/>
          <w:color w:val="0D0D0D"/>
          <w:sz w:val="32"/>
          <w:szCs w:val="32"/>
        </w:rPr>
        <w:t>实施新一轮教育高质量发展超越三年行动，高质量普及15年基础教育，推动优质教育公平可及，</w:t>
      </w:r>
      <w:r>
        <w:rPr>
          <w:rFonts w:hint="eastAsia" w:ascii="Times New Roman" w:hAnsi="Times New Roman" w:eastAsia="方正仿宋简体" w:cs="Times New Roman"/>
          <w:bCs/>
          <w:color w:val="0D0D0D"/>
          <w:sz w:val="32"/>
          <w:szCs w:val="32"/>
          <w:lang w:val="en-US" w:eastAsia="zh-CN"/>
        </w:rPr>
        <w:t>积极构建服务经济社会发展的高质量教育体系，</w:t>
      </w:r>
      <w:r>
        <w:rPr>
          <w:rFonts w:ascii="Times New Roman" w:hAnsi="Times New Roman" w:eastAsia="方正仿宋简体" w:cs="Times New Roman"/>
          <w:bCs/>
          <w:color w:val="0D0D0D"/>
          <w:sz w:val="32"/>
          <w:szCs w:val="32"/>
        </w:rPr>
        <w:t>整体发展水平和综合实力位居泉州领先地位，基本建成全省教育强市和示范区域。</w:t>
      </w:r>
    </w:p>
    <w:p>
      <w:pPr>
        <w:widowControl w:val="0"/>
        <w:adjustRightInd/>
        <w:snapToGrid/>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一、优化教育资源空间布局。</w:t>
      </w:r>
      <w:r>
        <w:rPr>
          <w:rFonts w:ascii="Times New Roman" w:hAnsi="Times New Roman" w:eastAsia="方正仿宋简体" w:cs="Times New Roman"/>
          <w:bCs/>
          <w:color w:val="0D0D0D"/>
          <w:sz w:val="32"/>
          <w:szCs w:val="32"/>
        </w:rPr>
        <w:t>完善教育布局规划动态调整和优化机制，实施《南安市教育布局专项规划（2020—2035年）》，建立“城镇为主、城扩乡优、以城带乡、城乡一体”的教育资源配置新战略，至2025年，全市新改扩建公办幼儿园</w:t>
      </w:r>
      <w:r>
        <w:rPr>
          <w:rFonts w:hint="eastAsia" w:ascii="Times New Roman" w:hAnsi="Times New Roman" w:eastAsia="方正仿宋简体" w:cs="Times New Roman"/>
          <w:bCs/>
          <w:color w:val="0D0D0D"/>
          <w:sz w:val="32"/>
          <w:szCs w:val="32"/>
          <w:lang w:val="en-US" w:eastAsia="zh-CN"/>
        </w:rPr>
        <w:t>24</w:t>
      </w:r>
      <w:r>
        <w:rPr>
          <w:rFonts w:ascii="Times New Roman" w:hAnsi="Times New Roman" w:eastAsia="方正仿宋简体" w:cs="Times New Roman"/>
          <w:bCs/>
          <w:color w:val="0D0D0D"/>
          <w:sz w:val="32"/>
          <w:szCs w:val="32"/>
        </w:rPr>
        <w:t>所、小学</w:t>
      </w:r>
      <w:r>
        <w:rPr>
          <w:rFonts w:hint="eastAsia" w:ascii="Times New Roman" w:hAnsi="Times New Roman" w:eastAsia="方正仿宋简体" w:cs="Times New Roman"/>
          <w:bCs/>
          <w:color w:val="0D0D0D"/>
          <w:sz w:val="32"/>
          <w:szCs w:val="32"/>
          <w:lang w:val="en-US" w:eastAsia="zh-CN"/>
        </w:rPr>
        <w:t>78</w:t>
      </w:r>
      <w:r>
        <w:rPr>
          <w:rFonts w:ascii="Times New Roman" w:hAnsi="Times New Roman" w:eastAsia="方正仿宋简体" w:cs="Times New Roman"/>
          <w:bCs/>
          <w:color w:val="0D0D0D"/>
          <w:sz w:val="32"/>
          <w:szCs w:val="32"/>
        </w:rPr>
        <w:t>所、中学</w:t>
      </w:r>
      <w:r>
        <w:rPr>
          <w:rFonts w:hint="eastAsia" w:ascii="Times New Roman" w:hAnsi="Times New Roman" w:eastAsia="方正仿宋简体" w:cs="Times New Roman"/>
          <w:bCs/>
          <w:color w:val="0D0D0D"/>
          <w:sz w:val="32"/>
          <w:szCs w:val="32"/>
          <w:lang w:val="en-US" w:eastAsia="zh-CN"/>
        </w:rPr>
        <w:t>38</w:t>
      </w:r>
      <w:r>
        <w:rPr>
          <w:rFonts w:ascii="Times New Roman" w:hAnsi="Times New Roman" w:eastAsia="方正仿宋简体" w:cs="Times New Roman"/>
          <w:bCs/>
          <w:color w:val="0D0D0D"/>
          <w:sz w:val="32"/>
          <w:szCs w:val="32"/>
        </w:rPr>
        <w:t>所，新增学位</w:t>
      </w:r>
      <w:r>
        <w:rPr>
          <w:rFonts w:hint="eastAsia" w:ascii="Times New Roman" w:hAnsi="Times New Roman" w:eastAsia="方正仿宋简体" w:cs="Times New Roman"/>
          <w:bCs/>
          <w:color w:val="0D0D0D"/>
          <w:sz w:val="32"/>
          <w:szCs w:val="32"/>
          <w:lang w:val="en-US" w:eastAsia="zh-CN"/>
        </w:rPr>
        <w:t>8.43</w:t>
      </w:r>
      <w:r>
        <w:rPr>
          <w:rFonts w:ascii="Times New Roman" w:hAnsi="Times New Roman" w:eastAsia="方正仿宋简体" w:cs="Times New Roman"/>
          <w:bCs/>
          <w:color w:val="0D0D0D"/>
          <w:sz w:val="32"/>
          <w:szCs w:val="32"/>
        </w:rPr>
        <w:t>万个。实施中心城区教育资源优质扩容计划，加大市区市直学校扩容力度；实施南翼新城教育资源整合建设计划，推动沿海三镇教育发展水平与城镇化进程相适应；实施北部</w:t>
      </w:r>
      <w:r>
        <w:rPr>
          <w:rFonts w:hint="eastAsia" w:ascii="Times New Roman" w:hAnsi="Times New Roman" w:eastAsia="方正仿宋简体" w:cs="Times New Roman"/>
          <w:bCs/>
          <w:color w:val="0D0D0D"/>
          <w:sz w:val="32"/>
          <w:szCs w:val="32"/>
        </w:rPr>
        <w:t>新城</w:t>
      </w:r>
      <w:r>
        <w:rPr>
          <w:rFonts w:ascii="Times New Roman" w:hAnsi="Times New Roman" w:eastAsia="方正仿宋简体" w:cs="Times New Roman"/>
          <w:bCs/>
          <w:color w:val="0D0D0D"/>
          <w:sz w:val="32"/>
          <w:szCs w:val="32"/>
        </w:rPr>
        <w:t>教育资源特色提升计划，打造以光前学村、昌财学村为龙头的教育高质量发展区域。</w:t>
      </w:r>
    </w:p>
    <w:p>
      <w:pPr>
        <w:widowControl w:val="0"/>
        <w:adjustRightInd/>
        <w:snapToGrid/>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二、落实立德树人根本任务。</w:t>
      </w:r>
      <w:r>
        <w:rPr>
          <w:rFonts w:ascii="Times New Roman" w:hAnsi="Times New Roman" w:eastAsia="方正仿宋简体" w:cs="Times New Roman"/>
          <w:bCs/>
          <w:color w:val="0D0D0D"/>
          <w:sz w:val="32"/>
          <w:szCs w:val="32"/>
        </w:rPr>
        <w:t>深化学校思想政治理论课改革创新，推动习近平新时代中国特色社会主义思想进教材、进课堂、进头脑</w:t>
      </w:r>
      <w:r>
        <w:rPr>
          <w:rFonts w:hint="eastAsia" w:ascii="Times New Roman" w:hAnsi="Times New Roman" w:eastAsia="方正仿宋简体" w:cs="Times New Roman"/>
          <w:bCs/>
          <w:color w:val="0D0D0D"/>
          <w:sz w:val="32"/>
          <w:szCs w:val="32"/>
          <w:lang w:eastAsia="zh-CN"/>
        </w:rPr>
        <w:t>，</w:t>
      </w:r>
      <w:r>
        <w:rPr>
          <w:rFonts w:hint="eastAsia" w:ascii="Times New Roman" w:hAnsi="Times New Roman" w:eastAsia="方正仿宋简体" w:cs="Times New Roman"/>
          <w:bCs/>
          <w:color w:val="0D0D0D"/>
          <w:sz w:val="32"/>
          <w:szCs w:val="32"/>
          <w:lang w:val="en-US" w:eastAsia="zh-CN"/>
        </w:rPr>
        <w:t>培根铸魂、启智润心</w:t>
      </w:r>
      <w:r>
        <w:rPr>
          <w:rFonts w:ascii="Times New Roman" w:hAnsi="Times New Roman" w:eastAsia="方正仿宋简体" w:cs="Times New Roman"/>
          <w:bCs/>
          <w:color w:val="0D0D0D"/>
          <w:sz w:val="32"/>
          <w:szCs w:val="32"/>
        </w:rPr>
        <w:t>。坚持德智体美劳“五育并举”，完善综合素质评价体系，完善德育评价，强化体育评价，改进美育评价，加强劳动教育评价，重视青少年身体素质和心理健康教育。健全学校家庭社会协同育人机制，促进学生德智体美劳全面发展。</w:t>
      </w:r>
    </w:p>
    <w:p>
      <w:pPr>
        <w:widowControl w:val="0"/>
        <w:adjustRightInd/>
        <w:snapToGrid/>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三、推进基础教育优质发展。</w:t>
      </w:r>
      <w:r>
        <w:rPr>
          <w:rFonts w:ascii="Times New Roman" w:hAnsi="Times New Roman" w:eastAsia="方正仿宋简体" w:cs="Times New Roman"/>
          <w:bCs/>
          <w:color w:val="0D0D0D"/>
          <w:sz w:val="32"/>
          <w:szCs w:val="32"/>
        </w:rPr>
        <w:t>推动“总园+”办学体制改革，形成集团化发展格局，通过新建、改扩建、多元主体举办、盘活资源，多渠道扩大普惠性学前教育资源供给</w:t>
      </w:r>
      <w:r>
        <w:rPr>
          <w:rFonts w:hint="eastAsia" w:ascii="Times New Roman" w:hAnsi="Times New Roman" w:eastAsia="方正仿宋简体" w:cs="Times New Roman"/>
          <w:bCs/>
          <w:color w:val="0D0D0D"/>
          <w:sz w:val="32"/>
          <w:szCs w:val="32"/>
        </w:rPr>
        <w:t>，学前教育公办率巩固在50%以上，普惠率巩固在9</w:t>
      </w:r>
      <w:r>
        <w:rPr>
          <w:rFonts w:hint="eastAsia" w:ascii="Times New Roman" w:hAnsi="Times New Roman" w:eastAsia="方正仿宋简体" w:cs="Times New Roman"/>
          <w:bCs/>
          <w:color w:val="0D0D0D"/>
          <w:sz w:val="32"/>
          <w:szCs w:val="32"/>
          <w:lang w:val="en-US" w:eastAsia="zh-CN"/>
        </w:rPr>
        <w:t>0</w:t>
      </w:r>
      <w:r>
        <w:rPr>
          <w:rFonts w:hint="eastAsia" w:ascii="Times New Roman" w:hAnsi="Times New Roman" w:eastAsia="方正仿宋简体" w:cs="Times New Roman"/>
          <w:bCs/>
          <w:color w:val="0D0D0D"/>
          <w:sz w:val="32"/>
          <w:szCs w:val="32"/>
        </w:rPr>
        <w:t>%以上。</w:t>
      </w:r>
      <w:r>
        <w:rPr>
          <w:rFonts w:ascii="Times New Roman" w:hAnsi="Times New Roman" w:eastAsia="方正仿宋简体" w:cs="Times New Roman"/>
          <w:bCs/>
          <w:color w:val="0D0D0D"/>
          <w:sz w:val="32"/>
          <w:szCs w:val="32"/>
        </w:rPr>
        <w:t>深入实施以强均衡、强常规、强素质为重点的小学“强基”工程，以壮弱项、壮教改、壮管理为重点的初中“壮腰”工程，力争率先通过“义务教育优质均衡发展县”评估认定。稳妥推进高考综合改革，科学实施分类分层教学，探索建立优质高中孵化、创建、评估和支持保障，推动高中学校组团化、集群化发展，形成一批课程特色鲜明、布局相对合理、充分满足多样化学习需求的特色高中。深入开展特殊教育提升工程，三类残疾儿童少年义务教育入学率达96%以上。支持民办教育规范健康发展。</w:t>
      </w:r>
    </w:p>
    <w:p>
      <w:pPr>
        <w:widowControl w:val="0"/>
        <w:adjustRightInd/>
        <w:snapToGrid/>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四、加快发展现代职业教育。</w:t>
      </w:r>
      <w:r>
        <w:rPr>
          <w:rFonts w:ascii="Times New Roman" w:hAnsi="Times New Roman" w:eastAsia="方正仿宋简体" w:cs="Times New Roman"/>
          <w:bCs/>
          <w:color w:val="0D0D0D"/>
          <w:sz w:val="32"/>
          <w:szCs w:val="32"/>
        </w:rPr>
        <w:t>实施《</w:t>
      </w:r>
      <w:r>
        <w:rPr>
          <w:rFonts w:hint="eastAsia" w:ascii="Times New Roman" w:hAnsi="Times New Roman" w:eastAsia="方正仿宋简体" w:cs="Times New Roman"/>
          <w:bCs/>
          <w:color w:val="0D0D0D"/>
          <w:sz w:val="32"/>
          <w:szCs w:val="32"/>
        </w:rPr>
        <w:t>南安市中等职业教育专业发展与建设规划（202</w:t>
      </w:r>
      <w:r>
        <w:rPr>
          <w:rFonts w:hint="eastAsia" w:ascii="Times New Roman" w:hAnsi="Times New Roman" w:eastAsia="方正仿宋简体" w:cs="Times New Roman"/>
          <w:bCs/>
          <w:color w:val="0D0D0D"/>
          <w:sz w:val="32"/>
          <w:szCs w:val="32"/>
          <w:lang w:val="en-US" w:eastAsia="zh-CN"/>
        </w:rPr>
        <w:t>1</w:t>
      </w:r>
      <w:r>
        <w:rPr>
          <w:rFonts w:hint="eastAsia" w:ascii="Times New Roman" w:hAnsi="Times New Roman" w:eastAsia="方正仿宋简体" w:cs="Times New Roman"/>
          <w:bCs/>
          <w:color w:val="0D0D0D"/>
          <w:sz w:val="32"/>
          <w:szCs w:val="32"/>
        </w:rPr>
        <w:t>-2025）</w:t>
      </w:r>
      <w:r>
        <w:rPr>
          <w:rFonts w:ascii="Times New Roman" w:hAnsi="Times New Roman" w:eastAsia="方正仿宋简体" w:cs="Times New Roman"/>
          <w:bCs/>
          <w:color w:val="0D0D0D"/>
          <w:sz w:val="32"/>
          <w:szCs w:val="32"/>
        </w:rPr>
        <w:t>》</w:t>
      </w:r>
      <w:r>
        <w:rPr>
          <w:rFonts w:hint="eastAsia" w:ascii="Times New Roman" w:hAnsi="Times New Roman" w:eastAsia="方正仿宋简体" w:cs="Times New Roman"/>
          <w:bCs/>
          <w:color w:val="0D0D0D"/>
          <w:sz w:val="32"/>
          <w:szCs w:val="32"/>
        </w:rPr>
        <w:t>，</w:t>
      </w:r>
      <w:r>
        <w:rPr>
          <w:rFonts w:ascii="Times New Roman" w:hAnsi="Times New Roman" w:eastAsia="方正仿宋简体" w:cs="Times New Roman"/>
          <w:bCs/>
          <w:color w:val="0D0D0D"/>
          <w:sz w:val="32"/>
          <w:szCs w:val="32"/>
        </w:rPr>
        <w:t>强化职业教育产教融合建设，规划建设产教融合园区，鼓励行业协会、领军企业设立泛家居、石材、机械等产业学院、企业学院，培育一批产教融合实训基地、公共实训基地。鼓励企业参与职业教育，支持各类职业</w:t>
      </w:r>
      <w:r>
        <w:rPr>
          <w:rFonts w:hint="eastAsia" w:ascii="Times New Roman" w:hAnsi="Times New Roman" w:eastAsia="方正仿宋简体" w:cs="Times New Roman"/>
          <w:bCs/>
          <w:color w:val="0D0D0D"/>
          <w:sz w:val="32"/>
          <w:szCs w:val="32"/>
        </w:rPr>
        <w:t>学</w:t>
      </w:r>
      <w:r>
        <w:rPr>
          <w:rFonts w:ascii="Times New Roman" w:hAnsi="Times New Roman" w:eastAsia="方正仿宋简体" w:cs="Times New Roman"/>
          <w:bCs/>
          <w:color w:val="0D0D0D"/>
          <w:sz w:val="32"/>
          <w:szCs w:val="32"/>
        </w:rPr>
        <w:t>校面向社会开放教育培训资源，办好“现代学徒制”试点班。支持公办中职学校建设福建省高水平职业院校和高水平专业，促进中等职业教育与高等职业教育无缝衔接</w:t>
      </w:r>
      <w:r>
        <w:rPr>
          <w:rFonts w:hint="eastAsia" w:ascii="Times New Roman" w:hAnsi="Times New Roman" w:eastAsia="方正仿宋简体" w:cs="Times New Roman"/>
          <w:bCs/>
          <w:color w:val="0D0D0D"/>
          <w:sz w:val="32"/>
          <w:szCs w:val="32"/>
        </w:rPr>
        <w:t>，支持中等职业学校扩容建设。</w:t>
      </w:r>
    </w:p>
    <w:p>
      <w:pPr>
        <w:widowControl w:val="0"/>
        <w:adjustRightInd/>
        <w:snapToGrid/>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五、创新高等教育集群发展。</w:t>
      </w:r>
      <w:r>
        <w:rPr>
          <w:rFonts w:ascii="Times New Roman" w:hAnsi="Times New Roman" w:eastAsia="方正仿宋简体" w:cs="Times New Roman"/>
          <w:bCs/>
          <w:color w:val="0D0D0D"/>
          <w:sz w:val="32"/>
          <w:szCs w:val="32"/>
        </w:rPr>
        <w:t>嫁接高端高校资源联合创办大学，推进罗东大学城规划建设，推动上海大学研究院、华侨大学产教融合人才培养基地落地，办好工程职业技术学院，支持闽南科技学院、泉州师范学院诗山校区等在南高校发展，加强协同创新、产学研联盟建设，提升南安高等教育的人才培养能力、知识创新能力和社会贡献能力</w:t>
      </w:r>
      <w:r>
        <w:rPr>
          <w:rFonts w:ascii="Times New Roman" w:hAnsi="Times New Roman" w:eastAsia="方正仿宋简体" w:cs="Times New Roman"/>
          <w:bCs/>
          <w:sz w:val="32"/>
          <w:szCs w:val="32"/>
        </w:rPr>
        <w:t>。</w:t>
      </w:r>
    </w:p>
    <w:p>
      <w:pPr>
        <w:widowControl w:val="0"/>
        <w:adjustRightInd/>
        <w:snapToGrid/>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六、健全完善终身教育体系。</w:t>
      </w:r>
      <w:r>
        <w:rPr>
          <w:rFonts w:ascii="Times New Roman" w:hAnsi="Times New Roman" w:eastAsia="方正仿宋简体" w:cs="Times New Roman"/>
          <w:bCs/>
          <w:color w:val="0D0D0D"/>
          <w:sz w:val="32"/>
          <w:szCs w:val="32"/>
        </w:rPr>
        <w:t>开发以城市记忆和文化传承为主的市民游学项目。营造全民终身教育良好氛围，完善市民公共学习平台</w:t>
      </w:r>
      <w:r>
        <w:rPr>
          <w:rFonts w:hint="eastAsia" w:ascii="Times New Roman" w:hAnsi="Times New Roman" w:eastAsia="方正仿宋简体" w:cs="Times New Roman"/>
          <w:bCs/>
          <w:color w:val="0D0D0D"/>
          <w:sz w:val="32"/>
          <w:szCs w:val="32"/>
        </w:rPr>
        <w:t>，</w:t>
      </w:r>
      <w:r>
        <w:rPr>
          <w:rFonts w:ascii="Times New Roman" w:hAnsi="Times New Roman" w:eastAsia="方正仿宋简体" w:cs="Times New Roman"/>
          <w:bCs/>
          <w:color w:val="0D0D0D"/>
          <w:sz w:val="32"/>
          <w:szCs w:val="32"/>
        </w:rPr>
        <w:t>实施“求学圆梦行动”计划，推广互联网线上教育。开展城乡社区教育，创建一批集教学、培训、体验为一体的社区教育示范基地，培育一批贴近实际、贴近生活、贴近群众的社区教育特色品牌，打造一批省级终身教育特色品牌。</w:t>
      </w:r>
    </w:p>
    <w:p>
      <w:pPr>
        <w:widowControl w:val="0"/>
        <w:adjustRightInd/>
        <w:snapToGrid/>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七、打造高素质师资队伍。</w:t>
      </w:r>
      <w:r>
        <w:rPr>
          <w:rFonts w:ascii="Times New Roman" w:hAnsi="Times New Roman" w:eastAsia="方正仿宋简体" w:cs="Times New Roman"/>
          <w:bCs/>
          <w:color w:val="0D0D0D"/>
          <w:sz w:val="32"/>
          <w:szCs w:val="32"/>
        </w:rPr>
        <w:t>改革教师评价机制，探索建立中小学教师教学述评制度。深化师德师风建设长效机制，</w:t>
      </w:r>
      <w:r>
        <w:rPr>
          <w:rFonts w:hint="eastAsia" w:ascii="Times New Roman" w:hAnsi="Times New Roman" w:eastAsia="方正仿宋简体" w:cs="Times New Roman"/>
          <w:bCs/>
          <w:color w:val="0D0D0D"/>
          <w:sz w:val="32"/>
          <w:szCs w:val="32"/>
          <w:lang w:val="en-US" w:eastAsia="zh-CN"/>
        </w:rPr>
        <w:t>实行师德问题零容忍，</w:t>
      </w:r>
      <w:r>
        <w:rPr>
          <w:rFonts w:ascii="Times New Roman" w:hAnsi="Times New Roman" w:eastAsia="方正仿宋简体" w:cs="Times New Roman"/>
          <w:bCs/>
          <w:color w:val="0D0D0D"/>
          <w:sz w:val="32"/>
          <w:szCs w:val="32"/>
        </w:rPr>
        <w:t>建立教职工入职查询和限制从业制度。探索开放式校长选拔任用，创新校长履职管理、绩效考核、履职能力测评等机制。加大新任教师招聘力度，</w:t>
      </w:r>
      <w:r>
        <w:rPr>
          <w:rFonts w:hint="eastAsia" w:ascii="Times New Roman" w:hAnsi="Times New Roman" w:eastAsia="方正仿宋简体" w:cs="Times New Roman"/>
          <w:bCs/>
          <w:color w:val="0D0D0D"/>
          <w:sz w:val="32"/>
          <w:szCs w:val="32"/>
        </w:rPr>
        <w:t>落实《南安市优秀教育人才引进与奖励实施办法》，</w:t>
      </w:r>
      <w:r>
        <w:rPr>
          <w:rFonts w:ascii="Times New Roman" w:hAnsi="Times New Roman" w:eastAsia="方正仿宋简体" w:cs="Times New Roman"/>
          <w:bCs/>
          <w:color w:val="0D0D0D"/>
          <w:sz w:val="32"/>
          <w:szCs w:val="32"/>
        </w:rPr>
        <w:t>探索备案制、同工同酬等方式完善合同教师补充机制。建立教师编制“周转池”，稳妥推进义务教育教师“县管校聘”管理体制改革。探索职称评聘和绩效考核积分制管理，健全岗位聘任竞争机制。加强新时代乡村教师队伍建设，深化“三二制”复合型城乡教师研修模式，着力打造具有南安特色的网格化教研发展共同体。壮大名优群体，培养一批在泉州乃至全省有较高知名度的名校长、名教师、名班主任。</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629" w:name="_Toc2982"/>
      <w:bookmarkStart w:id="630" w:name="_Toc5522"/>
      <w:bookmarkStart w:id="631" w:name="_Toc12391"/>
      <w:bookmarkStart w:id="632" w:name="_Toc27318"/>
      <w:bookmarkStart w:id="633" w:name="_Toc27974"/>
      <w:bookmarkStart w:id="634" w:name="_Toc2366"/>
      <w:bookmarkStart w:id="635" w:name="_Toc29519"/>
      <w:bookmarkStart w:id="636" w:name="_Toc16233"/>
      <w:bookmarkStart w:id="637" w:name="_Toc14901"/>
      <w:bookmarkStart w:id="638" w:name="_Toc68707660"/>
      <w:bookmarkStart w:id="639" w:name="_Toc12801"/>
      <w:bookmarkStart w:id="640" w:name="_Toc15734"/>
      <w:r>
        <w:rPr>
          <w:rFonts w:ascii="Times New Roman" w:hAnsi="Times New Roman" w:eastAsia="方正黑体简体" w:cs="Times New Roman"/>
          <w:bCs/>
          <w:sz w:val="32"/>
          <w:szCs w:val="32"/>
        </w:rPr>
        <w:t>第三节  全方位全周期保障人民健康</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pPr>
        <w:widowControl w:val="0"/>
        <w:adjustRightInd/>
        <w:snapToGrid/>
        <w:spacing w:line="600" w:lineRule="exact"/>
        <w:ind w:firstLine="640" w:firstLineChars="200"/>
        <w:jc w:val="both"/>
        <w:rPr>
          <w:rFonts w:ascii="Times New Roman" w:hAnsi="Times New Roman" w:eastAsia="方正仿宋简体" w:cs="Times New Roman"/>
          <w:bCs/>
          <w:color w:val="0D0D0D"/>
          <w:sz w:val="32"/>
          <w:szCs w:val="32"/>
        </w:rPr>
      </w:pPr>
      <w:r>
        <w:rPr>
          <w:rFonts w:ascii="Times New Roman" w:hAnsi="Times New Roman" w:eastAsia="方正仿宋简体" w:cs="Times New Roman"/>
          <w:bCs/>
          <w:color w:val="0D0D0D"/>
          <w:sz w:val="32"/>
          <w:szCs w:val="32"/>
        </w:rPr>
        <w:t>全面推进健康南安</w:t>
      </w:r>
      <w:r>
        <w:rPr>
          <w:rFonts w:hint="eastAsia" w:ascii="Times New Roman" w:hAnsi="Times New Roman" w:eastAsia="方正仿宋简体" w:cs="Times New Roman"/>
          <w:bCs/>
          <w:color w:val="0D0D0D"/>
          <w:sz w:val="32"/>
          <w:szCs w:val="32"/>
          <w:lang w:val="en-US" w:eastAsia="zh-CN"/>
        </w:rPr>
        <w:t>建设</w:t>
      </w:r>
      <w:r>
        <w:rPr>
          <w:rFonts w:ascii="Times New Roman" w:hAnsi="Times New Roman" w:eastAsia="方正仿宋简体" w:cs="Times New Roman"/>
          <w:bCs/>
          <w:color w:val="0D0D0D"/>
          <w:sz w:val="32"/>
          <w:szCs w:val="32"/>
        </w:rPr>
        <w:t>，重点提升优质医疗供给和基层医疗服务水平，完善医疗卫生服务体系、公共卫生服务管理体系、重大疫情和疾病预防控制体系，至2025年，每千人拥有医疗机构床位数达到泉州市下达指标，每千人老人拥有养老床位数达到40张。</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一、实施优质医疗资源扩容工程。</w:t>
      </w:r>
      <w:r>
        <w:rPr>
          <w:rFonts w:ascii="Times New Roman" w:hAnsi="Times New Roman" w:eastAsia="方正仿宋简体" w:cs="Times New Roman"/>
          <w:bCs/>
          <w:color w:val="0D0D0D"/>
          <w:sz w:val="32"/>
          <w:szCs w:val="32"/>
        </w:rPr>
        <w:t>开展新一轮区域卫生规划，合理配置医疗卫生资源，高位嫁接上海大学等医学院校及省市级医疗卫生单位高端医疗资源，建成上海大学附属南安医院、成功医院新院区、童昌医院，规划建设新疾控中心等医疗机构，增加精神卫生、康复、老年、产科、儿科等医疗资源配置，补齐乡镇卫生院和村卫生所缺口，推动医疗资源向基层延伸。打造由1个总医院、6个片区诊疗中心和23家基层医疗卫生机构组成的紧密型医疗卫生共同体，以“互联网+”模式带动医共体延伸覆盖至市镇村医疗服务机构，促进医共体检查检验结果互认共享，推行家庭医生签约服务。注重补齐偏远山区医疗短板，加强基层卫生院和卫生所建设，全面提升基层医疗服务能力。实施市中医院医疗服务能力提升工程，加强市中医院及基层中医馆内涵建设，培育中医“名医、名科、名院”，开展中医药治未病和康复延时服务，促进中医药传承创新发展。探索建立智慧医疗信息网络平台，提供安全、便利、优质的诊疗服务。完善全科医生培养与使用激励机制，培养一批合格的全科医生，至2025年，每万名常住人口拥有</w:t>
      </w:r>
      <w:r>
        <w:rPr>
          <w:rFonts w:hint="eastAsia" w:ascii="Times New Roman" w:hAnsi="Times New Roman" w:eastAsia="方正仿宋简体" w:cs="Times New Roman"/>
          <w:bCs/>
          <w:color w:val="0D0D0D"/>
          <w:sz w:val="32"/>
          <w:szCs w:val="32"/>
          <w:lang w:val="en-US" w:eastAsia="zh-CN"/>
        </w:rPr>
        <w:t>2-3</w:t>
      </w:r>
      <w:r>
        <w:rPr>
          <w:rFonts w:ascii="Times New Roman" w:hAnsi="Times New Roman" w:eastAsia="方正仿宋简体" w:cs="Times New Roman"/>
          <w:bCs/>
          <w:color w:val="0D0D0D"/>
          <w:sz w:val="32"/>
          <w:szCs w:val="32"/>
        </w:rPr>
        <w:t>名以上合格的全科医生。</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二、完善重大疫情和疾病预防控制体系。</w:t>
      </w:r>
      <w:r>
        <w:rPr>
          <w:rFonts w:ascii="Times New Roman" w:hAnsi="Times New Roman" w:eastAsia="方正仿宋简体" w:cs="Times New Roman"/>
          <w:bCs/>
          <w:color w:val="0D0D0D"/>
          <w:sz w:val="32"/>
          <w:szCs w:val="32"/>
        </w:rPr>
        <w:t>健全公共卫生应急管理和重大疫情救治体系，推进市疾病预防控制中心迁建，建立公共卫生风险应急管理信息系统，完善卫生防护物资储备机制，强化医防融合，结合紧密型医共体建设，完善镇村传染病防控网络，探索疾控机构融入区域健康管理体系，提升联合防控能力。</w:t>
      </w:r>
    </w:p>
    <w:p>
      <w:pPr>
        <w:widowControl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三、提升全民健康素质。</w:t>
      </w:r>
      <w:r>
        <w:rPr>
          <w:rFonts w:ascii="Times New Roman" w:hAnsi="Times New Roman" w:eastAsia="方正仿宋简体" w:cs="Times New Roman"/>
          <w:bCs/>
          <w:color w:val="0D0D0D"/>
          <w:sz w:val="32"/>
          <w:szCs w:val="32"/>
        </w:rPr>
        <w:t>深入开展爱国卫生运动，促进全民养成文明健康生活方式。建设体育强市，策划全国性品牌赛事，促进全民健身、竞技体育和体育产业融合发展。推进全民健身计划，以创建省级全民健身模范县（市）、青少年校园足球试点县、社会足球场地设施建设重点推进城市为核心，完善全民健身服务体系，策划新建市体育场，推进社区运动场、足球场建设，推动“以治病为中心”向“以健康为中心”转变。到2025年，新建1座体育中心，国家篮球训练基地投入使用，人均体育面积达到2.25平方，经常参加体育锻炼人数占总人数（口）的42%以上。</w:t>
      </w:r>
    </w:p>
    <w:p>
      <w:pPr>
        <w:widowControl w:val="0"/>
        <w:autoSpaceDE w:val="0"/>
        <w:spacing w:line="600" w:lineRule="exact"/>
        <w:ind w:firstLine="643" w:firstLineChars="200"/>
        <w:jc w:val="both"/>
        <w:rPr>
          <w:rFonts w:ascii="Times New Roman" w:hAnsi="Times New Roman" w:eastAsia="方正仿宋简体" w:cs="Times New Roman"/>
          <w:bCs/>
          <w:color w:val="0D0D0D"/>
          <w:sz w:val="32"/>
          <w:szCs w:val="32"/>
        </w:rPr>
      </w:pPr>
      <w:r>
        <w:rPr>
          <w:rFonts w:ascii="Times New Roman" w:hAnsi="Times New Roman" w:eastAsia="方正楷体简体" w:cs="Times New Roman"/>
          <w:b/>
          <w:sz w:val="32"/>
          <w:szCs w:val="32"/>
        </w:rPr>
        <w:t>四、建立健全养老服务体系。</w:t>
      </w:r>
      <w:r>
        <w:rPr>
          <w:rFonts w:ascii="Times New Roman" w:hAnsi="Times New Roman" w:eastAsia="方正仿宋简体" w:cs="Times New Roman"/>
          <w:bCs/>
          <w:color w:val="0D0D0D"/>
          <w:sz w:val="32"/>
          <w:szCs w:val="32"/>
        </w:rPr>
        <w:t>实施养老服务业“八大工程”，推进养老供给侧结构性改革，加快建设居家社区机构相协调、医养康养相结合的养老服务体系。深化医养融合，创新医疗卫生机构与养老机构合作机制，建立双向转诊绿色通道。</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641" w:name="_Toc13791"/>
      <w:bookmarkStart w:id="642" w:name="_Toc20434"/>
      <w:bookmarkStart w:id="643" w:name="_Toc16884"/>
      <w:bookmarkStart w:id="644" w:name="_Toc27125"/>
      <w:bookmarkStart w:id="645" w:name="_Toc3144"/>
      <w:bookmarkStart w:id="646" w:name="_Toc22135"/>
      <w:bookmarkStart w:id="647" w:name="_Toc17433"/>
      <w:bookmarkStart w:id="648" w:name="_Toc68707661"/>
      <w:bookmarkStart w:id="649" w:name="_Toc21963"/>
      <w:bookmarkStart w:id="650" w:name="_Toc21514"/>
      <w:bookmarkStart w:id="651" w:name="_Toc10503"/>
      <w:bookmarkStart w:id="652" w:name="_Toc2660"/>
      <w:bookmarkStart w:id="653" w:name="_Toc13168"/>
      <w:bookmarkStart w:id="654" w:name="_Toc11786"/>
      <w:bookmarkStart w:id="655" w:name="_Toc27948"/>
      <w:bookmarkStart w:id="656" w:name="_Toc3955"/>
      <w:bookmarkStart w:id="657" w:name="_Toc26079"/>
      <w:bookmarkStart w:id="658" w:name="_Toc17711"/>
      <w:bookmarkStart w:id="659" w:name="_Toc27501"/>
      <w:r>
        <w:rPr>
          <w:rFonts w:ascii="Times New Roman" w:hAnsi="Times New Roman" w:eastAsia="方正黑体简体" w:cs="Times New Roman"/>
          <w:bCs/>
          <w:sz w:val="32"/>
          <w:szCs w:val="32"/>
        </w:rPr>
        <w:t>第四节  织密兜牢基本民生“网底”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widowControl w:val="0"/>
        <w:autoSpaceDE w:val="0"/>
        <w:spacing w:line="600" w:lineRule="exact"/>
        <w:ind w:firstLine="640" w:firstLineChars="200"/>
        <w:jc w:val="both"/>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紧扣“兜底线、织密网、建机制”总体要求，构建覆盖全民、统筹城乡、权责清晰、保障适度、可持续的多层次社会保障体系。</w:t>
      </w:r>
    </w:p>
    <w:p>
      <w:pPr>
        <w:widowControl w:val="0"/>
        <w:autoSpaceDE w:val="0"/>
        <w:spacing w:line="600" w:lineRule="exact"/>
        <w:ind w:firstLine="643" w:firstLineChars="200"/>
        <w:jc w:val="both"/>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一、构建“五位一体”大社保体系。</w:t>
      </w:r>
      <w:r>
        <w:rPr>
          <w:rFonts w:ascii="Times New Roman" w:hAnsi="Times New Roman" w:eastAsia="方正仿宋简体" w:cs="Times New Roman"/>
          <w:bCs/>
          <w:sz w:val="32"/>
          <w:szCs w:val="32"/>
        </w:rPr>
        <w:t>深入实施全民参保计划，完善“五险统征”机制，推进城乡居民基本医疗保险“六统一”，打造就业、保险、福利、救助、慈善“五位一体”、覆盖全民的社会保障体系。构建新型社会救助与福利体系，建立社会救助综合施救平台，鼓励社会力量参与，发展公益慈善事业，加强困难群体的救助保障。</w:t>
      </w:r>
    </w:p>
    <w:p>
      <w:pPr>
        <w:widowControl w:val="0"/>
        <w:autoSpaceDE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二、完善城乡住房保障体系。</w:t>
      </w:r>
      <w:r>
        <w:rPr>
          <w:rFonts w:ascii="Times New Roman" w:hAnsi="Times New Roman" w:eastAsia="方正仿宋简体" w:cs="Times New Roman"/>
          <w:bCs/>
          <w:sz w:val="32"/>
          <w:szCs w:val="32"/>
        </w:rPr>
        <w:t>构建健康可持续发展的住房保障体系，推进保障性安居工程建设，加快城市更新、农村困难家庭危房改造步伐，实施实物配租与租赁补贴并举，推动公共租赁住房、社会化租赁住房、安居型商品房保障方式动态调整、适时转化，形成“低端有保障、中端有支持、高端有市场”的供给体系。</w:t>
      </w:r>
    </w:p>
    <w:p>
      <w:pPr>
        <w:widowControl w:val="0"/>
        <w:autoSpaceDE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三、促进妇女儿童全面发展。</w:t>
      </w:r>
      <w:r>
        <w:rPr>
          <w:rFonts w:ascii="Times New Roman" w:hAnsi="Times New Roman" w:eastAsia="方正仿宋简体" w:cs="Times New Roman"/>
          <w:bCs/>
          <w:sz w:val="32"/>
          <w:szCs w:val="32"/>
          <w:shd w:val="clear" w:color="auto" w:fill="FFFFFF"/>
        </w:rPr>
        <w:t>实施妇女发展纲要，健全性别平等评估咨询机制，完善促进妇女创业就业政策，加强反家庭暴力</w:t>
      </w:r>
      <w:r>
        <w:rPr>
          <w:rFonts w:hint="eastAsia" w:ascii="Times New Roman" w:hAnsi="Times New Roman" w:eastAsia="方正仿宋简体" w:cs="Times New Roman"/>
          <w:bCs/>
          <w:sz w:val="32"/>
          <w:szCs w:val="32"/>
          <w:shd w:val="clear" w:color="auto" w:fill="FFFFFF"/>
          <w:lang w:eastAsia="zh-CN"/>
        </w:rPr>
        <w:t>工作</w:t>
      </w:r>
      <w:r>
        <w:rPr>
          <w:rFonts w:ascii="Times New Roman" w:hAnsi="Times New Roman" w:eastAsia="方正仿宋简体" w:cs="Times New Roman"/>
          <w:bCs/>
          <w:sz w:val="32"/>
          <w:szCs w:val="32"/>
        </w:rPr>
        <w:t>常态化</w:t>
      </w:r>
      <w:r>
        <w:rPr>
          <w:rFonts w:ascii="Times New Roman" w:hAnsi="Times New Roman" w:eastAsia="方正仿宋简体" w:cs="Times New Roman"/>
          <w:bCs/>
          <w:sz w:val="32"/>
          <w:szCs w:val="32"/>
          <w:shd w:val="clear" w:color="auto" w:fill="FFFFFF"/>
        </w:rPr>
        <w:t>。实施儿童发展纲要，优化生育政策，实施母婴安全行动计划，完善妇幼健康、婴幼儿照护、农村留守儿童和困境儿童关爱服务体系；完善未成年人监护制度，加强未成年人心理健康引导</w:t>
      </w:r>
      <w:r>
        <w:rPr>
          <w:rFonts w:ascii="Times New Roman" w:hAnsi="Times New Roman" w:eastAsia="方正仿宋简体" w:cs="Times New Roman"/>
          <w:bCs/>
          <w:sz w:val="32"/>
          <w:szCs w:val="32"/>
        </w:rPr>
        <w:t>，</w:t>
      </w:r>
      <w:r>
        <w:rPr>
          <w:rFonts w:ascii="Times New Roman" w:hAnsi="Times New Roman" w:eastAsia="方正仿宋简体" w:cs="Times New Roman"/>
          <w:bCs/>
          <w:sz w:val="32"/>
          <w:szCs w:val="32"/>
          <w:shd w:val="clear" w:color="auto" w:fill="FFFFFF"/>
        </w:rPr>
        <w:t>健全未成年人保护与服务体系。实施“家家幸福安康工程”，</w:t>
      </w:r>
      <w:r>
        <w:rPr>
          <w:rFonts w:ascii="Times New Roman" w:hAnsi="Times New Roman" w:eastAsia="方正仿宋简体" w:cs="Times New Roman"/>
          <w:bCs/>
          <w:sz w:val="32"/>
          <w:szCs w:val="32"/>
        </w:rPr>
        <w:t>落实《福建省家庭教育促进条例》，</w:t>
      </w:r>
      <w:r>
        <w:rPr>
          <w:rFonts w:ascii="Times New Roman" w:hAnsi="Times New Roman" w:eastAsia="方正仿宋简体" w:cs="Times New Roman"/>
          <w:bCs/>
          <w:sz w:val="32"/>
          <w:szCs w:val="32"/>
          <w:shd w:val="clear" w:color="auto" w:fill="FFFFFF"/>
        </w:rPr>
        <w:t>发展家庭教育公共服务。</w:t>
      </w:r>
    </w:p>
    <w:p>
      <w:pPr>
        <w:pStyle w:val="17"/>
        <w:widowControl w:val="0"/>
        <w:adjustRightInd/>
        <w:snapToGrid/>
        <w:spacing w:beforeLines="50" w:afterLines="50" w:line="620" w:lineRule="exact"/>
        <w:rPr>
          <w:rFonts w:ascii="Times New Roman" w:hAnsi="Times New Roman" w:eastAsia="方正小标宋简体" w:cs="Times New Roman"/>
          <w:sz w:val="36"/>
          <w:szCs w:val="36"/>
        </w:rPr>
      </w:pPr>
      <w:bookmarkStart w:id="660" w:name="_Toc68707662"/>
      <w:bookmarkStart w:id="661" w:name="_Toc17836"/>
      <w:bookmarkStart w:id="662" w:name="_Toc17149"/>
      <w:bookmarkStart w:id="663" w:name="_Toc19891"/>
      <w:bookmarkStart w:id="664" w:name="_Toc28130"/>
      <w:bookmarkStart w:id="665" w:name="_Toc24045"/>
      <w:bookmarkStart w:id="666" w:name="_Toc2497"/>
      <w:bookmarkStart w:id="667" w:name="_Toc3691"/>
      <w:bookmarkStart w:id="668" w:name="_Toc21104"/>
      <w:bookmarkStart w:id="669" w:name="_Toc29029"/>
      <w:bookmarkStart w:id="670" w:name="_Toc1883"/>
      <w:bookmarkStart w:id="671" w:name="_Toc27725"/>
      <w:bookmarkStart w:id="672" w:name="_Toc18622"/>
      <w:bookmarkStart w:id="673" w:name="_Toc4484"/>
      <w:bookmarkStart w:id="674" w:name="_Toc30366"/>
      <w:bookmarkStart w:id="675" w:name="_Toc28165"/>
      <w:bookmarkStart w:id="676" w:name="_Toc31514"/>
      <w:r>
        <w:rPr>
          <w:rFonts w:ascii="Times New Roman" w:hAnsi="Times New Roman" w:eastAsia="方正小标宋简体" w:cs="Times New Roman"/>
          <w:sz w:val="36"/>
          <w:szCs w:val="36"/>
        </w:rPr>
        <w:t>第七章  打造更具生命力的绿色生态体系</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pPr>
        <w:widowControl w:val="0"/>
        <w:tabs>
          <w:tab w:val="left" w:pos="420"/>
        </w:tabs>
        <w:spacing w:line="600" w:lineRule="exact"/>
        <w:ind w:firstLine="640" w:firstLineChars="200"/>
        <w:jc w:val="both"/>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shd w:val="clear" w:color="auto" w:fill="FFFFFF"/>
        </w:rPr>
        <w:t>巩固国家生态文明试验区建设成果，推进南安全域生态文明建设的差异化路径，以“两溪一湾”安全生态水系标准化建设为抓手，统筹山水林田湖</w:t>
      </w:r>
      <w:r>
        <w:rPr>
          <w:rFonts w:hint="eastAsia" w:ascii="Times New Roman" w:hAnsi="Times New Roman" w:eastAsia="方正仿宋简体" w:cs="Times New Roman"/>
          <w:bCs/>
          <w:sz w:val="32"/>
          <w:szCs w:val="32"/>
          <w:shd w:val="clear" w:color="auto" w:fill="FFFFFF"/>
        </w:rPr>
        <w:t>海</w:t>
      </w:r>
      <w:r>
        <w:rPr>
          <w:rFonts w:ascii="Times New Roman" w:hAnsi="Times New Roman" w:eastAsia="方正仿宋简体" w:cs="Times New Roman"/>
          <w:bCs/>
          <w:sz w:val="32"/>
          <w:szCs w:val="32"/>
          <w:shd w:val="clear" w:color="auto" w:fill="FFFFFF"/>
        </w:rPr>
        <w:t>系统治理，建设全域环境治理示范区，打造升级版南安国家生态示范城市。</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677" w:name="_Toc3081"/>
      <w:bookmarkStart w:id="678" w:name="_Toc10017"/>
      <w:bookmarkStart w:id="679" w:name="_Toc23393"/>
      <w:bookmarkStart w:id="680" w:name="_Toc32647"/>
      <w:bookmarkStart w:id="681" w:name="_Toc4446"/>
      <w:bookmarkStart w:id="682" w:name="_Toc5261"/>
      <w:bookmarkStart w:id="683" w:name="_Toc68707663"/>
      <w:bookmarkStart w:id="684" w:name="_Toc19655"/>
      <w:bookmarkStart w:id="685" w:name="_Toc12356"/>
      <w:bookmarkStart w:id="686" w:name="_Toc6005"/>
      <w:bookmarkStart w:id="687" w:name="_Toc24014"/>
      <w:bookmarkStart w:id="688" w:name="_Toc6088"/>
      <w:bookmarkStart w:id="689" w:name="_Toc17453"/>
      <w:r>
        <w:rPr>
          <w:rFonts w:ascii="Times New Roman" w:hAnsi="Times New Roman" w:eastAsia="方正黑体简体" w:cs="Times New Roman"/>
          <w:bCs/>
          <w:sz w:val="32"/>
          <w:szCs w:val="32"/>
        </w:rPr>
        <w:t>第一节  完善生态文明制度体系</w:t>
      </w:r>
      <w:bookmarkEnd w:id="677"/>
      <w:bookmarkEnd w:id="678"/>
      <w:bookmarkEnd w:id="679"/>
      <w:bookmarkEnd w:id="680"/>
      <w:bookmarkEnd w:id="681"/>
      <w:bookmarkEnd w:id="682"/>
      <w:bookmarkEnd w:id="683"/>
      <w:bookmarkEnd w:id="684"/>
      <w:bookmarkEnd w:id="685"/>
      <w:bookmarkEnd w:id="686"/>
      <w:bookmarkEnd w:id="687"/>
      <w:bookmarkEnd w:id="688"/>
      <w:bookmarkEnd w:id="689"/>
    </w:p>
    <w:p>
      <w:pPr>
        <w:widowControl w:val="0"/>
        <w:tabs>
          <w:tab w:val="left" w:pos="420"/>
        </w:tabs>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仿宋简体" w:cs="Times New Roman"/>
          <w:bCs/>
          <w:sz w:val="32"/>
          <w:szCs w:val="32"/>
          <w:shd w:val="clear" w:color="auto" w:fill="FFFFFF"/>
        </w:rPr>
        <w:t>实践并完善产权清晰、多元参与、激励约束并重、系统完整的生态文明制度体系，积极推进生态环境领域治理体系和治理能力现代化。</w:t>
      </w:r>
    </w:p>
    <w:p>
      <w:pPr>
        <w:widowControl w:val="0"/>
        <w:spacing w:line="600" w:lineRule="exact"/>
        <w:ind w:firstLine="643" w:firstLineChars="200"/>
        <w:jc w:val="both"/>
        <w:rPr>
          <w:rFonts w:hint="eastAsia" w:ascii="Times New Roman" w:hAnsi="Times New Roman" w:eastAsia="方正仿宋简体" w:cs="Times New Roman"/>
          <w:bCs/>
          <w:sz w:val="32"/>
          <w:szCs w:val="32"/>
          <w:shd w:val="clear" w:color="auto" w:fill="FFFFFF"/>
          <w:lang w:eastAsia="zh-CN"/>
        </w:rPr>
      </w:pPr>
      <w:r>
        <w:rPr>
          <w:rFonts w:ascii="Times New Roman" w:hAnsi="Times New Roman" w:eastAsia="方正楷体简体" w:cs="Times New Roman"/>
          <w:b/>
          <w:sz w:val="32"/>
          <w:szCs w:val="32"/>
        </w:rPr>
        <w:t>一、健全资源利用高效制度。</w:t>
      </w:r>
      <w:r>
        <w:rPr>
          <w:rFonts w:ascii="Times New Roman" w:hAnsi="Times New Roman" w:eastAsia="方正仿宋简体" w:cs="Times New Roman"/>
          <w:bCs/>
          <w:sz w:val="32"/>
          <w:szCs w:val="32"/>
          <w:shd w:val="clear" w:color="auto" w:fill="FFFFFF"/>
        </w:rPr>
        <w:t>健全自然资源统一确权登记和自然资源资产产权制度，推进全民所有自然资源资产清查试点工作，开展非试点清查森林、湿地等资源资产工作。严格落实资源有偿使用和生态补偿制度，实行资源总量管理和全面节约制度，严禁无偿或低价使用国家自然资源。</w:t>
      </w:r>
      <w:r>
        <w:rPr>
          <w:rFonts w:hint="eastAsia" w:ascii="Times New Roman" w:hAnsi="Times New Roman" w:eastAsia="方正仿宋简体" w:cs="Times New Roman"/>
          <w:bCs/>
          <w:sz w:val="32"/>
          <w:szCs w:val="32"/>
          <w:shd w:val="clear" w:color="auto" w:fill="FFFFFF"/>
        </w:rPr>
        <w:t>围绕碳达峰、碳中和目标确立绿色低碳循环的发展方向，</w:t>
      </w:r>
      <w:r>
        <w:rPr>
          <w:rFonts w:hint="eastAsia" w:ascii="Times New Roman" w:hAnsi="Times New Roman" w:eastAsia="方正仿宋简体" w:cs="Times New Roman"/>
          <w:bCs/>
          <w:sz w:val="32"/>
          <w:szCs w:val="32"/>
          <w:shd w:val="clear" w:color="auto" w:fill="FFFFFF"/>
          <w:lang w:eastAsia="zh-CN"/>
        </w:rPr>
        <w:t>构建安全、高效的低碳能源体系，</w:t>
      </w:r>
      <w:r>
        <w:rPr>
          <w:rFonts w:hint="eastAsia" w:ascii="Times New Roman" w:hAnsi="Times New Roman" w:eastAsia="方正仿宋简体" w:cs="Times New Roman"/>
          <w:bCs/>
          <w:sz w:val="32"/>
          <w:szCs w:val="32"/>
          <w:shd w:val="clear" w:color="auto" w:fill="FFFFFF"/>
        </w:rPr>
        <w:t>加快建设现代化产业体系</w:t>
      </w:r>
      <w:r>
        <w:rPr>
          <w:rFonts w:hint="eastAsia" w:ascii="Times New Roman" w:hAnsi="Times New Roman" w:eastAsia="方正仿宋简体" w:cs="Times New Roman"/>
          <w:bCs/>
          <w:sz w:val="32"/>
          <w:szCs w:val="32"/>
          <w:shd w:val="clear" w:color="auto" w:fill="FFFFFF"/>
          <w:lang w:eastAsia="zh-CN"/>
        </w:rPr>
        <w:t>。</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二、健全生态保护和修复制度。</w:t>
      </w:r>
      <w:r>
        <w:rPr>
          <w:rFonts w:ascii="Times New Roman" w:hAnsi="Times New Roman" w:eastAsia="方正仿宋简体" w:cs="Times New Roman"/>
          <w:bCs/>
          <w:sz w:val="32"/>
          <w:szCs w:val="32"/>
          <w:shd w:val="clear" w:color="auto" w:fill="FFFFFF"/>
        </w:rPr>
        <w:t>健全生态资源空间委员会运行机制，实行国土空间规划和用途统筹协调管控，合理规划人口、城市和产业发展。坚持山水林田湖</w:t>
      </w:r>
      <w:r>
        <w:rPr>
          <w:rFonts w:hint="eastAsia" w:ascii="Times New Roman" w:hAnsi="Times New Roman" w:eastAsia="方正仿宋简体" w:cs="Times New Roman"/>
          <w:bCs/>
          <w:sz w:val="32"/>
          <w:szCs w:val="32"/>
          <w:shd w:val="clear" w:color="auto" w:fill="FFFFFF"/>
        </w:rPr>
        <w:t>海</w:t>
      </w:r>
      <w:r>
        <w:rPr>
          <w:rFonts w:ascii="Times New Roman" w:hAnsi="Times New Roman" w:eastAsia="方正仿宋简体" w:cs="Times New Roman"/>
          <w:bCs/>
          <w:sz w:val="32"/>
          <w:szCs w:val="32"/>
          <w:shd w:val="clear" w:color="auto" w:fill="FFFFFF"/>
        </w:rPr>
        <w:t>是生命共同体的整体系统观，做好规划布局，加强森林、河流、湖泊、湿地、海洋等自然生态保护。</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三、健全生态环境保护责任制度。</w:t>
      </w:r>
      <w:r>
        <w:rPr>
          <w:rFonts w:ascii="Times New Roman" w:hAnsi="Times New Roman" w:eastAsia="方正仿宋简体" w:cs="Times New Roman"/>
          <w:bCs/>
          <w:sz w:val="32"/>
          <w:szCs w:val="32"/>
          <w:shd w:val="clear" w:color="auto" w:fill="FFFFFF"/>
        </w:rPr>
        <w:t>完善经济社会发展评价体系，健全评价考核体系，把资源消耗、环境损害、生态效益等体现生态文明建设状况的指标纳入经济社会发展考核指标。严格责任追究制度，强化生态环境损害责任终身追究制，完善领导干部自然资源资产离任审计制度。</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690" w:name="_Toc8190"/>
      <w:bookmarkStart w:id="691" w:name="_Toc29373"/>
      <w:bookmarkStart w:id="692" w:name="_Toc4635"/>
      <w:bookmarkStart w:id="693" w:name="_Toc27429"/>
      <w:bookmarkStart w:id="694" w:name="_Toc16330"/>
      <w:bookmarkStart w:id="695" w:name="_Toc68707664"/>
      <w:bookmarkStart w:id="696" w:name="_Toc7223"/>
      <w:bookmarkStart w:id="697" w:name="_Toc12608"/>
      <w:bookmarkStart w:id="698" w:name="_Toc13632"/>
      <w:bookmarkStart w:id="699" w:name="_Toc4286"/>
      <w:bookmarkStart w:id="700" w:name="_Toc20039"/>
      <w:bookmarkStart w:id="701" w:name="_Toc10980"/>
      <w:bookmarkStart w:id="702" w:name="_Toc14313"/>
      <w:r>
        <w:rPr>
          <w:rFonts w:ascii="Times New Roman" w:hAnsi="Times New Roman" w:eastAsia="方正黑体简体" w:cs="Times New Roman"/>
          <w:bCs/>
          <w:sz w:val="32"/>
          <w:szCs w:val="32"/>
        </w:rPr>
        <w:t>第二节 推进差异化全域生态文明建设</w:t>
      </w:r>
      <w:bookmarkEnd w:id="690"/>
      <w:bookmarkEnd w:id="691"/>
      <w:bookmarkEnd w:id="692"/>
      <w:bookmarkEnd w:id="693"/>
      <w:bookmarkEnd w:id="694"/>
      <w:bookmarkEnd w:id="695"/>
      <w:bookmarkEnd w:id="696"/>
      <w:bookmarkEnd w:id="697"/>
      <w:bookmarkEnd w:id="698"/>
      <w:bookmarkEnd w:id="699"/>
      <w:bookmarkEnd w:id="700"/>
      <w:bookmarkEnd w:id="701"/>
      <w:bookmarkEnd w:id="702"/>
    </w:p>
    <w:p>
      <w:pPr>
        <w:widowControl w:val="0"/>
        <w:adjustRightInd/>
        <w:snapToGrid/>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仿宋简体" w:cs="Times New Roman"/>
          <w:bCs/>
          <w:sz w:val="32"/>
          <w:szCs w:val="32"/>
          <w:shd w:val="clear" w:color="auto" w:fill="FFFFFF"/>
        </w:rPr>
        <w:t>牢固树立“绿水青山就是金山银山”理念，坚持多管齐下，综合施治，实施北中南部差异化发展路径，全面推进全域生态文明建设，实现以生态助力</w:t>
      </w:r>
      <w:r>
        <w:rPr>
          <w:rFonts w:hint="eastAsia" w:ascii="Times New Roman" w:hAnsi="Times New Roman" w:eastAsia="方正仿宋简体" w:cs="Times New Roman"/>
          <w:bCs/>
          <w:sz w:val="32"/>
          <w:szCs w:val="32"/>
          <w:shd w:val="clear" w:color="auto" w:fill="FFFFFF"/>
        </w:rPr>
        <w:t>产</w:t>
      </w:r>
      <w:r>
        <w:rPr>
          <w:rFonts w:ascii="Times New Roman" w:hAnsi="Times New Roman" w:eastAsia="方正仿宋简体" w:cs="Times New Roman"/>
          <w:bCs/>
          <w:sz w:val="32"/>
          <w:szCs w:val="32"/>
          <w:shd w:val="clear" w:color="auto" w:fill="FFFFFF"/>
        </w:rPr>
        <w:t>业，以产业反哺生态。</w:t>
      </w:r>
    </w:p>
    <w:p>
      <w:pPr>
        <w:widowControl w:val="0"/>
        <w:adjustRightInd/>
        <w:snapToGrid/>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一、北部板块。</w:t>
      </w:r>
      <w:r>
        <w:rPr>
          <w:rFonts w:ascii="Times New Roman" w:hAnsi="Times New Roman" w:eastAsia="方正仿宋简体" w:cs="Times New Roman"/>
          <w:bCs/>
          <w:sz w:val="32"/>
          <w:szCs w:val="32"/>
          <w:shd w:val="clear" w:color="auto" w:fill="FFFFFF"/>
        </w:rPr>
        <w:t>以提高生态效益为中心，重点推进自然生态价值化，将生态优势转化为发展优势，以东溪流域为发展纽带，发展生态旅游业、无污染轻工业和新兴产业，打造现代农业模式创新示范区、康养休闲和文化旅游产业集聚区。</w:t>
      </w:r>
    </w:p>
    <w:p>
      <w:pPr>
        <w:widowControl w:val="0"/>
        <w:adjustRightInd/>
        <w:snapToGrid/>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二、中部板块。</w:t>
      </w:r>
      <w:r>
        <w:rPr>
          <w:rFonts w:ascii="Times New Roman" w:hAnsi="Times New Roman" w:eastAsia="方正仿宋简体" w:cs="Times New Roman"/>
          <w:bCs/>
          <w:sz w:val="32"/>
          <w:szCs w:val="32"/>
          <w:shd w:val="clear" w:color="auto" w:fill="FFFFFF"/>
        </w:rPr>
        <w:t>以完善城镇化生态配套为主线，对标都市型产业新城，以“两溪一湾”生态整治项目为核心轴，构建城市综合服务中心，从中心城区辐射周边镇村，重点改造整治西溪轴两岸环境，推进产业空间集约高效，打造中部生态宜居走廊。</w:t>
      </w:r>
    </w:p>
    <w:p>
      <w:pPr>
        <w:widowControl w:val="0"/>
        <w:adjustRightInd/>
        <w:snapToGrid/>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三、南部板块。</w:t>
      </w:r>
      <w:r>
        <w:rPr>
          <w:rFonts w:ascii="Times New Roman" w:hAnsi="Times New Roman" w:eastAsia="方正仿宋简体" w:cs="Times New Roman"/>
          <w:bCs/>
          <w:sz w:val="32"/>
          <w:szCs w:val="32"/>
          <w:shd w:val="clear" w:color="auto" w:fill="FFFFFF"/>
        </w:rPr>
        <w:t>以产城高端融合为抓手，重点推进产业绿色转型升级，不断促进绿色经济。生态利用型、循环高效型、低碳清洁型、环境治理型等发展，构建跨域生态廊道，打造海洋生态融合示范区。</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703" w:name="_Toc18923"/>
      <w:bookmarkStart w:id="704" w:name="_Toc4712"/>
      <w:bookmarkStart w:id="705" w:name="_Toc4540"/>
      <w:bookmarkStart w:id="706" w:name="_Toc4747"/>
      <w:bookmarkStart w:id="707" w:name="_Toc68707665"/>
      <w:bookmarkStart w:id="708" w:name="_Toc18987"/>
      <w:bookmarkStart w:id="709" w:name="_Toc3305"/>
      <w:bookmarkStart w:id="710" w:name="_Toc11914"/>
      <w:bookmarkStart w:id="711" w:name="_Toc12962"/>
      <w:bookmarkStart w:id="712" w:name="_Toc2605"/>
      <w:bookmarkStart w:id="713" w:name="_Toc26390"/>
      <w:bookmarkStart w:id="714" w:name="_Toc241"/>
      <w:bookmarkStart w:id="715" w:name="_Toc16016"/>
      <w:r>
        <w:rPr>
          <w:rFonts w:ascii="Times New Roman" w:hAnsi="Times New Roman" w:eastAsia="方正黑体简体" w:cs="Times New Roman"/>
          <w:bCs/>
          <w:sz w:val="32"/>
          <w:szCs w:val="32"/>
        </w:rPr>
        <w:t>第三节  持续打好污染防治攻坚战</w:t>
      </w:r>
      <w:bookmarkEnd w:id="703"/>
      <w:bookmarkEnd w:id="704"/>
      <w:bookmarkEnd w:id="705"/>
      <w:bookmarkEnd w:id="706"/>
      <w:bookmarkEnd w:id="707"/>
      <w:bookmarkEnd w:id="708"/>
      <w:bookmarkEnd w:id="709"/>
      <w:bookmarkEnd w:id="710"/>
      <w:bookmarkEnd w:id="711"/>
      <w:bookmarkEnd w:id="712"/>
      <w:bookmarkEnd w:id="713"/>
      <w:bookmarkEnd w:id="714"/>
      <w:bookmarkEnd w:id="715"/>
    </w:p>
    <w:p>
      <w:pPr>
        <w:widowControl w:val="0"/>
        <w:tabs>
          <w:tab w:val="left" w:pos="420"/>
        </w:tabs>
        <w:spacing w:line="600" w:lineRule="exact"/>
        <w:ind w:firstLine="640" w:firstLineChars="200"/>
        <w:jc w:val="both"/>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shd w:val="clear" w:color="auto" w:fill="FFFFFF"/>
        </w:rPr>
        <w:t>秉持城市“双修”理念，深化蓝天、碧水、净土工程，系统推进山水林田湖海综合治理，确保主要污染物排放总量持续减少，生态环境持续改善。</w:t>
      </w:r>
    </w:p>
    <w:p>
      <w:pPr>
        <w:widowControl w:val="0"/>
        <w:tabs>
          <w:tab w:val="left" w:pos="420"/>
        </w:tabs>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一、持续打好蓝天保卫战。</w:t>
      </w:r>
      <w:r>
        <w:rPr>
          <w:rFonts w:ascii="Times New Roman" w:hAnsi="Times New Roman" w:eastAsia="方正仿宋简体" w:cs="Times New Roman"/>
          <w:bCs/>
          <w:sz w:val="32"/>
          <w:szCs w:val="32"/>
          <w:shd w:val="clear" w:color="auto" w:fill="FFFFFF"/>
        </w:rPr>
        <w:t>全面落实大气污染防治行动计划实施细则，强化多污染物协同控制、多污染源综合防控，推进区域联防联控和预警预报，持续开展石材、陶瓷、铸造、印刷、制鞋等行业专项整治。加大工业企业污染治理力度，实施重点涉气企业大气污染物排放治理和监测。加强建筑施工、道路扬尘等扬尘综合整治，强化露天烧烤、随意焚烧垃圾、餐饮油烟、节假日期间烟花爆竹等污染整治，全面推进露天矿山综合整治，开展国土绿化美化行动。</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二、持续打好碧水保卫战。</w:t>
      </w:r>
      <w:r>
        <w:rPr>
          <w:rFonts w:ascii="Times New Roman" w:hAnsi="Times New Roman" w:eastAsia="方正仿宋简体" w:cs="Times New Roman"/>
          <w:bCs/>
          <w:sz w:val="32"/>
          <w:szCs w:val="32"/>
          <w:shd w:val="clear" w:color="auto" w:fill="FFFFFF"/>
        </w:rPr>
        <w:t>复制推广治水“4.0”升级版，完善河道巡查信息监控中心、信息分析中心和信息管理中心等平台。优化河湖长制、湾长制，推行“天地人”一体化巡查监管平台。深入实施水污染防治行动计划，持续开展“碧水清源”专项行动，加大流域综合整治，持续推进小流域治理，省重点考核小流域水质达到上级下达的水质目标。健全流域水质在线监测监控体系，增设晋江干流石垄国控水质监控断面，新建东溪港龙大桥在线监控设施，进一步加强晋江流域水质监测工作。加强饮用水水源保护区监管，持续开展水源保护区环境隐患排查，巩固已完成整改的环境问题，确保县级以上水源地水质100%达标。</w:t>
      </w:r>
    </w:p>
    <w:p>
      <w:pPr>
        <w:widowControl w:val="0"/>
        <w:tabs>
          <w:tab w:val="left" w:pos="420"/>
        </w:tabs>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三、持续打好净土保卫战。</w:t>
      </w:r>
      <w:r>
        <w:rPr>
          <w:rFonts w:ascii="Times New Roman" w:hAnsi="Times New Roman" w:eastAsia="方正仿宋简体" w:cs="Times New Roman"/>
          <w:bCs/>
          <w:sz w:val="32"/>
          <w:szCs w:val="32"/>
          <w:shd w:val="clear" w:color="auto" w:fill="FFFFFF"/>
        </w:rPr>
        <w:t>加强耕地保护与安全利用，开展土壤污染防治，开展重点地块监测、调查。强化重点监管企业执法监管，加强土壤污染地块系统管理，实现多部门信息共享、共防共治。开展耕地土壤和农产品协同监测与评价，科学开展耕地土壤环境质量类别划定，逐步建立分类清单，保障农产品产地环境安全，开展受污染耕地地块安全利用类11000亩及严格管控类350亩治理工作。</w:t>
      </w:r>
    </w:p>
    <w:p>
      <w:pPr>
        <w:widowControl w:val="0"/>
        <w:autoSpaceDE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四、持续打好城乡环境整治攻坚战。</w:t>
      </w:r>
      <w:r>
        <w:rPr>
          <w:rFonts w:ascii="Times New Roman" w:hAnsi="Times New Roman" w:eastAsia="方正仿宋简体" w:cs="Times New Roman"/>
          <w:bCs/>
          <w:sz w:val="32"/>
          <w:szCs w:val="32"/>
          <w:shd w:val="clear" w:color="auto" w:fill="FFFFFF"/>
        </w:rPr>
        <w:t>坚持城乡统筹，推进城市有机更新、小城镇环境综合整治和美丽乡村建设，深入推进</w:t>
      </w:r>
      <w:r>
        <w:rPr>
          <w:rFonts w:hint="eastAsia" w:ascii="Times New Roman" w:hAnsi="Times New Roman" w:eastAsia="方正仿宋简体" w:cs="Times New Roman"/>
          <w:bCs/>
          <w:sz w:val="32"/>
          <w:szCs w:val="32"/>
          <w:shd w:val="clear" w:color="auto" w:fill="FFFFFF"/>
        </w:rPr>
        <w:t>“</w:t>
      </w:r>
      <w:r>
        <w:rPr>
          <w:rFonts w:ascii="Times New Roman" w:hAnsi="Times New Roman" w:eastAsia="方正仿宋简体" w:cs="Times New Roman"/>
          <w:bCs/>
          <w:sz w:val="32"/>
          <w:szCs w:val="32"/>
          <w:shd w:val="clear" w:color="auto" w:fill="FFFFFF"/>
        </w:rPr>
        <w:t>三清一改”村庄清洁行动，提升和优化城乡人居环境。推进农村“厕所革命”，深化农村垃圾治理行动、农村污水治理行动、农房整治行动、村容村貌提升行动，提升宜居水平。实施重点流域沿线农村生活污水处理设施及配套管网建设EPC项目，新建45座设施及370公里配套管网，做好已建农村生活污水处理设施运维工作监管，</w:t>
      </w:r>
      <w:r>
        <w:rPr>
          <w:rFonts w:hint="eastAsia" w:ascii="Times New Roman" w:hAnsi="Times New Roman" w:eastAsia="方正仿宋简体" w:cs="Times New Roman"/>
          <w:bCs/>
          <w:sz w:val="32"/>
          <w:szCs w:val="32"/>
          <w:shd w:val="clear" w:color="auto" w:fill="FFFFFF"/>
        </w:rPr>
        <w:t>持续</w:t>
      </w:r>
      <w:r>
        <w:rPr>
          <w:rFonts w:ascii="Times New Roman" w:hAnsi="Times New Roman" w:eastAsia="方正仿宋简体" w:cs="Times New Roman"/>
          <w:bCs/>
          <w:sz w:val="32"/>
          <w:szCs w:val="32"/>
          <w:shd w:val="clear" w:color="auto" w:fill="FFFFFF"/>
        </w:rPr>
        <w:t>推进农村黑臭水体试点整治工作。</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716" w:name="_Toc68707666"/>
      <w:bookmarkStart w:id="717" w:name="_Toc29575"/>
      <w:bookmarkStart w:id="718" w:name="_Toc31788"/>
      <w:bookmarkStart w:id="719" w:name="_Toc20658"/>
      <w:bookmarkStart w:id="720" w:name="_Toc951"/>
      <w:bookmarkStart w:id="721" w:name="_Toc28709"/>
      <w:bookmarkStart w:id="722" w:name="_Toc188"/>
      <w:bookmarkStart w:id="723" w:name="_Toc6183"/>
      <w:bookmarkStart w:id="724" w:name="_Toc19329"/>
      <w:bookmarkStart w:id="725" w:name="_Toc16763"/>
      <w:bookmarkStart w:id="726" w:name="_Toc3894"/>
      <w:bookmarkStart w:id="727" w:name="_Toc28305"/>
      <w:bookmarkStart w:id="728" w:name="_Toc26652"/>
      <w:r>
        <w:rPr>
          <w:rFonts w:ascii="Times New Roman" w:hAnsi="Times New Roman" w:eastAsia="方正黑体简体" w:cs="Times New Roman"/>
          <w:bCs/>
          <w:sz w:val="32"/>
          <w:szCs w:val="32"/>
        </w:rPr>
        <w:t>第四节  加大落实生态安全管理力度</w:t>
      </w:r>
      <w:bookmarkEnd w:id="716"/>
      <w:bookmarkEnd w:id="717"/>
      <w:bookmarkEnd w:id="718"/>
      <w:bookmarkEnd w:id="719"/>
      <w:bookmarkEnd w:id="720"/>
      <w:bookmarkEnd w:id="721"/>
      <w:bookmarkEnd w:id="722"/>
      <w:bookmarkEnd w:id="723"/>
      <w:bookmarkEnd w:id="724"/>
      <w:bookmarkEnd w:id="725"/>
      <w:bookmarkEnd w:id="726"/>
      <w:bookmarkEnd w:id="727"/>
      <w:bookmarkEnd w:id="728"/>
    </w:p>
    <w:p>
      <w:pPr>
        <w:widowControl w:val="0"/>
        <w:autoSpaceDE w:val="0"/>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仿宋简体" w:cs="Times New Roman"/>
          <w:bCs/>
          <w:sz w:val="32"/>
          <w:szCs w:val="32"/>
          <w:shd w:val="clear" w:color="auto" w:fill="FFFFFF"/>
        </w:rPr>
        <w:t>创新环境监管方式， 强化网格化管理，提升工作效能，进一步加大地方生态安全管理力度。</w:t>
      </w:r>
    </w:p>
    <w:p>
      <w:pPr>
        <w:widowControl w:val="0"/>
        <w:tabs>
          <w:tab w:val="left" w:pos="420"/>
        </w:tabs>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一、健全环境保护和生态安全管理制度。</w:t>
      </w:r>
      <w:r>
        <w:rPr>
          <w:rFonts w:ascii="Times New Roman" w:hAnsi="Times New Roman" w:eastAsia="方正仿宋简体" w:cs="Times New Roman"/>
          <w:bCs/>
          <w:sz w:val="32"/>
          <w:szCs w:val="32"/>
          <w:shd w:val="clear" w:color="auto" w:fill="FFFFFF"/>
        </w:rPr>
        <w:t>完善跨部门协调机制，建立权威统一的环境执法体制。建立市、乡（镇、街道）、村（社区）三级环保网格监管体系，建立健全覆盖全市的突发环境事件应急救援网络，提高与环境风险程度、污染物种类等相匹配的突发环境事件应急处置能力。持续治理“餐桌污染”，建立健全食品安全监管、农产品和水产品质量安全监管体系。</w:t>
      </w:r>
    </w:p>
    <w:p>
      <w:pPr>
        <w:widowControl w:val="0"/>
        <w:tabs>
          <w:tab w:val="left" w:pos="420"/>
        </w:tabs>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二、完善环境资源司法保护机制。</w:t>
      </w:r>
      <w:r>
        <w:rPr>
          <w:rFonts w:ascii="Times New Roman" w:hAnsi="Times New Roman" w:eastAsia="方正仿宋简体" w:cs="Times New Roman"/>
          <w:bCs/>
          <w:sz w:val="32"/>
          <w:szCs w:val="32"/>
          <w:shd w:val="clear" w:color="auto" w:fill="FFFFFF"/>
        </w:rPr>
        <w:t>健全法院、检察院环境资源司法职能配置，积极探索环境资源保护行政执法与刑事司法无缝衔接机制，建立全过程全方位的环境资源司法保护体系。完善“专业化法律监督+恢复性司法实践+社会化综合治理”生态检察模式，严格依法有序推进环境资源公益诉讼；推进环境资源专门化审判，建立大气、水、土壤、森林、海洋、矿产等领域的各类环境资源刑事、民商事、行政诉讼及相关非诉讼执行案件的公正高效审理机制。坚持发展与保护并重、打击犯罪和修复生态并举，全面推进生态恢复性司法的应用，推广延伸生态恢复性司法机制适用领域。完善环境资源多元化纠纷解决机制，使诉讼和非诉讼纠纷解决机制相互配合、相互衔接，形成建设生态文明的强大司法合力。</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三、健全环境信息公开制度。</w:t>
      </w:r>
      <w:r>
        <w:rPr>
          <w:rFonts w:ascii="Times New Roman" w:hAnsi="Times New Roman" w:eastAsia="方正仿宋简体" w:cs="Times New Roman"/>
          <w:bCs/>
          <w:sz w:val="32"/>
          <w:szCs w:val="32"/>
          <w:shd w:val="clear" w:color="auto" w:fill="FFFFFF"/>
        </w:rPr>
        <w:t>全面推进环境信息公开、排污单位环境信息公开、监管部门环境信息公开，健全建设项目环境影响评价信息公开机制。引导人民群众树立环保意识，完善公众参与制度，保障人民群众依法有序行使环境监督权。建立环境保护网络举报平台和举报制度，健全举报、听证、舆论监督等制度</w:t>
      </w:r>
      <w:bookmarkStart w:id="729" w:name="_Toc20184"/>
      <w:bookmarkEnd w:id="729"/>
      <w:bookmarkStart w:id="730" w:name="_Toc21744"/>
      <w:bookmarkEnd w:id="730"/>
      <w:bookmarkStart w:id="731" w:name="_Toc8142"/>
      <w:bookmarkEnd w:id="731"/>
      <w:bookmarkStart w:id="732" w:name="_Toc13427"/>
      <w:bookmarkEnd w:id="732"/>
      <w:r>
        <w:rPr>
          <w:rFonts w:ascii="Times New Roman" w:hAnsi="Times New Roman" w:eastAsia="方正仿宋简体" w:cs="Times New Roman"/>
          <w:bCs/>
          <w:sz w:val="32"/>
          <w:szCs w:val="32"/>
          <w:shd w:val="clear" w:color="auto" w:fill="FFFFFF"/>
        </w:rPr>
        <w:t>。</w:t>
      </w:r>
    </w:p>
    <w:p>
      <w:pPr>
        <w:pStyle w:val="17"/>
        <w:widowControl w:val="0"/>
        <w:adjustRightInd/>
        <w:snapToGrid/>
        <w:spacing w:beforeLines="50" w:afterLines="50" w:line="620" w:lineRule="exact"/>
        <w:rPr>
          <w:rFonts w:ascii="Times New Roman" w:hAnsi="Times New Roman" w:eastAsia="方正小标宋简体" w:cs="Times New Roman"/>
          <w:sz w:val="36"/>
          <w:szCs w:val="36"/>
        </w:rPr>
      </w:pPr>
      <w:bookmarkStart w:id="733" w:name="_Toc25885"/>
      <w:bookmarkStart w:id="734" w:name="_Toc16266"/>
      <w:bookmarkStart w:id="735" w:name="_Toc1436"/>
      <w:bookmarkStart w:id="736" w:name="_Toc10886"/>
      <w:bookmarkStart w:id="737" w:name="_Toc68707667"/>
      <w:bookmarkStart w:id="738" w:name="_Toc7792"/>
      <w:bookmarkStart w:id="739" w:name="_Toc30697"/>
      <w:bookmarkStart w:id="740" w:name="_Toc7119"/>
      <w:bookmarkStart w:id="741" w:name="_Toc22394"/>
      <w:bookmarkStart w:id="742" w:name="_Toc15330"/>
      <w:bookmarkStart w:id="743" w:name="_Toc1289"/>
      <w:bookmarkStart w:id="744" w:name="_Toc16928"/>
      <w:bookmarkStart w:id="745" w:name="_Toc29113"/>
      <w:bookmarkStart w:id="746" w:name="_Toc9377"/>
      <w:bookmarkStart w:id="747" w:name="_Toc4176"/>
      <w:bookmarkStart w:id="748" w:name="_Toc7340"/>
      <w:bookmarkStart w:id="749" w:name="_Toc13030"/>
      <w:r>
        <w:rPr>
          <w:rFonts w:ascii="Times New Roman" w:hAnsi="Times New Roman" w:eastAsia="方正小标宋简体" w:cs="Times New Roman"/>
          <w:sz w:val="36"/>
          <w:szCs w:val="36"/>
        </w:rPr>
        <w:t>第八章  打造更具凝聚力的先进文化体系</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widowControl w:val="0"/>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仿宋简体" w:cs="Times New Roman"/>
          <w:bCs/>
          <w:sz w:val="32"/>
          <w:szCs w:val="32"/>
          <w:shd w:val="clear" w:color="auto" w:fill="FFFFFF"/>
        </w:rPr>
        <w:t>坚持社会主义先进文化引领，构建闽南文化、海丝文化、成功文化、华侨文化、名人文化、产业文化、红色文化、双拥文化、家风文化、企业家文化等十大文化体系，提升“文化南安”感召力</w:t>
      </w:r>
      <w:r>
        <w:rPr>
          <w:rFonts w:hint="eastAsia" w:ascii="Times New Roman" w:hAnsi="Times New Roman" w:eastAsia="方正仿宋简体" w:cs="Times New Roman"/>
          <w:bCs/>
          <w:sz w:val="32"/>
          <w:szCs w:val="32"/>
          <w:shd w:val="clear" w:color="auto" w:fill="FFFFFF"/>
        </w:rPr>
        <w:t>、凝聚力、向心力</w:t>
      </w:r>
      <w:r>
        <w:rPr>
          <w:rFonts w:ascii="Times New Roman" w:hAnsi="Times New Roman" w:eastAsia="方正仿宋简体" w:cs="Times New Roman"/>
          <w:bCs/>
          <w:sz w:val="32"/>
          <w:szCs w:val="32"/>
          <w:shd w:val="clear" w:color="auto" w:fill="FFFFFF"/>
        </w:rPr>
        <w:t>。</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750" w:name="_Toc17828"/>
      <w:bookmarkStart w:id="751" w:name="_Toc19525"/>
      <w:bookmarkStart w:id="752" w:name="_Toc17107"/>
      <w:bookmarkStart w:id="753" w:name="_Toc7338"/>
      <w:bookmarkStart w:id="754" w:name="_Toc17537"/>
      <w:bookmarkStart w:id="755" w:name="_Toc68707668"/>
      <w:bookmarkStart w:id="756" w:name="_Toc4707"/>
      <w:bookmarkStart w:id="757" w:name="_Toc7425"/>
      <w:bookmarkStart w:id="758" w:name="_Toc25470"/>
      <w:bookmarkStart w:id="759" w:name="_Toc20345"/>
      <w:bookmarkStart w:id="760" w:name="_Toc6918"/>
      <w:bookmarkStart w:id="761" w:name="_Toc26070"/>
      <w:bookmarkStart w:id="762" w:name="_Toc7530"/>
      <w:r>
        <w:rPr>
          <w:rFonts w:ascii="Times New Roman" w:hAnsi="Times New Roman" w:eastAsia="方正黑体简体" w:cs="Times New Roman"/>
          <w:bCs/>
          <w:sz w:val="32"/>
          <w:szCs w:val="32"/>
        </w:rPr>
        <w:t>第一节 构建现代文明体系</w:t>
      </w:r>
      <w:bookmarkEnd w:id="750"/>
      <w:bookmarkEnd w:id="751"/>
      <w:bookmarkEnd w:id="752"/>
      <w:bookmarkEnd w:id="753"/>
      <w:bookmarkEnd w:id="754"/>
      <w:bookmarkEnd w:id="755"/>
      <w:bookmarkEnd w:id="756"/>
      <w:bookmarkEnd w:id="757"/>
      <w:bookmarkEnd w:id="758"/>
      <w:bookmarkEnd w:id="759"/>
      <w:bookmarkEnd w:id="760"/>
      <w:bookmarkEnd w:id="761"/>
      <w:bookmarkEnd w:id="762"/>
    </w:p>
    <w:p>
      <w:pPr>
        <w:widowControl w:val="0"/>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仿宋简体" w:cs="Times New Roman"/>
          <w:bCs/>
          <w:sz w:val="32"/>
          <w:szCs w:val="32"/>
          <w:shd w:val="clear" w:color="auto" w:fill="FFFFFF"/>
        </w:rPr>
        <w:t>坚持培育和践行社会主义核心价值观，加强群众思想道德教育，全面提升市民文明素养和城市文明程度。</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一、以社会主义核心价值观引领文化软实力建设。</w:t>
      </w:r>
      <w:r>
        <w:rPr>
          <w:rFonts w:ascii="Times New Roman" w:hAnsi="Times New Roman" w:eastAsia="方正仿宋简体" w:cs="Times New Roman"/>
          <w:bCs/>
          <w:sz w:val="32"/>
          <w:szCs w:val="32"/>
          <w:shd w:val="clear" w:color="auto" w:fill="FFFFFF"/>
        </w:rPr>
        <w:t>健全理论宣讲机制，持续开展理想信念教育，深入实施公民道德教育工程，全面推进社会公德、职业道德、家庭美德、个人品德建设。深化群众性精神文明创建活动，持续开展文明单位、文明家庭、文明校园创建活动，建好新时代文明实践中心</w:t>
      </w:r>
      <w:r>
        <w:rPr>
          <w:rFonts w:hint="eastAsia" w:ascii="Times New Roman" w:hAnsi="Times New Roman" w:eastAsia="方正仿宋简体" w:cs="Times New Roman"/>
          <w:bCs/>
          <w:sz w:val="32"/>
          <w:szCs w:val="32"/>
          <w:shd w:val="clear" w:color="auto" w:fill="FFFFFF"/>
        </w:rPr>
        <w:t>。</w:t>
      </w:r>
      <w:r>
        <w:rPr>
          <w:rFonts w:ascii="Times New Roman" w:hAnsi="Times New Roman" w:eastAsia="方正仿宋简体" w:cs="Times New Roman"/>
          <w:bCs/>
          <w:sz w:val="32"/>
          <w:szCs w:val="32"/>
          <w:shd w:val="clear" w:color="auto" w:fill="FFFFFF"/>
        </w:rPr>
        <w:t>加强未成年人思想道德建设，完善学校、家庭、社会“三结合”教育网络。深入开展学雷锋等志愿服务活动，探索出台《南安市志愿者礼遇办法》。</w:t>
      </w:r>
    </w:p>
    <w:p>
      <w:pPr>
        <w:widowControl w:val="0"/>
        <w:autoSpaceDE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二、以闽南文化的原真感召力筑牢文化自信。</w:t>
      </w:r>
      <w:r>
        <w:rPr>
          <w:rFonts w:ascii="Times New Roman" w:hAnsi="Times New Roman" w:eastAsia="方正仿宋简体" w:cs="Times New Roman"/>
          <w:bCs/>
          <w:sz w:val="32"/>
          <w:szCs w:val="32"/>
          <w:shd w:val="clear" w:color="auto" w:fill="FFFFFF"/>
        </w:rPr>
        <w:t>实施中华优秀传统文化传承发展工程，传承和传播红色文化和双拥文化，传承优良闽南家风文化，弘扬“互助”“创新”“坚持”“爱拼敢赢”的南安企业家文化。把闽南文化元素融入石材、家具等产品和服务中，打造新时代闽南产业文化，推动闽南优秀文化创新创造转化。</w:t>
      </w:r>
    </w:p>
    <w:p>
      <w:pPr>
        <w:widowControl w:val="0"/>
        <w:autoSpaceDE w:val="0"/>
        <w:spacing w:line="600" w:lineRule="exact"/>
        <w:ind w:firstLine="643" w:firstLineChars="200"/>
        <w:jc w:val="both"/>
        <w:rPr>
          <w:rFonts w:ascii="Times New Roman" w:hAnsi="Times New Roman" w:eastAsia="方正仿宋简体" w:cs="Times New Roman"/>
          <w:bCs/>
          <w:sz w:val="32"/>
          <w:szCs w:val="32"/>
          <w:shd w:val="clear" w:color="auto" w:fill="FFFFFF"/>
        </w:rPr>
      </w:pPr>
      <w:bookmarkStart w:id="763" w:name="_Toc23256"/>
      <w:r>
        <w:rPr>
          <w:rFonts w:ascii="Times New Roman" w:hAnsi="Times New Roman" w:eastAsia="方正楷体简体" w:cs="Times New Roman"/>
          <w:b/>
          <w:sz w:val="32"/>
          <w:szCs w:val="32"/>
        </w:rPr>
        <w:t>三、以华侨精神的时代价值厚植家国情怀。</w:t>
      </w:r>
      <w:r>
        <w:rPr>
          <w:rFonts w:ascii="Times New Roman" w:hAnsi="Times New Roman" w:eastAsia="方正仿宋简体" w:cs="Times New Roman"/>
          <w:bCs/>
          <w:sz w:val="32"/>
          <w:szCs w:val="32"/>
          <w:shd w:val="clear" w:color="auto" w:fill="FFFFFF"/>
        </w:rPr>
        <w:t>落实“根”、“魂”、“梦”的新时代侨务工作主线，挖掘</w:t>
      </w:r>
      <w:r>
        <w:rPr>
          <w:rFonts w:hint="eastAsia" w:ascii="Times New Roman" w:hAnsi="Times New Roman" w:eastAsia="方正仿宋简体" w:cs="Times New Roman"/>
          <w:bCs/>
          <w:sz w:val="32"/>
          <w:szCs w:val="32"/>
          <w:shd w:val="clear" w:color="auto" w:fill="FFFFFF"/>
          <w:lang w:eastAsia="zh-CN"/>
        </w:rPr>
        <w:t>泉州华侨革命历史博物馆等</w:t>
      </w:r>
      <w:r>
        <w:rPr>
          <w:rFonts w:ascii="Times New Roman" w:hAnsi="Times New Roman" w:eastAsia="方正仿宋简体" w:cs="Times New Roman"/>
          <w:bCs/>
          <w:sz w:val="32"/>
          <w:szCs w:val="32"/>
          <w:shd w:val="clear" w:color="auto" w:fill="FFFFFF"/>
        </w:rPr>
        <w:t>南安侨乡资源，推动学习、弘扬和传承南安华侨“爱国、爱乡、爱业、爱俭”精神。发挥海外华人华侨及港澳台社团、异地南安商（协）会及基层侨联、商会组织的桥梁纽带作用，建立华侨文化资源共享机制，讲好南安华侨故事，传播南安侨乡声音。深入实施“十个一”重点推进项目，挖掘、保护和开发本地“侨”元素，打造闽南“第一侨城”。</w:t>
      </w:r>
      <w:bookmarkEnd w:id="763"/>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764" w:name="_Toc26749"/>
      <w:bookmarkStart w:id="765" w:name="_Toc15407"/>
      <w:bookmarkStart w:id="766" w:name="_Toc29930"/>
      <w:bookmarkStart w:id="767" w:name="_Toc32767"/>
      <w:bookmarkStart w:id="768" w:name="_Toc28036"/>
      <w:bookmarkStart w:id="769" w:name="_Toc5776"/>
      <w:bookmarkStart w:id="770" w:name="_Toc1152"/>
      <w:bookmarkStart w:id="771" w:name="_Toc21692"/>
      <w:bookmarkStart w:id="772" w:name="_Toc32514"/>
      <w:bookmarkStart w:id="773" w:name="_Toc4432"/>
      <w:bookmarkStart w:id="774" w:name="_Toc68707669"/>
      <w:bookmarkStart w:id="775" w:name="_Toc19000"/>
      <w:bookmarkStart w:id="776" w:name="_Toc24914"/>
      <w:r>
        <w:rPr>
          <w:rFonts w:ascii="Times New Roman" w:hAnsi="Times New Roman" w:eastAsia="方正黑体简体" w:cs="Times New Roman"/>
          <w:bCs/>
          <w:sz w:val="32"/>
          <w:szCs w:val="32"/>
        </w:rPr>
        <w:t>第二节 完善现代公共文化服务体系</w:t>
      </w:r>
      <w:bookmarkEnd w:id="764"/>
      <w:bookmarkEnd w:id="765"/>
      <w:bookmarkEnd w:id="766"/>
      <w:bookmarkEnd w:id="767"/>
      <w:bookmarkEnd w:id="768"/>
      <w:bookmarkEnd w:id="769"/>
      <w:bookmarkEnd w:id="770"/>
      <w:bookmarkEnd w:id="771"/>
      <w:bookmarkEnd w:id="772"/>
      <w:bookmarkEnd w:id="773"/>
      <w:bookmarkEnd w:id="774"/>
      <w:bookmarkEnd w:id="775"/>
      <w:bookmarkEnd w:id="776"/>
    </w:p>
    <w:p>
      <w:pPr>
        <w:widowControl w:val="0"/>
        <w:spacing w:line="600" w:lineRule="exact"/>
        <w:ind w:firstLine="640" w:firstLineChars="200"/>
        <w:jc w:val="both"/>
        <w:rPr>
          <w:rFonts w:ascii="Times New Roman" w:hAnsi="Times New Roman" w:eastAsia="方正仿宋简体" w:cs="Times New Roman"/>
          <w:b/>
          <w:sz w:val="32"/>
          <w:szCs w:val="32"/>
        </w:rPr>
      </w:pPr>
      <w:r>
        <w:rPr>
          <w:rFonts w:ascii="Times New Roman" w:hAnsi="Times New Roman" w:eastAsia="方正仿宋简体" w:cs="Times New Roman"/>
          <w:bCs/>
          <w:sz w:val="32"/>
          <w:szCs w:val="32"/>
          <w:shd w:val="clear" w:color="auto" w:fill="FFFFFF"/>
        </w:rPr>
        <w:t>提升文化产品和服务供给能力，构建政府、市场、社会共同参与城乡公共文化服务体系建设的新格局，创建“国家公共文化服务体系示范区”。</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一、健全城乡公共文化服务设施网络。</w:t>
      </w:r>
      <w:r>
        <w:rPr>
          <w:rFonts w:ascii="Times New Roman" w:hAnsi="Times New Roman" w:eastAsia="方正仿宋简体" w:cs="Times New Roman"/>
          <w:bCs/>
          <w:sz w:val="32"/>
          <w:szCs w:val="32"/>
          <w:shd w:val="clear" w:color="auto" w:fill="FFFFFF"/>
        </w:rPr>
        <w:t>深入实施文化惠民工程，提升城乡公共文化服务硬件设施，加快市图书馆、博物馆、科技馆建设，实施南安文庙复兴工程，打造一批城市文化会客厅，建设一批村（社区）综合文化服务中心，探索政社协同、文教结合、校地合作、军地共建、文化交流和特色发展等共建共享体系。结合“智慧城市”，推进公共文化机构数字化建设，构建公共数字文化服务平台，实现基层数字文化互联互通。</w:t>
      </w:r>
    </w:p>
    <w:p>
      <w:pPr>
        <w:widowControl w:val="0"/>
        <w:spacing w:line="600" w:lineRule="exact"/>
        <w:ind w:firstLine="643" w:firstLineChars="200"/>
        <w:jc w:val="both"/>
        <w:rPr>
          <w:rFonts w:ascii="Times New Roman" w:hAnsi="Times New Roman" w:eastAsia="方正仿宋简体" w:cs="Times New Roman"/>
          <w:color w:val="0D0D0D"/>
          <w:sz w:val="32"/>
          <w:szCs w:val="32"/>
        </w:rPr>
      </w:pPr>
      <w:r>
        <w:rPr>
          <w:rFonts w:ascii="Times New Roman" w:hAnsi="Times New Roman" w:eastAsia="方正楷体简体" w:cs="Times New Roman"/>
          <w:b/>
          <w:sz w:val="32"/>
          <w:szCs w:val="32"/>
        </w:rPr>
        <w:t>二、打造公共文化服务特色品牌。</w:t>
      </w:r>
      <w:r>
        <w:rPr>
          <w:rFonts w:hint="default" w:ascii="Times New Roman" w:hAnsi="Times New Roman" w:eastAsia="方正仿宋简体" w:cs="Times New Roman"/>
          <w:b w:val="0"/>
          <w:bCs/>
          <w:sz w:val="32"/>
          <w:szCs w:val="32"/>
          <w:shd w:val="clear" w:color="auto" w:fill="FFFFFF"/>
          <w:lang w:eastAsia="zh-CN"/>
        </w:rPr>
        <w:t>依托</w:t>
      </w:r>
      <w:r>
        <w:rPr>
          <w:rFonts w:ascii="Times New Roman" w:hAnsi="Times New Roman" w:eastAsia="方正仿宋简体" w:cs="Times New Roman"/>
          <w:bCs/>
          <w:sz w:val="32"/>
          <w:szCs w:val="32"/>
          <w:shd w:val="clear" w:color="auto" w:fill="FFFFFF"/>
        </w:rPr>
        <w:t>南安历史文化底蕴，</w:t>
      </w:r>
      <w:r>
        <w:rPr>
          <w:rFonts w:hint="eastAsia" w:ascii="Times New Roman" w:hAnsi="Times New Roman" w:eastAsia="方正仿宋简体" w:cs="Times New Roman"/>
          <w:bCs/>
          <w:sz w:val="32"/>
          <w:szCs w:val="32"/>
          <w:shd w:val="clear" w:color="auto" w:fill="FFFFFF"/>
          <w:lang w:eastAsia="zh-CN"/>
        </w:rPr>
        <w:t>拓展</w:t>
      </w:r>
      <w:r>
        <w:rPr>
          <w:rFonts w:ascii="Times New Roman" w:hAnsi="Times New Roman" w:eastAsia="方正仿宋简体" w:cs="Times New Roman"/>
          <w:bCs/>
          <w:sz w:val="32"/>
          <w:szCs w:val="32"/>
          <w:shd w:val="clear" w:color="auto" w:fill="FFFFFF"/>
        </w:rPr>
        <w:t>英都“拔拔灯”、丰州元宵灯会、洪濑天香巡游、广泽尊王信俗、田都元帅信俗等具有地域特色的民风民俗</w:t>
      </w:r>
      <w:r>
        <w:rPr>
          <w:rFonts w:hint="eastAsia" w:ascii="Times New Roman" w:hAnsi="Times New Roman" w:eastAsia="方正仿宋简体" w:cs="Times New Roman"/>
          <w:bCs/>
          <w:sz w:val="32"/>
          <w:szCs w:val="32"/>
          <w:shd w:val="clear" w:color="auto" w:fill="FFFFFF"/>
          <w:lang w:eastAsia="zh-CN"/>
        </w:rPr>
        <w:t>活动内涵</w:t>
      </w:r>
      <w:r>
        <w:rPr>
          <w:rFonts w:ascii="Times New Roman" w:hAnsi="Times New Roman" w:eastAsia="方正仿宋简体" w:cs="Times New Roman"/>
          <w:bCs/>
          <w:sz w:val="32"/>
          <w:szCs w:val="32"/>
          <w:shd w:val="clear" w:color="auto" w:fill="FFFFFF"/>
        </w:rPr>
        <w:t>，打造闽南文化、海丝文化、成功文化等特色文化品牌。形成“一镇一品牌、一村一特色”的乡土文化品牌。继续开展“走进文化南安”讲坛系列活动，推广“大馆带小屋”、“送戏下乡”、“公益图书志愿者”等公共文化服务项目，形成独具南安特色的公共文化服务特色品牌体系。</w:t>
      </w:r>
    </w:p>
    <w:p>
      <w:pPr>
        <w:widowControl w:val="0"/>
        <w:autoSpaceDE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三、加强新时代文化和自然遗产保护利用工作。</w:t>
      </w:r>
      <w:r>
        <w:rPr>
          <w:rFonts w:ascii="Times New Roman" w:hAnsi="Times New Roman" w:eastAsia="方正仿宋简体" w:cs="Times New Roman"/>
          <w:bCs/>
          <w:sz w:val="32"/>
          <w:szCs w:val="32"/>
          <w:shd w:val="clear" w:color="auto" w:fill="FFFFFF"/>
        </w:rPr>
        <w:t>加强古镇名村、传统村落、历史街区、名人故居的规划建设和整治保护，做好九日山祈风石刻、安平桥（五里桥）</w:t>
      </w:r>
      <w:r>
        <w:rPr>
          <w:rFonts w:hint="eastAsia" w:ascii="Times New Roman" w:hAnsi="Times New Roman" w:eastAsia="方正仿宋简体" w:cs="Times New Roman"/>
          <w:bCs/>
          <w:sz w:val="32"/>
          <w:szCs w:val="32"/>
          <w:shd w:val="clear" w:color="auto" w:fill="FFFFFF"/>
          <w:lang w:eastAsia="zh-CN"/>
        </w:rPr>
        <w:t>等</w:t>
      </w:r>
      <w:r>
        <w:rPr>
          <w:rFonts w:ascii="Times New Roman" w:hAnsi="Times New Roman" w:eastAsia="方正仿宋简体" w:cs="Times New Roman"/>
          <w:bCs/>
          <w:sz w:val="32"/>
          <w:szCs w:val="32"/>
          <w:shd w:val="clear" w:color="auto" w:fill="FFFFFF"/>
        </w:rPr>
        <w:t>文化遗产点保护工作，推动文物保护工作“五纳入”。推进闽南文化生态保护区建设，传承和保护高甲戏、提线木偶、南音、锡雕等闽南文化，建设非遗传承基地和非遗展示中心，强化四级非遗名录保护，加大非遗传承人和乡土文化人才培养力度，实施非遗戏曲数字化记录工程，探索结合乡村振兴、文化旅游的非物质文化遗产保护利用途径，保护和传承 “最闽南”的非遗文化品牌。</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777" w:name="_Toc68707670"/>
      <w:bookmarkStart w:id="778" w:name="_Toc1745"/>
      <w:bookmarkStart w:id="779" w:name="_Toc21419"/>
      <w:bookmarkStart w:id="780" w:name="_Toc23544"/>
      <w:bookmarkStart w:id="781" w:name="_Toc19366"/>
      <w:bookmarkStart w:id="782" w:name="_Toc24784"/>
      <w:bookmarkStart w:id="783" w:name="_Toc21260"/>
      <w:bookmarkStart w:id="784" w:name="_Toc4295"/>
      <w:bookmarkStart w:id="785" w:name="_Toc29417"/>
      <w:bookmarkStart w:id="786" w:name="_Toc12854"/>
      <w:bookmarkStart w:id="787" w:name="_Toc24898"/>
      <w:bookmarkStart w:id="788" w:name="_Toc30792"/>
      <w:bookmarkStart w:id="789" w:name="_Toc1067"/>
      <w:r>
        <w:rPr>
          <w:rFonts w:ascii="Times New Roman" w:hAnsi="Times New Roman" w:eastAsia="方正黑体简体" w:cs="Times New Roman"/>
          <w:bCs/>
          <w:sz w:val="32"/>
          <w:szCs w:val="32"/>
        </w:rPr>
        <w:t>第三节  激发文化创新创造活力</w:t>
      </w:r>
      <w:bookmarkEnd w:id="777"/>
      <w:bookmarkEnd w:id="778"/>
      <w:bookmarkEnd w:id="779"/>
      <w:bookmarkEnd w:id="780"/>
      <w:bookmarkEnd w:id="781"/>
      <w:bookmarkEnd w:id="782"/>
      <w:bookmarkEnd w:id="783"/>
      <w:bookmarkEnd w:id="784"/>
      <w:bookmarkEnd w:id="785"/>
      <w:bookmarkEnd w:id="786"/>
      <w:bookmarkEnd w:id="787"/>
      <w:bookmarkEnd w:id="788"/>
      <w:bookmarkEnd w:id="789"/>
    </w:p>
    <w:p>
      <w:pPr>
        <w:widowControl w:val="0"/>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仿宋简体" w:cs="Times New Roman"/>
          <w:bCs/>
          <w:sz w:val="32"/>
          <w:szCs w:val="32"/>
          <w:shd w:val="clear" w:color="auto" w:fill="FFFFFF"/>
        </w:rPr>
        <w:t>完善支持文化产业和文艺创作发展的政策体系，挖掘文化遗产资源价值，展现南安特色历史文脉和城市记忆，塑造南安独特的城市文化品牌，推动文化事业全面繁荣和文化产业快速发展。</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一、实施文化产业高质量发展工程。</w:t>
      </w:r>
      <w:r>
        <w:rPr>
          <w:rFonts w:ascii="Times New Roman" w:hAnsi="Times New Roman" w:eastAsia="方正仿宋简体" w:cs="Times New Roman"/>
          <w:bCs/>
          <w:sz w:val="32"/>
          <w:szCs w:val="32"/>
          <w:shd w:val="clear" w:color="auto" w:fill="FFFFFF"/>
        </w:rPr>
        <w:t>发挥“中国民间文化艺术之乡”文化资源优势，加强文化引流和赋能，实施传统工艺振兴计划，引导文化企业、手工艺人等投资开发民间文化艺术精品，提升艺术产品市场。推进“文化+”融合创新，建立文旅集团，整合全域文化、体育和旅游资源，培育“文化+”新型文化业态，推进数字技术与文化产业融合，丰富文化产品供给和文化服务，激活文化消费新动能。壮大文化产业市场主体，加快建设成功文化产业园，培育一批文化产业示范基地，壮大骨干企业，发展中小微文化企业，构建大中小微文化企业相互促进的文化产业格局。</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二、实施文艺精品创作工程。</w:t>
      </w:r>
      <w:r>
        <w:rPr>
          <w:rFonts w:ascii="Times New Roman" w:hAnsi="Times New Roman" w:eastAsia="方正仿宋简体" w:cs="Times New Roman"/>
          <w:bCs/>
          <w:sz w:val="32"/>
          <w:szCs w:val="32"/>
          <w:shd w:val="clear" w:color="auto" w:fill="FFFFFF"/>
        </w:rPr>
        <w:t>开展全民阅读、全民开讲活动，提升“书香南安”影响力，擦亮“中国曲艺之乡”品牌，使南安成为闽南文艺精品的重要策源地。创新文化创作激励保障机制，紧扣重大纪念活动庆典时间节点和“泉州：宋元中国的世界海洋商贸中心”历史价值，在文学、音乐、美术、影视、舞台剧等领域创作世界级国家级精品力作。创新文化文艺人才培养引进机制，培育一批文艺领军人才，加强与国内外顶尖文化团队、文艺大家合作交流，接续培养文化文艺青少年人才，打造持续传承的文艺人才梯队。</w:t>
      </w:r>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三、实施文化对外交流与合作工程。</w:t>
      </w:r>
      <w:r>
        <w:rPr>
          <w:rFonts w:ascii="Times New Roman" w:hAnsi="Times New Roman" w:eastAsia="方正仿宋简体" w:cs="Times New Roman"/>
          <w:bCs/>
          <w:sz w:val="32"/>
          <w:szCs w:val="32"/>
          <w:shd w:val="clear" w:color="auto" w:fill="FFFFFF"/>
        </w:rPr>
        <w:t>培育对外文化出口主体，创建文化贸易园区，开展文化贸易专题对接交流活动，重点加强与“一带一路”沿线</w:t>
      </w:r>
      <w:r>
        <w:rPr>
          <w:rFonts w:hint="eastAsia" w:ascii="Times New Roman" w:hAnsi="Times New Roman" w:eastAsia="方正仿宋简体" w:cs="Times New Roman"/>
          <w:bCs/>
          <w:sz w:val="32"/>
          <w:szCs w:val="32"/>
          <w:shd w:val="clear" w:color="auto" w:fill="FFFFFF"/>
          <w:lang w:eastAsia="zh-CN"/>
        </w:rPr>
        <w:t>国家地区</w:t>
      </w:r>
      <w:r>
        <w:rPr>
          <w:rFonts w:ascii="Times New Roman" w:hAnsi="Times New Roman" w:eastAsia="方正仿宋简体" w:cs="Times New Roman"/>
          <w:bCs/>
          <w:sz w:val="32"/>
          <w:szCs w:val="32"/>
          <w:shd w:val="clear" w:color="auto" w:fill="FFFFFF"/>
        </w:rPr>
        <w:t>的文化产业合作，把更多具有南安特色的文化产品和服务推向世界。建立海丝文化旅游商务合作机制，规划建设一批各具特色的文化旅游项目，打造海丝精品文化旅游线路。以“一带一路”沿线国家地区为重点，开展高水平宣传推介，构建开放性、常态化的文化交流平台，促进文脉互鉴和友好往来。</w:t>
      </w:r>
    </w:p>
    <w:p>
      <w:pPr>
        <w:pStyle w:val="17"/>
        <w:widowControl w:val="0"/>
        <w:adjustRightInd/>
        <w:snapToGrid/>
        <w:spacing w:beforeLines="50" w:afterLines="50" w:line="620" w:lineRule="exact"/>
        <w:rPr>
          <w:rFonts w:ascii="Times New Roman" w:hAnsi="Times New Roman" w:eastAsia="方正小标宋简体" w:cs="Times New Roman"/>
          <w:sz w:val="36"/>
          <w:szCs w:val="36"/>
        </w:rPr>
      </w:pPr>
      <w:bookmarkStart w:id="790" w:name="_Toc25662"/>
      <w:bookmarkStart w:id="791" w:name="_Toc25465"/>
      <w:bookmarkStart w:id="792" w:name="_Toc31062"/>
      <w:bookmarkStart w:id="793" w:name="_Toc4917"/>
      <w:bookmarkStart w:id="794" w:name="_Toc24076"/>
      <w:bookmarkStart w:id="795" w:name="_Toc9971"/>
      <w:bookmarkStart w:id="796" w:name="_Toc12771"/>
      <w:bookmarkStart w:id="797" w:name="_Toc23731"/>
      <w:bookmarkStart w:id="798" w:name="_Toc8990"/>
      <w:bookmarkStart w:id="799" w:name="_Toc23468"/>
      <w:bookmarkStart w:id="800" w:name="_Toc3750"/>
      <w:bookmarkStart w:id="801" w:name="_Toc9483"/>
      <w:bookmarkStart w:id="802" w:name="_Toc26825"/>
      <w:bookmarkStart w:id="803" w:name="_Toc16988"/>
      <w:bookmarkStart w:id="804" w:name="_Toc68707671"/>
      <w:bookmarkStart w:id="805" w:name="_Toc4210"/>
      <w:bookmarkStart w:id="806" w:name="_Toc2652"/>
      <w:r>
        <w:rPr>
          <w:rFonts w:ascii="Times New Roman" w:hAnsi="Times New Roman" w:eastAsia="方正小标宋简体" w:cs="Times New Roman"/>
          <w:sz w:val="36"/>
          <w:szCs w:val="36"/>
        </w:rPr>
        <w:t>第九章  打造更具持久力的社会治理</w:t>
      </w:r>
      <w:bookmarkEnd w:id="790"/>
      <w:bookmarkEnd w:id="791"/>
      <w:bookmarkEnd w:id="792"/>
      <w:bookmarkEnd w:id="793"/>
      <w:r>
        <w:rPr>
          <w:rFonts w:ascii="Times New Roman" w:hAnsi="Times New Roman" w:eastAsia="方正小标宋简体" w:cs="Times New Roman"/>
          <w:sz w:val="36"/>
          <w:szCs w:val="36"/>
        </w:rPr>
        <w:t>体系</w:t>
      </w:r>
      <w:bookmarkEnd w:id="794"/>
      <w:bookmarkEnd w:id="795"/>
      <w:bookmarkEnd w:id="796"/>
      <w:bookmarkEnd w:id="797"/>
      <w:bookmarkEnd w:id="798"/>
      <w:bookmarkEnd w:id="799"/>
      <w:bookmarkEnd w:id="800"/>
      <w:bookmarkEnd w:id="801"/>
      <w:bookmarkEnd w:id="802"/>
      <w:bookmarkEnd w:id="803"/>
      <w:bookmarkEnd w:id="804"/>
      <w:bookmarkEnd w:id="805"/>
      <w:bookmarkEnd w:id="806"/>
    </w:p>
    <w:p>
      <w:pPr>
        <w:widowControl w:val="0"/>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仿宋简体" w:cs="Times New Roman"/>
          <w:bCs/>
          <w:sz w:val="32"/>
          <w:szCs w:val="32"/>
          <w:shd w:val="clear" w:color="auto" w:fill="FFFFFF"/>
        </w:rPr>
        <w:t>巩固拓展“强基促稳”创新实践和制度成果，完善共建共享共治的社会治理制度，探索更加管用的县域治理体系新模式，加强系统集成协同高效，构建大网格、大调解、大防控治理体系，打造法治南安、智慧南安、平安南安。</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807" w:name="_Toc68707672"/>
      <w:bookmarkStart w:id="808" w:name="_Toc3025"/>
      <w:bookmarkStart w:id="809" w:name="_Toc3388"/>
      <w:bookmarkStart w:id="810" w:name="_Toc8494"/>
      <w:bookmarkStart w:id="811" w:name="_Toc4093"/>
      <w:bookmarkStart w:id="812" w:name="_Toc21954"/>
      <w:bookmarkStart w:id="813" w:name="_Toc29646"/>
      <w:bookmarkStart w:id="814" w:name="_Toc8592"/>
      <w:bookmarkStart w:id="815" w:name="_Toc17232"/>
      <w:bookmarkStart w:id="816" w:name="_Toc7871"/>
      <w:bookmarkStart w:id="817" w:name="_Toc9778"/>
      <w:bookmarkStart w:id="818" w:name="_Toc136"/>
      <w:bookmarkStart w:id="819" w:name="_Toc11174"/>
      <w:bookmarkStart w:id="820" w:name="_Toc1538"/>
      <w:bookmarkStart w:id="821" w:name="_Toc29097"/>
      <w:bookmarkStart w:id="822" w:name="_Toc61"/>
      <w:bookmarkStart w:id="823" w:name="_Toc15564"/>
      <w:r>
        <w:rPr>
          <w:rFonts w:ascii="Times New Roman" w:hAnsi="Times New Roman" w:eastAsia="方正黑体简体" w:cs="Times New Roman"/>
          <w:bCs/>
          <w:sz w:val="32"/>
          <w:szCs w:val="32"/>
        </w:rPr>
        <w:t>第一节  建设更高水平的法治南安</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widowControl w:val="0"/>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仿宋简体" w:cs="Times New Roman"/>
          <w:bCs/>
          <w:sz w:val="32"/>
          <w:szCs w:val="32"/>
          <w:shd w:val="clear" w:color="auto" w:fill="FFFFFF"/>
        </w:rPr>
        <w:t xml:space="preserve">深化“法治政府建设年”活动，实施依法治市战略，完善民主监督机制。 </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一、加强法治政府建设。</w:t>
      </w:r>
      <w:r>
        <w:rPr>
          <w:rFonts w:ascii="Times New Roman" w:hAnsi="Times New Roman" w:eastAsia="方正仿宋简体" w:cs="Times New Roman"/>
          <w:bCs/>
          <w:sz w:val="32"/>
          <w:szCs w:val="32"/>
          <w:shd w:val="clear" w:color="auto" w:fill="FFFFFF"/>
        </w:rPr>
        <w:t>推行行政执法“三项制度”，提升依法行政和法治政府建设水平。加强</w:t>
      </w:r>
      <w:r>
        <w:rPr>
          <w:rFonts w:hint="eastAsia" w:ascii="Times New Roman" w:hAnsi="Times New Roman" w:eastAsia="方正仿宋简体" w:cs="Times New Roman"/>
          <w:bCs/>
          <w:sz w:val="32"/>
          <w:szCs w:val="32"/>
          <w:shd w:val="clear" w:color="auto" w:fill="FFFFFF"/>
          <w:lang w:eastAsia="zh-CN"/>
        </w:rPr>
        <w:t>行政规范文件</w:t>
      </w:r>
      <w:r>
        <w:rPr>
          <w:rFonts w:ascii="Times New Roman" w:hAnsi="Times New Roman" w:eastAsia="方正仿宋简体" w:cs="Times New Roman"/>
          <w:bCs/>
          <w:sz w:val="32"/>
          <w:szCs w:val="32"/>
          <w:shd w:val="clear" w:color="auto" w:fill="FFFFFF"/>
        </w:rPr>
        <w:t>备案审查制度建设，确保各项政策制度</w:t>
      </w:r>
      <w:r>
        <w:rPr>
          <w:rFonts w:hint="eastAsia" w:ascii="Times New Roman" w:hAnsi="Times New Roman" w:eastAsia="方正仿宋简体" w:cs="Times New Roman"/>
          <w:bCs/>
          <w:sz w:val="32"/>
          <w:szCs w:val="32"/>
          <w:shd w:val="clear" w:color="auto" w:fill="FFFFFF"/>
          <w:lang w:eastAsia="zh-CN"/>
        </w:rPr>
        <w:t>合法性</w:t>
      </w:r>
      <w:r>
        <w:rPr>
          <w:rFonts w:ascii="Times New Roman" w:hAnsi="Times New Roman" w:eastAsia="方正仿宋简体" w:cs="Times New Roman"/>
          <w:bCs/>
          <w:sz w:val="32"/>
          <w:szCs w:val="32"/>
          <w:shd w:val="clear" w:color="auto" w:fill="FFFFFF"/>
        </w:rPr>
        <w:t>。推进“八五普法”，完善以宪法为核心的中国特色社会主义法律体系法治宣传教育制度。深化“一村（社区）一法律顾问”，健全公共法律服务平台，打造现代公共法律服务体系。</w:t>
      </w:r>
    </w:p>
    <w:p>
      <w:pPr>
        <w:widowControl w:val="0"/>
        <w:spacing w:line="600" w:lineRule="exact"/>
        <w:ind w:firstLine="643" w:firstLineChars="200"/>
        <w:jc w:val="both"/>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二、加强意识形态建设。</w:t>
      </w:r>
      <w:r>
        <w:rPr>
          <w:rFonts w:ascii="Times New Roman" w:hAnsi="Times New Roman" w:eastAsia="方正仿宋简体" w:cs="Times New Roman"/>
          <w:bCs/>
          <w:sz w:val="32"/>
          <w:szCs w:val="32"/>
          <w:shd w:val="clear" w:color="auto" w:fill="FFFFFF"/>
        </w:rPr>
        <w:t>贯彻</w:t>
      </w:r>
      <w:r>
        <w:rPr>
          <w:rFonts w:hint="eastAsia" w:ascii="Times New Roman" w:hAnsi="Times New Roman" w:eastAsia="方正仿宋简体" w:cs="Times New Roman"/>
          <w:bCs/>
          <w:sz w:val="32"/>
          <w:szCs w:val="32"/>
          <w:shd w:val="clear" w:color="auto" w:fill="FFFFFF"/>
        </w:rPr>
        <w:t>落实《中国共产党宣传工作条例》</w:t>
      </w:r>
      <w:r>
        <w:rPr>
          <w:rFonts w:hint="eastAsia" w:ascii="Times New Roman" w:hAnsi="Times New Roman" w:eastAsia="方正仿宋简体" w:cs="Times New Roman"/>
          <w:bCs/>
          <w:sz w:val="32"/>
          <w:szCs w:val="32"/>
          <w:shd w:val="clear" w:color="auto" w:fill="FFFFFF"/>
          <w:lang w:eastAsia="zh-CN"/>
        </w:rPr>
        <w:t>，</w:t>
      </w:r>
      <w:r>
        <w:rPr>
          <w:rFonts w:ascii="Times New Roman" w:hAnsi="Times New Roman" w:eastAsia="方正仿宋简体" w:cs="Times New Roman"/>
          <w:bCs/>
          <w:sz w:val="32"/>
          <w:szCs w:val="32"/>
          <w:shd w:val="clear" w:color="auto" w:fill="FFFFFF"/>
        </w:rPr>
        <w:t>严格落实意识形态工作责任制，坚决打赢防范化解意识形态领域重大风险攻坚战。优化融媒体中心，构建全媒体传播体系，推行网上网下一体、内宣外宣联动。全面落实网络意识形态工作责任制，完善网络安全和信息内容管理执法联席会议制度和 “1+N”舆情应对处置机制，健全网络综合治理体系。</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三、加强民主政治建设。</w:t>
      </w:r>
      <w:r>
        <w:rPr>
          <w:rFonts w:ascii="Times New Roman" w:hAnsi="Times New Roman" w:eastAsia="方正仿宋简体" w:cs="Times New Roman"/>
          <w:bCs/>
          <w:sz w:val="32"/>
          <w:szCs w:val="32"/>
          <w:shd w:val="clear" w:color="auto" w:fill="FFFFFF"/>
        </w:rPr>
        <w:t>坚持人民代表大会制度，主动接受人大监督，健全联系机制和联席会议制度。坚持中国共产党领导的多党合作和政治协商制度，自觉接受人民政协民主监督，完善政府与政协联系制度。提高人大代表建议政协提案办理质量和实效。</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824" w:name="_Toc24125"/>
      <w:bookmarkStart w:id="825" w:name="_Toc28657"/>
      <w:bookmarkStart w:id="826" w:name="_Toc25680"/>
      <w:bookmarkStart w:id="827" w:name="_Toc6421"/>
      <w:bookmarkStart w:id="828" w:name="_Toc3569"/>
      <w:bookmarkStart w:id="829" w:name="_Toc30359"/>
      <w:bookmarkStart w:id="830" w:name="_Toc31603"/>
      <w:bookmarkStart w:id="831" w:name="_Toc29943"/>
      <w:bookmarkStart w:id="832" w:name="_Toc8579"/>
      <w:bookmarkStart w:id="833" w:name="_Toc30739"/>
      <w:bookmarkStart w:id="834" w:name="_Toc10304"/>
      <w:bookmarkStart w:id="835" w:name="_Toc7870"/>
      <w:bookmarkStart w:id="836" w:name="_Toc1434"/>
      <w:bookmarkStart w:id="837" w:name="_Toc325"/>
      <w:bookmarkStart w:id="838" w:name="_Toc12360"/>
      <w:bookmarkStart w:id="839" w:name="_Toc21136"/>
      <w:bookmarkStart w:id="840" w:name="_Toc68707673"/>
      <w:r>
        <w:rPr>
          <w:rFonts w:ascii="Times New Roman" w:hAnsi="Times New Roman" w:eastAsia="方正黑体简体" w:cs="Times New Roman"/>
          <w:bCs/>
          <w:sz w:val="32"/>
          <w:szCs w:val="32"/>
        </w:rPr>
        <w:t>第二节  建设更高水平的平安南安</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pPr>
        <w:widowControl w:val="0"/>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仿宋简体" w:cs="Times New Roman"/>
          <w:bCs/>
          <w:sz w:val="32"/>
          <w:szCs w:val="32"/>
          <w:shd w:val="clear" w:color="auto" w:fill="FFFFFF"/>
        </w:rPr>
        <w:t>统筹发展和安全，构建城市安全信息系统，完善立体化社会安全防控体系和综合防灾减灾救助体系，深化重点领域风险治理，建立重大安全风险防范化解长效机制，建设更高水平的平安南安。</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一、推进治安防控立体化。</w:t>
      </w:r>
      <w:r>
        <w:rPr>
          <w:rFonts w:ascii="Times New Roman" w:hAnsi="Times New Roman" w:eastAsia="方正仿宋简体" w:cs="Times New Roman"/>
          <w:bCs/>
          <w:sz w:val="32"/>
          <w:szCs w:val="32"/>
          <w:shd w:val="clear" w:color="auto" w:fill="FFFFFF"/>
        </w:rPr>
        <w:t>注重科技兴安，持续完善现代科技辅助治安防控机制，深化“雪亮工程”成果，密织多维感知网，构建公共安全视频监控联网应用体系。以争创社会治安防控体系建设“示范城市”为契机，加快智慧警务室、智慧安防小区等升级改造，完善立体化社会治安防控体系。推广“区块链+风控”融合技术，提升数字技术在社会治理领域应用。</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二、推进应急系统规范化。</w:t>
      </w:r>
      <w:r>
        <w:rPr>
          <w:rFonts w:ascii="Times New Roman" w:hAnsi="Times New Roman" w:eastAsia="方正仿宋简体" w:cs="Times New Roman"/>
          <w:bCs/>
          <w:sz w:val="32"/>
          <w:szCs w:val="32"/>
          <w:shd w:val="clear" w:color="auto" w:fill="FFFFFF"/>
        </w:rPr>
        <w:t>完善突发事件预警机制，建设全市统一专业监测预警系统和发布平台，推进“双重预防”机制建设，制定各领域应急预案，构建综合应急体系。推进应急避难场所建设，完善应急物资保障系统，配齐配强应急救援力量，推进应急物资建设和管理。</w:t>
      </w:r>
      <w:r>
        <w:rPr>
          <w:rFonts w:hint="eastAsia" w:ascii="Times New Roman" w:hAnsi="Times New Roman" w:eastAsia="方正仿宋简体" w:cs="Times New Roman"/>
          <w:bCs/>
          <w:sz w:val="32"/>
          <w:szCs w:val="32"/>
          <w:shd w:val="clear" w:color="auto" w:fill="FFFFFF"/>
        </w:rPr>
        <w:t>加强公共消防设施建设，</w:t>
      </w:r>
      <w:r>
        <w:rPr>
          <w:rFonts w:hint="eastAsia" w:ascii="Times New Roman" w:hAnsi="Times New Roman" w:eastAsia="方正仿宋简体" w:cs="Times New Roman"/>
          <w:bCs/>
          <w:sz w:val="32"/>
          <w:szCs w:val="32"/>
          <w:shd w:val="clear" w:color="auto" w:fill="FFFFFF"/>
          <w:lang w:eastAsia="zh-CN"/>
        </w:rPr>
        <w:t>逐步完善优化全市消防站点布局</w:t>
      </w:r>
      <w:r>
        <w:rPr>
          <w:rFonts w:hint="eastAsia" w:ascii="Times New Roman" w:hAnsi="Times New Roman" w:eastAsia="方正仿宋简体" w:cs="Times New Roman"/>
          <w:bCs/>
          <w:sz w:val="32"/>
          <w:szCs w:val="32"/>
          <w:shd w:val="clear" w:color="auto" w:fill="FFFFFF"/>
        </w:rPr>
        <w:t>。</w:t>
      </w:r>
      <w:r>
        <w:rPr>
          <w:rFonts w:ascii="Times New Roman" w:hAnsi="Times New Roman" w:eastAsia="方正仿宋简体" w:cs="Times New Roman"/>
          <w:bCs/>
          <w:sz w:val="32"/>
          <w:szCs w:val="32"/>
          <w:shd w:val="clear" w:color="auto" w:fill="FFFFFF"/>
        </w:rPr>
        <w:t>构建重大安全风险防范化解长效机制，健全综合防灾减灾救助体系，打造现代化安全保障体系。引导社会组织科学参与减灾救灾，构建政府主导、多元联动的防灾减灾新格局。</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三、推进安全监管长效化。</w:t>
      </w:r>
      <w:r>
        <w:rPr>
          <w:rFonts w:ascii="Times New Roman" w:hAnsi="Times New Roman" w:eastAsia="方正仿宋简体" w:cs="Times New Roman"/>
          <w:bCs/>
          <w:sz w:val="32"/>
          <w:szCs w:val="32"/>
          <w:shd w:val="clear" w:color="auto" w:fill="FFFFFF"/>
        </w:rPr>
        <w:t>严格落实政府、部门、企业、岗位全链条安全生产责任制，开展安全风险分级管控和隐患排查治理双重预防机制建设，拉网式排查整治消防、道安、危化、食药等重点领域风险，实现关口前移、预防为主。</w:t>
      </w:r>
      <w:r>
        <w:rPr>
          <w:rFonts w:hint="eastAsia" w:ascii="Times New Roman" w:hAnsi="Times New Roman" w:eastAsia="方正仿宋简体" w:cs="Times New Roman"/>
          <w:bCs/>
          <w:sz w:val="32"/>
          <w:szCs w:val="32"/>
          <w:shd w:val="clear" w:color="auto" w:fill="FFFFFF"/>
        </w:rPr>
        <w:t>加大执法力度和经费投入，加强</w:t>
      </w:r>
      <w:r>
        <w:rPr>
          <w:rFonts w:ascii="Times New Roman" w:hAnsi="Times New Roman" w:eastAsia="方正仿宋简体" w:cs="Times New Roman"/>
          <w:bCs/>
          <w:sz w:val="32"/>
          <w:szCs w:val="32"/>
          <w:shd w:val="clear" w:color="auto" w:fill="FFFFFF"/>
        </w:rPr>
        <w:t>食品药械安全监管，</w:t>
      </w:r>
      <w:r>
        <w:rPr>
          <w:rFonts w:hint="eastAsia" w:ascii="Times New Roman" w:hAnsi="Times New Roman" w:eastAsia="方正仿宋简体" w:cs="Times New Roman"/>
          <w:bCs/>
          <w:sz w:val="32"/>
          <w:szCs w:val="32"/>
          <w:shd w:val="clear" w:color="auto" w:fill="FFFFFF"/>
        </w:rPr>
        <w:t>持续推进</w:t>
      </w:r>
      <w:r>
        <w:rPr>
          <w:rFonts w:ascii="Times New Roman" w:hAnsi="Times New Roman" w:eastAsia="方正仿宋简体" w:cs="Times New Roman"/>
          <w:bCs/>
          <w:sz w:val="32"/>
          <w:szCs w:val="32"/>
          <w:shd w:val="clear" w:color="auto" w:fill="FFFFFF"/>
        </w:rPr>
        <w:t>“餐桌污染”治理，</w:t>
      </w:r>
      <w:r>
        <w:rPr>
          <w:rFonts w:hint="eastAsia" w:ascii="Times New Roman" w:hAnsi="Times New Roman" w:eastAsia="方正仿宋简体" w:cs="Times New Roman"/>
          <w:bCs/>
          <w:sz w:val="32"/>
          <w:szCs w:val="32"/>
          <w:shd w:val="clear" w:color="auto" w:fill="FFFFFF"/>
        </w:rPr>
        <w:t>建设食品放心工程，加大食品安全抽检力度和食品生产经营</w:t>
      </w:r>
      <w:r>
        <w:rPr>
          <w:rFonts w:ascii="Times New Roman" w:hAnsi="Times New Roman" w:eastAsia="方正仿宋简体" w:cs="Times New Roman"/>
          <w:bCs/>
          <w:sz w:val="32"/>
          <w:szCs w:val="32"/>
          <w:shd w:val="clear" w:color="auto" w:fill="FFFFFF"/>
        </w:rPr>
        <w:t>“一品一码”追溯体系</w:t>
      </w:r>
      <w:r>
        <w:rPr>
          <w:rFonts w:hint="eastAsia" w:ascii="Times New Roman" w:hAnsi="Times New Roman" w:eastAsia="方正仿宋简体" w:cs="Times New Roman"/>
          <w:bCs/>
          <w:sz w:val="32"/>
          <w:szCs w:val="32"/>
          <w:shd w:val="clear" w:color="auto" w:fill="FFFFFF"/>
        </w:rPr>
        <w:t>建设</w:t>
      </w:r>
      <w:r>
        <w:rPr>
          <w:rFonts w:ascii="Times New Roman" w:hAnsi="Times New Roman" w:eastAsia="方正仿宋简体" w:cs="Times New Roman"/>
          <w:bCs/>
          <w:sz w:val="32"/>
          <w:szCs w:val="32"/>
          <w:shd w:val="clear" w:color="auto" w:fill="FFFFFF"/>
        </w:rPr>
        <w:t>，强化</w:t>
      </w:r>
      <w:r>
        <w:rPr>
          <w:rFonts w:hint="eastAsia" w:ascii="Times New Roman" w:hAnsi="Times New Roman" w:eastAsia="方正仿宋简体" w:cs="Times New Roman"/>
          <w:bCs/>
          <w:sz w:val="32"/>
          <w:szCs w:val="32"/>
          <w:shd w:val="clear" w:color="auto" w:fill="FFFFFF"/>
        </w:rPr>
        <w:t>食品、</w:t>
      </w:r>
      <w:r>
        <w:rPr>
          <w:rFonts w:ascii="Times New Roman" w:hAnsi="Times New Roman" w:eastAsia="方正仿宋简体" w:cs="Times New Roman"/>
          <w:bCs/>
          <w:sz w:val="32"/>
          <w:szCs w:val="32"/>
          <w:shd w:val="clear" w:color="auto" w:fill="FFFFFF"/>
        </w:rPr>
        <w:t>药品、医疗器械网络销售等专项整治，防止重特大食品药品安全事故发生。</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四、推进扫黑除恶常态化。</w:t>
      </w:r>
      <w:r>
        <w:rPr>
          <w:rFonts w:hint="eastAsia" w:ascii="Times New Roman" w:hAnsi="Times New Roman" w:eastAsia="方正仿宋简体" w:cs="Times New Roman"/>
          <w:bCs/>
          <w:i w:val="0"/>
          <w:caps w:val="0"/>
          <w:color w:val="000000"/>
          <w:spacing w:val="0"/>
          <w:sz w:val="32"/>
          <w:szCs w:val="32"/>
          <w:shd w:val="clear" w:color="auto" w:fill="FFFFFF"/>
        </w:rPr>
        <w:t>巩固和拓展</w:t>
      </w:r>
      <w:r>
        <w:rPr>
          <w:rFonts w:hint="eastAsia" w:ascii="Times New Roman" w:hAnsi="Times New Roman" w:eastAsia="方正仿宋简体" w:cs="Times New Roman"/>
          <w:bCs/>
          <w:i w:val="0"/>
          <w:caps w:val="0"/>
          <w:spacing w:val="0"/>
          <w:sz w:val="32"/>
          <w:szCs w:val="32"/>
          <w:shd w:val="clear" w:color="auto" w:fill="FFFFFF"/>
          <w:lang w:eastAsia="zh-CN"/>
        </w:rPr>
        <w:t>扫黑除恶</w:t>
      </w:r>
      <w:r>
        <w:rPr>
          <w:rFonts w:hint="eastAsia" w:ascii="Times New Roman" w:hAnsi="Times New Roman" w:eastAsia="方正仿宋简体" w:cs="Times New Roman"/>
          <w:bCs/>
          <w:i w:val="0"/>
          <w:caps w:val="0"/>
          <w:color w:val="000000"/>
          <w:spacing w:val="0"/>
          <w:sz w:val="32"/>
          <w:szCs w:val="32"/>
          <w:shd w:val="clear" w:color="auto" w:fill="FFFFFF"/>
        </w:rPr>
        <w:t>专项斗争成果，高标准高质量落实好常态化开展扫黑除恶斗争各项工作措施</w:t>
      </w:r>
      <w:r>
        <w:rPr>
          <w:rFonts w:ascii="Times New Roman" w:hAnsi="Times New Roman" w:eastAsia="方正仿宋简体" w:cs="Times New Roman"/>
          <w:bCs/>
          <w:sz w:val="32"/>
          <w:szCs w:val="32"/>
          <w:shd w:val="clear" w:color="auto" w:fill="FFFFFF"/>
        </w:rPr>
        <w:t>，整治突出治安问题，加大黄赌毒违法犯罪打击整治力度，整治重点领域（行业）乱象，保持打击</w:t>
      </w:r>
      <w:r>
        <w:rPr>
          <w:rFonts w:hint="eastAsia" w:ascii="Times New Roman" w:hAnsi="Times New Roman" w:eastAsia="方正仿宋简体" w:cs="Times New Roman"/>
          <w:bCs/>
          <w:sz w:val="32"/>
          <w:szCs w:val="32"/>
          <w:shd w:val="clear" w:color="auto" w:fill="FFFFFF"/>
          <w:lang w:eastAsia="zh-CN"/>
        </w:rPr>
        <w:t>“</w:t>
      </w:r>
      <w:r>
        <w:rPr>
          <w:rFonts w:ascii="Times New Roman" w:hAnsi="Times New Roman" w:eastAsia="方正仿宋简体" w:cs="Times New Roman"/>
          <w:bCs/>
          <w:sz w:val="32"/>
          <w:szCs w:val="32"/>
          <w:shd w:val="clear" w:color="auto" w:fill="FFFFFF"/>
        </w:rPr>
        <w:t>村霸市霸</w:t>
      </w:r>
      <w:r>
        <w:rPr>
          <w:rFonts w:hint="eastAsia" w:ascii="Times New Roman" w:hAnsi="Times New Roman" w:eastAsia="方正仿宋简体" w:cs="Times New Roman"/>
          <w:bCs/>
          <w:sz w:val="32"/>
          <w:szCs w:val="32"/>
          <w:shd w:val="clear" w:color="auto" w:fill="FFFFFF"/>
          <w:lang w:eastAsia="zh-CN"/>
        </w:rPr>
        <w:t>”</w:t>
      </w:r>
      <w:r>
        <w:rPr>
          <w:rFonts w:ascii="Times New Roman" w:hAnsi="Times New Roman" w:eastAsia="方正仿宋简体" w:cs="Times New Roman"/>
          <w:bCs/>
          <w:sz w:val="32"/>
          <w:szCs w:val="32"/>
          <w:shd w:val="clear" w:color="auto" w:fill="FFFFFF"/>
        </w:rPr>
        <w:t>、地痞、黄赌毒等治安顽疾高压态势，重拳整治毒品犯罪、电信网络诈骗、非法集资、套路贷等新型违法犯罪行为，维护社会治安稳定有序。</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五、推进城乡建设安全管控制度化。</w:t>
      </w:r>
      <w:r>
        <w:rPr>
          <w:rFonts w:ascii="Times New Roman" w:hAnsi="Times New Roman" w:eastAsia="方正仿宋简体" w:cs="Times New Roman"/>
          <w:bCs/>
          <w:sz w:val="32"/>
          <w:szCs w:val="32"/>
          <w:shd w:val="clear" w:color="auto" w:fill="FFFFFF"/>
        </w:rPr>
        <w:t>深刻汲取泉州欣佳酒店坍塌事故教训，健全安全监管责任体系，保持对违法用地、违法建设“零容忍”及房屋建筑安全高压管控态势，提高房屋建筑工程质量安全信息化监管水平。探索“开放+封闭”的街区管理新模式，完善基层“微自治”循环，整合优化提升网格化服务管理体系。</w:t>
      </w:r>
    </w:p>
    <w:p>
      <w:pPr>
        <w:widowControl w:val="0"/>
        <w:adjustRightInd/>
        <w:snapToGrid/>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六、推进交通安全整治常态化。</w:t>
      </w:r>
      <w:r>
        <w:rPr>
          <w:rFonts w:ascii="Times New Roman" w:hAnsi="Times New Roman" w:eastAsia="方正仿宋简体" w:cs="Times New Roman"/>
          <w:bCs/>
          <w:sz w:val="32"/>
          <w:szCs w:val="32"/>
          <w:shd w:val="clear" w:color="auto" w:fill="FFFFFF"/>
        </w:rPr>
        <w:t>深化道安整治，严格落实道路交通设施“三同时”机制，引入工程项目交通安全影响评价机制，强化道路建设项目安全管理，加强农村交通安全劝导，加快校园周边道路防护设施及校车停靠站点建设，加大道路隐患排查治理，防范重点区域事故。严格落实渣土车、校车、旅游客车、</w:t>
      </w:r>
      <w:r>
        <w:rPr>
          <w:rFonts w:hint="eastAsia" w:ascii="Times New Roman" w:hAnsi="Times New Roman" w:eastAsia="方正仿宋简体" w:cs="Times New Roman"/>
          <w:bCs/>
          <w:sz w:val="32"/>
          <w:szCs w:val="32"/>
          <w:shd w:val="clear" w:color="auto" w:fill="FFFFFF"/>
          <w:lang w:eastAsia="zh-CN"/>
        </w:rPr>
        <w:t>快递物流、</w:t>
      </w:r>
      <w:r>
        <w:rPr>
          <w:rFonts w:ascii="Times New Roman" w:hAnsi="Times New Roman" w:eastAsia="方正仿宋简体" w:cs="Times New Roman"/>
          <w:bCs/>
          <w:sz w:val="32"/>
          <w:szCs w:val="32"/>
          <w:shd w:val="clear" w:color="auto" w:fill="FFFFFF"/>
        </w:rPr>
        <w:t>危险化学品运输车辆等重点车辆安全监管和通行秩序管控，治理占道经营、违法停车等乱象</w:t>
      </w:r>
      <w:r>
        <w:rPr>
          <w:rFonts w:hint="eastAsia" w:ascii="Times New Roman" w:hAnsi="Times New Roman" w:eastAsia="方正仿宋简体" w:cs="Times New Roman"/>
          <w:bCs/>
          <w:sz w:val="32"/>
          <w:szCs w:val="32"/>
          <w:shd w:val="clear" w:color="auto" w:fill="FFFFFF"/>
        </w:rPr>
        <w:t>，构建常态化长效管理机制</w:t>
      </w:r>
      <w:r>
        <w:rPr>
          <w:rFonts w:ascii="Times New Roman" w:hAnsi="Times New Roman" w:eastAsia="方正仿宋简体" w:cs="Times New Roman"/>
          <w:bCs/>
          <w:sz w:val="32"/>
          <w:szCs w:val="32"/>
          <w:shd w:val="clear" w:color="auto" w:fill="FFFFFF"/>
        </w:rPr>
        <w:t>。</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841" w:name="_Toc27555"/>
      <w:bookmarkStart w:id="842" w:name="_Toc1329"/>
      <w:bookmarkStart w:id="843" w:name="_Toc13389"/>
      <w:bookmarkStart w:id="844" w:name="_Toc14520"/>
      <w:bookmarkStart w:id="845" w:name="_Toc6299"/>
      <w:bookmarkStart w:id="846" w:name="_Toc68707674"/>
      <w:bookmarkStart w:id="847" w:name="_Toc10431"/>
      <w:bookmarkStart w:id="848" w:name="_Toc30309"/>
      <w:bookmarkStart w:id="849" w:name="_Toc18005"/>
      <w:bookmarkStart w:id="850" w:name="_Toc19769"/>
      <w:bookmarkStart w:id="851" w:name="_Toc6199"/>
      <w:bookmarkStart w:id="852" w:name="_Toc5365"/>
      <w:bookmarkStart w:id="853" w:name="_Toc407"/>
      <w:bookmarkStart w:id="854" w:name="_Toc32581"/>
      <w:bookmarkStart w:id="855" w:name="_Toc12564"/>
      <w:bookmarkStart w:id="856" w:name="_Toc2775"/>
      <w:bookmarkStart w:id="857" w:name="_Toc12820"/>
      <w:r>
        <w:rPr>
          <w:rFonts w:ascii="Times New Roman" w:hAnsi="Times New Roman" w:eastAsia="方正黑体简体" w:cs="Times New Roman"/>
          <w:bCs/>
          <w:sz w:val="32"/>
          <w:szCs w:val="32"/>
        </w:rPr>
        <w:t>第三节  建设更高水平的和谐南安</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pPr>
        <w:widowControl w:val="0"/>
        <w:adjustRightInd/>
        <w:snapToGrid/>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仿宋简体" w:cs="Times New Roman"/>
          <w:bCs/>
          <w:sz w:val="32"/>
          <w:szCs w:val="32"/>
          <w:shd w:val="clear" w:color="auto" w:fill="FFFFFF"/>
        </w:rPr>
        <w:t>注重基层一线化解、三级多方联动，创新基层社会治理网格化，推动法治德治自治相融合，构建多层次、多元化、多渠道的城乡综合治理体系，打造创新性社会治理品牌。</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一、推进涉诉信访法制化。</w:t>
      </w:r>
      <w:r>
        <w:rPr>
          <w:rFonts w:ascii="Times New Roman" w:hAnsi="Times New Roman" w:eastAsia="方正仿宋简体" w:cs="Times New Roman"/>
          <w:bCs/>
          <w:sz w:val="32"/>
          <w:szCs w:val="32"/>
          <w:shd w:val="clear" w:color="auto" w:fill="FFFFFF"/>
        </w:rPr>
        <w:t>拓宽12345便民服务平台的民意入口功能，推行“接诉即办”机制，强化与网上办事大厅、110警务热线、综治网格化平台协同联动，提高群众诉求办理质量和效率。加强信访法制化建设，实行“最多投一次”阳光信访工作机制，推进诉访分离和依法分类处理，完善信访评理和信访评查机制，建立和完善“诚信建设+信访”综合惩戒机制，持续整治缠访闹访和重复访，依法打击非法上访，加大信访化解力度，健全化解民生热难点问题的长效机制。</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二、推进“3+N”联合调解网络体系化。</w:t>
      </w:r>
      <w:r>
        <w:rPr>
          <w:rFonts w:ascii="Times New Roman" w:hAnsi="Times New Roman" w:eastAsia="方正仿宋简体" w:cs="Times New Roman"/>
          <w:bCs/>
          <w:sz w:val="32"/>
          <w:szCs w:val="32"/>
          <w:shd w:val="clear" w:color="auto" w:fill="FFFFFF"/>
        </w:rPr>
        <w:t>深化大调解行动，推行“四门四访”，持续推进调解信息管理智能化、调解工作社会化、专业化，创新联合调解3.0模式，构建以市联合调解中心为枢纽、乡镇（街道）联合调解分中心为支撑，村（居）调委会为单元，各类行业性、专业性、社会性调解组织为补充的“3+N”联合调解网络体系，打造新时代“枫桥经验”的南安版。</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三、推进司法服务联动化。</w:t>
      </w:r>
      <w:r>
        <w:rPr>
          <w:rFonts w:ascii="Times New Roman" w:hAnsi="Times New Roman" w:eastAsia="方正仿宋简体" w:cs="Times New Roman"/>
          <w:bCs/>
          <w:sz w:val="32"/>
          <w:szCs w:val="32"/>
          <w:shd w:val="clear" w:color="auto" w:fill="FFFFFF"/>
        </w:rPr>
        <w:t>完善“法商联动”平台，持续打通法院、联合调解中心、工商联和各异地商会沟通互动渠道，构建多方联动的司法服务体系。完善政府和检察院依法行政与公益诉讼协调发展机制，从源头上预防行政“不作为、乱作为”现象。</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四、创新基层治理模式网格化。</w:t>
      </w:r>
      <w:r>
        <w:rPr>
          <w:rFonts w:ascii="Times New Roman" w:hAnsi="Times New Roman" w:eastAsia="方正仿宋简体" w:cs="Times New Roman"/>
          <w:bCs/>
          <w:sz w:val="32"/>
          <w:szCs w:val="32"/>
          <w:shd w:val="clear" w:color="auto" w:fill="FFFFFF"/>
        </w:rPr>
        <w:t>创新“网格+N”的全要素网格化治理机制，以市镇村属地管理为经线，以市直部门归口管理为纬线，构建两系列、三层级经纬网格体系。推动社区治理重心向农村社区转移，探索“微自治”社会末梢治理模式，完善“三社联动”机制，健全政府购买社区服务机制，形成多元主体共同参与的基层善治体系。</w:t>
      </w:r>
    </w:p>
    <w:p>
      <w:pPr>
        <w:widowControl w:val="0"/>
        <w:adjustRightInd/>
        <w:snapToGrid/>
        <w:spacing w:line="600" w:lineRule="exact"/>
        <w:jc w:val="center"/>
        <w:outlineLvl w:val="1"/>
        <w:rPr>
          <w:rFonts w:eastAsia="方正小标宋简体"/>
          <w:sz w:val="44"/>
          <w:szCs w:val="44"/>
        </w:rPr>
      </w:pPr>
      <w:r>
        <w:rPr>
          <w:rFonts w:ascii="Times New Roman" w:hAnsi="Times New Roman" w:eastAsia="方正黑体简体" w:cs="Times New Roman"/>
          <w:bCs/>
          <w:sz w:val="32"/>
          <w:szCs w:val="32"/>
        </w:rPr>
        <w:t>第四节  建设更高水平的廉洁南安</w:t>
      </w:r>
    </w:p>
    <w:p>
      <w:pPr>
        <w:widowControl w:val="0"/>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仿宋简体" w:cs="Times New Roman"/>
          <w:bCs/>
          <w:sz w:val="32"/>
          <w:szCs w:val="32"/>
          <w:shd w:val="clear" w:color="auto" w:fill="FFFFFF"/>
        </w:rPr>
        <w:t>坚持把监督贯穿党领导经济社会发展全过程，融入“十四五”建设之中，坚定不移推进正风肃纪反腐，持续健全完善监督体系，不断涵养风清气正、崇廉尚实、干事创业、遵纪守规的政治生态。</w:t>
      </w:r>
    </w:p>
    <w:p>
      <w:pPr>
        <w:spacing w:line="560" w:lineRule="exact"/>
        <w:ind w:firstLine="643" w:firstLineChars="200"/>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一、一体推进“三不”机制构建。</w:t>
      </w:r>
      <w:r>
        <w:rPr>
          <w:rFonts w:ascii="Times New Roman" w:hAnsi="Times New Roman" w:eastAsia="方正仿宋简体" w:cs="Times New Roman"/>
          <w:bCs/>
          <w:sz w:val="32"/>
          <w:szCs w:val="32"/>
          <w:shd w:val="clear" w:color="auto" w:fill="FFFFFF"/>
        </w:rPr>
        <w:t>完善惩治和预防腐败体系，构建进一步推进不敢腐、不能腐、不想腐</w:t>
      </w:r>
      <w:r>
        <w:rPr>
          <w:rFonts w:hint="eastAsia" w:ascii="Times New Roman" w:hAnsi="Times New Roman" w:eastAsia="方正仿宋简体" w:cs="Times New Roman"/>
          <w:bCs/>
          <w:sz w:val="32"/>
          <w:szCs w:val="32"/>
          <w:shd w:val="clear" w:color="auto" w:fill="FFFFFF"/>
        </w:rPr>
        <w:t>的</w:t>
      </w:r>
      <w:r>
        <w:rPr>
          <w:rFonts w:ascii="Times New Roman" w:hAnsi="Times New Roman" w:eastAsia="方正仿宋简体" w:cs="Times New Roman"/>
          <w:bCs/>
          <w:sz w:val="32"/>
          <w:szCs w:val="32"/>
          <w:shd w:val="clear" w:color="auto" w:fill="FFFFFF"/>
        </w:rPr>
        <w:t>体制机制。完善基层审查调查片区协作机制，坚决查处重点领域腐败问题，</w:t>
      </w:r>
      <w:r>
        <w:rPr>
          <w:rFonts w:hint="eastAsia" w:ascii="Times New Roman" w:hAnsi="Times New Roman" w:eastAsia="方正仿宋简体" w:cs="Times New Roman"/>
          <w:bCs/>
          <w:sz w:val="32"/>
          <w:szCs w:val="32"/>
          <w:shd w:val="clear" w:color="auto" w:fill="FFFFFF"/>
        </w:rPr>
        <w:t>深入整治</w:t>
      </w:r>
      <w:r>
        <w:rPr>
          <w:rFonts w:ascii="Times New Roman" w:hAnsi="Times New Roman" w:eastAsia="方正仿宋简体" w:cs="Times New Roman"/>
          <w:bCs/>
          <w:sz w:val="32"/>
          <w:szCs w:val="32"/>
          <w:shd w:val="clear" w:color="auto" w:fill="FFFFFF"/>
        </w:rPr>
        <w:t>群众身边不正之风和腐败问题。</w:t>
      </w:r>
      <w:r>
        <w:rPr>
          <w:rFonts w:hint="eastAsia" w:ascii="Times New Roman" w:hAnsi="Times New Roman" w:eastAsia="方正仿宋简体" w:cs="Times New Roman"/>
          <w:bCs/>
          <w:sz w:val="32"/>
          <w:szCs w:val="32"/>
          <w:shd w:val="clear" w:color="auto" w:fill="FFFFFF"/>
        </w:rPr>
        <w:t>健全完善</w:t>
      </w:r>
      <w:r>
        <w:rPr>
          <w:rFonts w:ascii="Times New Roman" w:hAnsi="Times New Roman" w:eastAsia="方正仿宋简体" w:cs="Times New Roman"/>
          <w:bCs/>
          <w:sz w:val="32"/>
          <w:szCs w:val="32"/>
          <w:shd w:val="clear" w:color="auto" w:fill="FFFFFF"/>
        </w:rPr>
        <w:t>行贿人“黑名单”</w:t>
      </w:r>
      <w:r>
        <w:rPr>
          <w:rFonts w:hint="eastAsia" w:ascii="Times New Roman" w:hAnsi="Times New Roman" w:eastAsia="方正仿宋简体" w:cs="Times New Roman"/>
          <w:bCs/>
          <w:sz w:val="32"/>
          <w:szCs w:val="32"/>
          <w:shd w:val="clear" w:color="auto" w:fill="FFFFFF"/>
        </w:rPr>
        <w:t>、</w:t>
      </w:r>
      <w:r>
        <w:rPr>
          <w:rFonts w:ascii="Times New Roman" w:hAnsi="Times New Roman" w:eastAsia="方正仿宋简体" w:cs="Times New Roman"/>
          <w:bCs/>
          <w:sz w:val="32"/>
          <w:szCs w:val="32"/>
          <w:shd w:val="clear" w:color="auto" w:fill="FFFFFF"/>
        </w:rPr>
        <w:t>工程招投标</w:t>
      </w:r>
      <w:r>
        <w:rPr>
          <w:rFonts w:hint="eastAsia" w:ascii="Times New Roman" w:hAnsi="Times New Roman" w:eastAsia="方正仿宋简体" w:cs="Times New Roman"/>
          <w:bCs/>
          <w:sz w:val="32"/>
          <w:szCs w:val="32"/>
          <w:shd w:val="clear" w:color="auto" w:fill="FFFFFF"/>
        </w:rPr>
        <w:t>、</w:t>
      </w:r>
      <w:r>
        <w:rPr>
          <w:rFonts w:ascii="Times New Roman" w:hAnsi="Times New Roman" w:eastAsia="方正仿宋简体" w:cs="Times New Roman"/>
          <w:bCs/>
          <w:sz w:val="32"/>
          <w:szCs w:val="32"/>
          <w:shd w:val="clear" w:color="auto" w:fill="FFFFFF"/>
        </w:rPr>
        <w:t>资源出让和开采行为管理</w:t>
      </w:r>
      <w:r>
        <w:rPr>
          <w:rFonts w:hint="eastAsia" w:ascii="Times New Roman" w:hAnsi="Times New Roman" w:eastAsia="方正仿宋简体" w:cs="Times New Roman"/>
          <w:bCs/>
          <w:sz w:val="32"/>
          <w:szCs w:val="32"/>
          <w:shd w:val="clear" w:color="auto" w:fill="FFFFFF"/>
        </w:rPr>
        <w:t>等</w:t>
      </w:r>
      <w:r>
        <w:rPr>
          <w:rFonts w:ascii="Times New Roman" w:hAnsi="Times New Roman" w:eastAsia="方正仿宋简体" w:cs="Times New Roman"/>
          <w:bCs/>
          <w:sz w:val="32"/>
          <w:szCs w:val="32"/>
          <w:shd w:val="clear" w:color="auto" w:fill="FFFFFF"/>
        </w:rPr>
        <w:t>制度机制，持续推进源头反腐。把严的主基调长期坚持下去，锲而不舍落实中央八项规定及其实施细则精神，持续深化整治形式主义、官僚主义，健全基层监督常态化机制。常态化制度化</w:t>
      </w:r>
      <w:r>
        <w:rPr>
          <w:rFonts w:hint="eastAsia" w:ascii="Times New Roman" w:hAnsi="Times New Roman" w:eastAsia="方正仿宋简体" w:cs="Times New Roman"/>
          <w:bCs/>
          <w:sz w:val="32"/>
          <w:szCs w:val="32"/>
          <w:shd w:val="clear" w:color="auto" w:fill="FFFFFF"/>
        </w:rPr>
        <w:t>推进</w:t>
      </w:r>
      <w:r>
        <w:rPr>
          <w:rFonts w:ascii="Times New Roman" w:hAnsi="Times New Roman" w:eastAsia="方正仿宋简体" w:cs="Times New Roman"/>
          <w:bCs/>
          <w:sz w:val="32"/>
          <w:szCs w:val="32"/>
          <w:shd w:val="clear" w:color="auto" w:fill="FFFFFF"/>
        </w:rPr>
        <w:t>作风建设，推动作风更实、效率更高、服务更优。创新廉政教育机制，传承弘扬本地优秀廉政文化、清廉家风、侨乡文化，营造风清气正的良好政治生态和发展环境。</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二、加强对权力运行监督制约。</w:t>
      </w:r>
      <w:r>
        <w:rPr>
          <w:rFonts w:ascii="Times New Roman" w:hAnsi="Times New Roman" w:eastAsia="方正仿宋简体" w:cs="Times New Roman"/>
          <w:bCs/>
          <w:sz w:val="32"/>
          <w:szCs w:val="32"/>
          <w:shd w:val="clear" w:color="auto" w:fill="FFFFFF"/>
        </w:rPr>
        <w:t>健全政治生态监测研判、评价纠偏和监督成果运用长效机制，加强领导干部廉洁自律管理</w:t>
      </w:r>
      <w:r>
        <w:rPr>
          <w:rFonts w:hint="eastAsia" w:ascii="Times New Roman" w:hAnsi="Times New Roman" w:eastAsia="方正仿宋简体" w:cs="Times New Roman"/>
          <w:bCs/>
          <w:sz w:val="32"/>
          <w:szCs w:val="32"/>
          <w:shd w:val="clear" w:color="auto" w:fill="FFFFFF"/>
          <w:lang w:eastAsia="zh-CN"/>
        </w:rPr>
        <w:t>，</w:t>
      </w:r>
      <w:r>
        <w:rPr>
          <w:rFonts w:ascii="Times New Roman" w:hAnsi="Times New Roman" w:eastAsia="方正仿宋简体" w:cs="Times New Roman"/>
          <w:bCs/>
          <w:sz w:val="32"/>
          <w:szCs w:val="32"/>
          <w:shd w:val="clear" w:color="auto" w:fill="FFFFFF"/>
        </w:rPr>
        <w:t>强化对“一把手”和领导班子的监督。完善权力配置和运行制约机制，健全分事行权、分岗设权、分级授权、定期轮岗制度，明晰权力边界，规范工作流程，强化权力制约。持续深化纪检监察体制改革，加强对公职人员行使权力的监督，紧盯权力运行各个环节，完善防范机制、矫正机制、追责机制，压减权力设租寻租空间。坚持“三个区分开来”，严格执行党员权利保障条例，为受到诬告陷害的干部澄清正名，激励党员干部担当作为。</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三、强化各类监督有效贯通融合。</w:t>
      </w:r>
      <w:r>
        <w:rPr>
          <w:rFonts w:ascii="Times New Roman" w:hAnsi="Times New Roman" w:eastAsia="方正仿宋简体" w:cs="Times New Roman"/>
          <w:bCs/>
          <w:sz w:val="32"/>
          <w:szCs w:val="32"/>
          <w:shd w:val="clear" w:color="auto" w:fill="FFFFFF"/>
        </w:rPr>
        <w:t>全面总结十三届市委巡察“常”“专”结合、多方协同、交叉延伸等有效做法，深入谋划实施巡察工作，完善巡察发现问题、整改落实、成果运用各环节制度机制。进一步深化拓展、总结提升纪检监察机关与巡察机构协作“五项机制”等经验做法，强化巡察与其他监督协调衔接、贯通融合，推动完善系统集成、协同高效的监督体系。增强“制度+科技”思维，探索加强与行政监督、审计监督等外部监督数据共享共用，加强纪检监察工作信息化建设，以大数据赋能提升监督质效。充分运用市委大督导工作机制，见人见事见效抓监督，推动问题精准发现、靶向施治。</w:t>
      </w:r>
    </w:p>
    <w:p>
      <w:pPr>
        <w:pStyle w:val="17"/>
        <w:widowControl w:val="0"/>
        <w:adjustRightInd/>
        <w:snapToGrid/>
        <w:spacing w:beforeLines="50" w:afterLines="50" w:line="620" w:lineRule="exact"/>
        <w:rPr>
          <w:rFonts w:ascii="Times New Roman" w:hAnsi="Times New Roman" w:eastAsia="方正小标宋简体" w:cs="Times New Roman"/>
          <w:sz w:val="36"/>
          <w:szCs w:val="36"/>
        </w:rPr>
      </w:pPr>
      <w:bookmarkStart w:id="858" w:name="_Toc29588"/>
      <w:bookmarkStart w:id="859" w:name="_Toc68707675"/>
      <w:bookmarkStart w:id="860" w:name="_Toc2239"/>
      <w:bookmarkStart w:id="861" w:name="_Toc28330"/>
      <w:bookmarkStart w:id="862" w:name="_Toc24443"/>
      <w:bookmarkStart w:id="863" w:name="_Toc24902"/>
      <w:bookmarkStart w:id="864" w:name="_Toc25322"/>
      <w:bookmarkStart w:id="865" w:name="_Toc17863"/>
      <w:bookmarkStart w:id="866" w:name="_Toc5380"/>
      <w:bookmarkStart w:id="867" w:name="_Toc6534"/>
      <w:bookmarkStart w:id="868" w:name="_Toc18553"/>
      <w:bookmarkStart w:id="869" w:name="_Toc26818"/>
      <w:bookmarkStart w:id="870" w:name="_Toc13883"/>
      <w:bookmarkStart w:id="871" w:name="_Toc22259"/>
      <w:bookmarkStart w:id="872" w:name="_Toc23869"/>
      <w:bookmarkStart w:id="873" w:name="_Toc31019"/>
      <w:bookmarkStart w:id="874" w:name="_Toc23097"/>
      <w:bookmarkStart w:id="875" w:name="_Toc17947"/>
      <w:bookmarkStart w:id="876" w:name="_Toc17693"/>
      <w:r>
        <w:rPr>
          <w:rFonts w:ascii="Times New Roman" w:hAnsi="Times New Roman" w:eastAsia="方正小标宋简体" w:cs="Times New Roman"/>
          <w:sz w:val="36"/>
          <w:szCs w:val="36"/>
        </w:rPr>
        <w:t>第十章  确保规划顺利实施</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pPr>
        <w:widowControl w:val="0"/>
        <w:spacing w:line="600" w:lineRule="exact"/>
        <w:ind w:firstLine="640" w:firstLineChars="200"/>
        <w:jc w:val="both"/>
        <w:rPr>
          <w:rFonts w:ascii="Times New Roman" w:hAnsi="Times New Roman" w:eastAsia="方正仿宋简体" w:cs="Times New Roman"/>
          <w:bCs/>
          <w:sz w:val="32"/>
          <w:szCs w:val="32"/>
          <w:shd w:val="clear" w:color="auto" w:fill="FFFFFF"/>
        </w:rPr>
      </w:pPr>
      <w:r>
        <w:rPr>
          <w:rFonts w:hint="eastAsia" w:ascii="Times New Roman" w:hAnsi="Times New Roman" w:eastAsia="方正仿宋简体" w:cs="Times New Roman"/>
          <w:bCs/>
          <w:sz w:val="32"/>
          <w:szCs w:val="32"/>
          <w:shd w:val="clear" w:color="auto" w:fill="FFFFFF"/>
        </w:rPr>
        <w:t>本规划经过</w:t>
      </w:r>
      <w:r>
        <w:rPr>
          <w:rFonts w:hint="eastAsia" w:ascii="Times New Roman" w:hAnsi="Times New Roman" w:eastAsia="方正仿宋简体" w:cs="Times New Roman"/>
          <w:bCs/>
          <w:sz w:val="32"/>
          <w:szCs w:val="32"/>
          <w:shd w:val="clear" w:color="auto" w:fill="FFFFFF"/>
          <w:lang w:val="en-US" w:eastAsia="zh-CN"/>
        </w:rPr>
        <w:t>市</w:t>
      </w:r>
      <w:r>
        <w:rPr>
          <w:rFonts w:hint="eastAsia" w:ascii="Times New Roman" w:hAnsi="Times New Roman" w:eastAsia="方正仿宋简体" w:cs="Times New Roman"/>
          <w:bCs/>
          <w:sz w:val="32"/>
          <w:szCs w:val="32"/>
          <w:shd w:val="clear" w:color="auto" w:fill="FFFFFF"/>
        </w:rPr>
        <w:t>人民代表大会审议批准，是未来五年我</w:t>
      </w:r>
      <w:r>
        <w:rPr>
          <w:rFonts w:hint="eastAsia" w:ascii="Times New Roman" w:hAnsi="Times New Roman" w:eastAsia="方正仿宋简体" w:cs="Times New Roman"/>
          <w:bCs/>
          <w:sz w:val="32"/>
          <w:szCs w:val="32"/>
          <w:shd w:val="clear" w:color="auto" w:fill="FFFFFF"/>
          <w:lang w:val="en-US" w:eastAsia="zh-CN"/>
        </w:rPr>
        <w:t>市</w:t>
      </w:r>
      <w:r>
        <w:rPr>
          <w:rFonts w:hint="eastAsia" w:ascii="Times New Roman" w:hAnsi="Times New Roman" w:eastAsia="方正仿宋简体" w:cs="Times New Roman"/>
          <w:bCs/>
          <w:sz w:val="32"/>
          <w:szCs w:val="32"/>
          <w:shd w:val="clear" w:color="auto" w:fill="FFFFFF"/>
        </w:rPr>
        <w:t>经济社会发展的宏伟蓝图。要强化政策协同，健全实施机制，举全</w:t>
      </w:r>
      <w:r>
        <w:rPr>
          <w:rFonts w:hint="eastAsia" w:ascii="Times New Roman" w:hAnsi="Times New Roman" w:eastAsia="方正仿宋简体" w:cs="Times New Roman"/>
          <w:bCs/>
          <w:sz w:val="32"/>
          <w:szCs w:val="32"/>
          <w:shd w:val="clear" w:color="auto" w:fill="FFFFFF"/>
          <w:lang w:val="en-US" w:eastAsia="zh-CN"/>
        </w:rPr>
        <w:t>市</w:t>
      </w:r>
      <w:r>
        <w:rPr>
          <w:rFonts w:hint="eastAsia" w:ascii="Times New Roman" w:hAnsi="Times New Roman" w:eastAsia="方正仿宋简体" w:cs="Times New Roman"/>
          <w:bCs/>
          <w:sz w:val="32"/>
          <w:szCs w:val="32"/>
          <w:shd w:val="clear" w:color="auto" w:fill="FFFFFF"/>
        </w:rPr>
        <w:t>之力</w:t>
      </w:r>
      <w:r>
        <w:rPr>
          <w:rFonts w:hint="eastAsia" w:ascii="Times New Roman" w:hAnsi="Times New Roman" w:eastAsia="方正仿宋简体" w:cs="Times New Roman"/>
          <w:bCs/>
          <w:sz w:val="32"/>
          <w:szCs w:val="32"/>
          <w:shd w:val="clear" w:color="auto" w:fill="FFFFFF"/>
          <w:lang w:eastAsia="zh-CN"/>
        </w:rPr>
        <w:t>，</w:t>
      </w:r>
      <w:r>
        <w:rPr>
          <w:rFonts w:hint="eastAsia" w:ascii="Times New Roman" w:hAnsi="Times New Roman" w:eastAsia="方正仿宋简体" w:cs="Times New Roman"/>
          <w:bCs/>
          <w:sz w:val="32"/>
          <w:szCs w:val="32"/>
          <w:shd w:val="clear" w:color="auto" w:fill="FFFFFF"/>
        </w:rPr>
        <w:t>确保完成规划确定的目标和任务。</w:t>
      </w:r>
    </w:p>
    <w:p>
      <w:pPr>
        <w:widowControl w:val="0"/>
        <w:adjustRightInd/>
        <w:snapToGrid/>
        <w:spacing w:line="600" w:lineRule="exact"/>
        <w:jc w:val="center"/>
        <w:outlineLvl w:val="1"/>
        <w:rPr>
          <w:rFonts w:hint="eastAsia" w:ascii="Times New Roman" w:hAnsi="Times New Roman" w:eastAsia="方正黑体简体" w:cs="Times New Roman"/>
          <w:bCs/>
          <w:sz w:val="32"/>
          <w:szCs w:val="32"/>
        </w:rPr>
      </w:pPr>
      <w:bookmarkStart w:id="877" w:name="_Toc68707676"/>
      <w:bookmarkStart w:id="878" w:name="_Toc24140"/>
      <w:bookmarkStart w:id="879" w:name="_Toc7369"/>
      <w:bookmarkStart w:id="880" w:name="_Toc8227"/>
      <w:bookmarkStart w:id="881" w:name="_Toc16079"/>
      <w:bookmarkStart w:id="882" w:name="_Toc18500"/>
      <w:bookmarkStart w:id="883" w:name="_Toc7375"/>
      <w:bookmarkStart w:id="884" w:name="_Toc3048"/>
      <w:bookmarkStart w:id="885" w:name="_Toc6015"/>
      <w:bookmarkStart w:id="886" w:name="_Toc16622"/>
      <w:bookmarkStart w:id="887" w:name="_Toc20175"/>
      <w:bookmarkStart w:id="888" w:name="_Toc31795"/>
      <w:bookmarkStart w:id="889" w:name="_Toc29849"/>
      <w:bookmarkStart w:id="890" w:name="_Toc6065"/>
      <w:bookmarkStart w:id="891" w:name="_Toc27489"/>
      <w:bookmarkStart w:id="892" w:name="_Toc28063"/>
      <w:bookmarkStart w:id="893" w:name="_Toc16688"/>
      <w:bookmarkStart w:id="894" w:name="_Toc6975"/>
      <w:bookmarkStart w:id="895" w:name="_Toc22116"/>
      <w:r>
        <w:rPr>
          <w:rFonts w:hint="eastAsia" w:ascii="Times New Roman" w:hAnsi="Times New Roman" w:eastAsia="方正黑体简体" w:cs="Times New Roman"/>
          <w:bCs/>
          <w:sz w:val="32"/>
          <w:szCs w:val="32"/>
        </w:rPr>
        <w:t>第一节 坚持党对经济社会发展的全面领导</w:t>
      </w:r>
      <w:bookmarkEnd w:id="877"/>
      <w:bookmarkEnd w:id="878"/>
    </w:p>
    <w:p>
      <w:pPr>
        <w:widowControl w:val="0"/>
        <w:spacing w:line="600" w:lineRule="exact"/>
        <w:ind w:firstLine="643" w:firstLineChars="200"/>
        <w:jc w:val="both"/>
        <w:rPr>
          <w:rFonts w:hint="default" w:ascii="Times New Roman" w:hAnsi="Times New Roman" w:eastAsia="方正仿宋简体" w:cs="Times New Roman"/>
          <w:bCs/>
          <w:sz w:val="32"/>
          <w:szCs w:val="32"/>
          <w:shd w:val="clear" w:color="auto" w:fill="FFFFFF"/>
        </w:rPr>
      </w:pPr>
      <w:r>
        <w:rPr>
          <w:rFonts w:hint="default" w:ascii="Times New Roman" w:hAnsi="Times New Roman" w:eastAsia="方正楷体简体" w:cs="Times New Roman"/>
          <w:b/>
          <w:sz w:val="32"/>
          <w:szCs w:val="32"/>
        </w:rPr>
        <w:t>一、认真贯彻落实党把方向、谋大局、定政策、促改革的要求。</w:t>
      </w:r>
      <w:r>
        <w:rPr>
          <w:rFonts w:hint="default" w:ascii="Times New Roman" w:hAnsi="Times New Roman" w:eastAsia="方正仿宋简体" w:cs="Times New Roman"/>
          <w:bCs/>
          <w:sz w:val="32"/>
          <w:szCs w:val="32"/>
          <w:shd w:val="clear" w:color="auto" w:fill="FFFFFF"/>
        </w:rPr>
        <w:t>把增强“四个意识”、坚定“四个自信”、做到“两个维护”贯穿规划实施全过程、各领域，把习近平总书记对福建工作的重要讲话重要指示批示精神和在福建工作期间的重要理念、重大实践，以及党中央决策部署落实到全</w:t>
      </w:r>
      <w:r>
        <w:rPr>
          <w:rFonts w:hint="eastAsia" w:ascii="Times New Roman" w:hAnsi="Times New Roman" w:eastAsia="方正仿宋简体" w:cs="Times New Roman"/>
          <w:bCs/>
          <w:sz w:val="32"/>
          <w:szCs w:val="32"/>
          <w:shd w:val="clear" w:color="auto" w:fill="FFFFFF"/>
          <w:lang w:val="en-US" w:eastAsia="zh-CN"/>
        </w:rPr>
        <w:t>市</w:t>
      </w:r>
      <w:r>
        <w:rPr>
          <w:rFonts w:hint="default" w:ascii="Times New Roman" w:hAnsi="Times New Roman" w:eastAsia="方正仿宋简体" w:cs="Times New Roman"/>
          <w:bCs/>
          <w:sz w:val="32"/>
          <w:szCs w:val="32"/>
          <w:shd w:val="clear" w:color="auto" w:fill="FFFFFF"/>
        </w:rPr>
        <w:t>全方位推动高质量发展超越的方方面面。</w:t>
      </w:r>
    </w:p>
    <w:p>
      <w:pPr>
        <w:widowControl w:val="0"/>
        <w:spacing w:line="600" w:lineRule="exact"/>
        <w:ind w:firstLine="643" w:firstLineChars="200"/>
        <w:jc w:val="both"/>
        <w:rPr>
          <w:rFonts w:hint="default" w:ascii="Times New Roman" w:hAnsi="Times New Roman" w:eastAsia="方正仿宋简体" w:cs="Times New Roman"/>
          <w:bCs/>
          <w:sz w:val="32"/>
          <w:szCs w:val="32"/>
          <w:shd w:val="clear" w:color="auto" w:fill="FFFFFF"/>
        </w:rPr>
      </w:pPr>
      <w:r>
        <w:rPr>
          <w:rFonts w:hint="default" w:ascii="Times New Roman" w:hAnsi="Times New Roman" w:eastAsia="方正楷体简体" w:cs="Times New Roman"/>
          <w:b/>
          <w:sz w:val="32"/>
          <w:szCs w:val="32"/>
        </w:rPr>
        <w:t>二、充分发挥各级党委（党组）对规划实施的领导作用。</w:t>
      </w:r>
      <w:r>
        <w:rPr>
          <w:rFonts w:hint="default" w:ascii="Times New Roman" w:hAnsi="Times New Roman" w:eastAsia="方正仿宋简体" w:cs="Times New Roman"/>
          <w:bCs/>
          <w:sz w:val="32"/>
          <w:szCs w:val="32"/>
          <w:shd w:val="clear" w:color="auto" w:fill="FFFFFF"/>
        </w:rPr>
        <w:t>健全重大事项及时请示报告制度。加强干部队伍建设，提高全</w:t>
      </w:r>
      <w:r>
        <w:rPr>
          <w:rFonts w:hint="eastAsia" w:ascii="Times New Roman" w:hAnsi="Times New Roman" w:eastAsia="方正仿宋简体" w:cs="Times New Roman"/>
          <w:bCs/>
          <w:sz w:val="32"/>
          <w:szCs w:val="32"/>
          <w:shd w:val="clear" w:color="auto" w:fill="FFFFFF"/>
          <w:lang w:val="en-US" w:eastAsia="zh-CN"/>
        </w:rPr>
        <w:t>市</w:t>
      </w:r>
      <w:r>
        <w:rPr>
          <w:rFonts w:hint="default" w:ascii="Times New Roman" w:hAnsi="Times New Roman" w:eastAsia="方正仿宋简体" w:cs="Times New Roman"/>
          <w:bCs/>
          <w:sz w:val="32"/>
          <w:szCs w:val="32"/>
          <w:shd w:val="clear" w:color="auto" w:fill="FFFFFF"/>
        </w:rPr>
        <w:t>各级领导班子和干部适应新时代新要求抓改革、促发展、保稳定能力和专业化能力，把党中央和</w:t>
      </w:r>
      <w:r>
        <w:rPr>
          <w:rFonts w:hint="eastAsia" w:ascii="Times New Roman" w:hAnsi="Times New Roman" w:eastAsia="方正仿宋简体" w:cs="Times New Roman"/>
          <w:bCs/>
          <w:sz w:val="32"/>
          <w:szCs w:val="32"/>
          <w:shd w:val="clear" w:color="auto" w:fill="FFFFFF"/>
          <w:lang w:val="en-US" w:eastAsia="zh-CN"/>
        </w:rPr>
        <w:t>福建</w:t>
      </w:r>
      <w:r>
        <w:rPr>
          <w:rFonts w:hint="default" w:ascii="Times New Roman" w:hAnsi="Times New Roman" w:eastAsia="方正仿宋简体" w:cs="Times New Roman"/>
          <w:bCs/>
          <w:sz w:val="32"/>
          <w:szCs w:val="32"/>
          <w:shd w:val="clear" w:color="auto" w:fill="FFFFFF"/>
        </w:rPr>
        <w:t>省委、</w:t>
      </w:r>
      <w:r>
        <w:rPr>
          <w:rFonts w:hint="eastAsia" w:ascii="Times New Roman" w:hAnsi="Times New Roman" w:eastAsia="方正仿宋简体" w:cs="Times New Roman"/>
          <w:bCs/>
          <w:sz w:val="32"/>
          <w:szCs w:val="32"/>
          <w:shd w:val="clear" w:color="auto" w:fill="FFFFFF"/>
          <w:lang w:val="en-US" w:eastAsia="zh-CN"/>
        </w:rPr>
        <w:t>泉州</w:t>
      </w:r>
      <w:r>
        <w:rPr>
          <w:rFonts w:hint="default" w:ascii="Times New Roman" w:hAnsi="Times New Roman" w:eastAsia="方正仿宋简体" w:cs="Times New Roman"/>
          <w:bCs/>
          <w:sz w:val="32"/>
          <w:szCs w:val="32"/>
          <w:shd w:val="clear" w:color="auto" w:fill="FFFFFF"/>
        </w:rPr>
        <w:t>市委</w:t>
      </w:r>
      <w:r>
        <w:rPr>
          <w:rFonts w:hint="eastAsia" w:ascii="Times New Roman" w:hAnsi="Times New Roman" w:eastAsia="方正仿宋简体" w:cs="Times New Roman"/>
          <w:bCs/>
          <w:sz w:val="32"/>
          <w:szCs w:val="32"/>
          <w:shd w:val="clear" w:color="auto" w:fill="FFFFFF"/>
          <w:lang w:val="en-US" w:eastAsia="zh-CN"/>
        </w:rPr>
        <w:t>及南安市委</w:t>
      </w:r>
      <w:r>
        <w:rPr>
          <w:rFonts w:hint="default" w:ascii="Times New Roman" w:hAnsi="Times New Roman" w:eastAsia="方正仿宋简体" w:cs="Times New Roman"/>
          <w:bCs/>
          <w:sz w:val="32"/>
          <w:szCs w:val="32"/>
          <w:shd w:val="clear" w:color="auto" w:fill="FFFFFF"/>
        </w:rPr>
        <w:t>决策部署贯彻落实好。注重发挥工会、共青团、妇联等群团组织作用，把各自联系的群众紧紧凝聚在党的周围。</w:t>
      </w:r>
    </w:p>
    <w:p>
      <w:pPr>
        <w:widowControl w:val="0"/>
        <w:spacing w:line="600" w:lineRule="exact"/>
        <w:ind w:firstLine="643" w:firstLineChars="200"/>
        <w:jc w:val="both"/>
        <w:rPr>
          <w:rFonts w:hint="default" w:ascii="Times New Roman" w:hAnsi="Times New Roman" w:eastAsia="方正仿宋简体" w:cs="Times New Roman"/>
          <w:bCs/>
          <w:sz w:val="32"/>
          <w:szCs w:val="32"/>
          <w:shd w:val="clear" w:color="auto" w:fill="FFFFFF"/>
        </w:rPr>
      </w:pPr>
      <w:r>
        <w:rPr>
          <w:rFonts w:hint="default" w:ascii="Times New Roman" w:hAnsi="Times New Roman" w:eastAsia="方正楷体简体" w:cs="Times New Roman"/>
          <w:b/>
          <w:sz w:val="32"/>
          <w:szCs w:val="32"/>
        </w:rPr>
        <w:t>三、推动全面从严治党向纵深发展。</w:t>
      </w:r>
      <w:r>
        <w:rPr>
          <w:rFonts w:hint="default" w:ascii="Times New Roman" w:hAnsi="Times New Roman" w:eastAsia="方正仿宋简体" w:cs="Times New Roman"/>
          <w:bCs/>
          <w:sz w:val="32"/>
          <w:szCs w:val="32"/>
          <w:shd w:val="clear" w:color="auto" w:fill="FFFFFF"/>
        </w:rPr>
        <w:t>要坚定不移、毫不放松推进党风廉政建设和反腐败斗争，将正风肃纪反腐与深化改革、完善制度、促进治理贯通起来，用好“四种形态”，强化关键岗位和重点领域监督执纪问责，不断增强党自我净化、自我完善、自我革新、自我提高能力。加强对敢担当、善作为干部的激励保护，营造勇立潮头争当时代弄潮儿的良好氛围，凝聚新时代追赶超越强大动力。</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896" w:name="_Toc29744"/>
      <w:bookmarkStart w:id="897" w:name="_Toc68707677"/>
      <w:r>
        <w:rPr>
          <w:rFonts w:ascii="Times New Roman" w:hAnsi="Times New Roman" w:eastAsia="方正黑体简体" w:cs="Times New Roman"/>
          <w:bCs/>
          <w:sz w:val="32"/>
          <w:szCs w:val="32"/>
        </w:rPr>
        <w:t>第</w:t>
      </w:r>
      <w:r>
        <w:rPr>
          <w:rFonts w:hint="eastAsia" w:ascii="Times New Roman" w:hAnsi="Times New Roman" w:eastAsia="方正黑体简体" w:cs="Times New Roman"/>
          <w:bCs/>
          <w:sz w:val="32"/>
          <w:szCs w:val="32"/>
        </w:rPr>
        <w:t>二</w:t>
      </w:r>
      <w:r>
        <w:rPr>
          <w:rFonts w:ascii="Times New Roman" w:hAnsi="Times New Roman" w:eastAsia="方正黑体简体" w:cs="Times New Roman"/>
          <w:bCs/>
          <w:sz w:val="32"/>
          <w:szCs w:val="32"/>
        </w:rPr>
        <w:t>节  完善规划实施机制</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widowControl w:val="0"/>
        <w:spacing w:line="600" w:lineRule="exact"/>
        <w:ind w:firstLine="643" w:firstLineChars="200"/>
        <w:jc w:val="both"/>
        <w:rPr>
          <w:rFonts w:ascii="Times New Roman" w:hAnsi="Times New Roman" w:eastAsia="方正仿宋简体" w:cs="Times New Roman"/>
          <w:bCs/>
          <w:sz w:val="32"/>
          <w:szCs w:val="32"/>
        </w:rPr>
      </w:pPr>
      <w:r>
        <w:rPr>
          <w:rFonts w:ascii="Times New Roman" w:hAnsi="Times New Roman" w:eastAsia="方正楷体简体" w:cs="Times New Roman"/>
          <w:b/>
          <w:sz w:val="32"/>
          <w:szCs w:val="32"/>
        </w:rPr>
        <w:t>一、统一规划体系。</w:t>
      </w:r>
      <w:r>
        <w:rPr>
          <w:rFonts w:ascii="Times New Roman" w:hAnsi="Times New Roman" w:eastAsia="方正仿宋简体" w:cs="Times New Roman"/>
          <w:bCs/>
          <w:sz w:val="32"/>
          <w:szCs w:val="32"/>
          <w:shd w:val="clear" w:color="auto" w:fill="FFFFFF"/>
        </w:rPr>
        <w:t>强化经济社会发展战略和规划的引导约束作用，做好城乡规划、土地利用规划等规划与国民经济和社会发展规划之间的衔接，确保各级各类规划在总体要求上指向一致、空间配置上相互协调、时序安排上科学有序。</w:t>
      </w:r>
    </w:p>
    <w:p>
      <w:pPr>
        <w:widowControl w:val="0"/>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二、增强调控作用。</w:t>
      </w:r>
      <w:r>
        <w:rPr>
          <w:rFonts w:ascii="Times New Roman" w:hAnsi="Times New Roman" w:eastAsia="方正仿宋简体" w:cs="Times New Roman"/>
          <w:bCs/>
          <w:sz w:val="32"/>
          <w:szCs w:val="32"/>
          <w:shd w:val="clear" w:color="auto" w:fill="FFFFFF"/>
        </w:rPr>
        <w:t>全面落实中央宏观调控政策，按照本规划确定的目标和任务，围绕经济发展、人民福祉、风险防范等，研究推出一批重大政策</w:t>
      </w:r>
      <w:r>
        <w:rPr>
          <w:rFonts w:hint="eastAsia" w:ascii="Times New Roman" w:hAnsi="Times New Roman" w:eastAsia="方正仿宋简体" w:cs="Times New Roman"/>
          <w:bCs/>
          <w:sz w:val="32"/>
          <w:szCs w:val="32"/>
          <w:shd w:val="clear" w:color="auto" w:fill="FFFFFF"/>
        </w:rPr>
        <w:t>，</w:t>
      </w:r>
      <w:r>
        <w:rPr>
          <w:rFonts w:ascii="Times New Roman" w:hAnsi="Times New Roman" w:eastAsia="方正仿宋简体" w:cs="Times New Roman"/>
          <w:bCs/>
          <w:sz w:val="32"/>
          <w:szCs w:val="32"/>
          <w:shd w:val="clear" w:color="auto" w:fill="FFFFFF"/>
        </w:rPr>
        <w:t>围绕增强内生动力、激发市场活力，研究推出一批重大改革开放举措，更加合理配置公共资源，有效引导社会资源，加强政策协调配合，确保规划有效实施。</w:t>
      </w:r>
    </w:p>
    <w:p>
      <w:pPr>
        <w:widowControl w:val="0"/>
        <w:adjustRightInd/>
        <w:snapToGrid/>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三、分解目标任务。</w:t>
      </w:r>
      <w:r>
        <w:rPr>
          <w:rFonts w:ascii="Times New Roman" w:hAnsi="Times New Roman" w:eastAsia="方正仿宋简体" w:cs="Times New Roman"/>
          <w:bCs/>
          <w:sz w:val="32"/>
          <w:szCs w:val="32"/>
          <w:shd w:val="clear" w:color="auto" w:fill="FFFFFF"/>
        </w:rPr>
        <w:t>分解本规划确定的发展目标、重点任务和重大项目，明确牵头单位、责任分工、年度目标和推进举措。组织协调各有关部门和各</w:t>
      </w:r>
      <w:r>
        <w:rPr>
          <w:rFonts w:hint="eastAsia" w:ascii="Times New Roman" w:hAnsi="Times New Roman" w:eastAsia="方正仿宋简体" w:cs="Times New Roman"/>
          <w:bCs/>
          <w:sz w:val="32"/>
          <w:szCs w:val="32"/>
          <w:shd w:val="clear" w:color="auto" w:fill="FFFFFF"/>
        </w:rPr>
        <w:t>乡镇、</w:t>
      </w:r>
      <w:r>
        <w:rPr>
          <w:rFonts w:ascii="Times New Roman" w:hAnsi="Times New Roman" w:eastAsia="方正仿宋简体" w:cs="Times New Roman"/>
          <w:bCs/>
          <w:sz w:val="32"/>
          <w:szCs w:val="32"/>
          <w:shd w:val="clear" w:color="auto" w:fill="FFFFFF"/>
        </w:rPr>
        <w:t>街道按照职能分工，确保规划目标任务有方案、按计划、分步骤有效得到落实。</w:t>
      </w:r>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898" w:name="_Toc68707678"/>
      <w:bookmarkStart w:id="899" w:name="_Toc4448"/>
      <w:bookmarkStart w:id="900" w:name="_Toc17495"/>
      <w:bookmarkStart w:id="901" w:name="_Toc3806"/>
      <w:bookmarkStart w:id="902" w:name="_Toc6812"/>
      <w:bookmarkStart w:id="903" w:name="_Toc9720"/>
      <w:bookmarkStart w:id="904" w:name="_Toc26585"/>
      <w:bookmarkStart w:id="905" w:name="_Toc8418"/>
      <w:bookmarkStart w:id="906" w:name="_Toc8570"/>
      <w:bookmarkStart w:id="907" w:name="_Toc19304"/>
      <w:bookmarkStart w:id="908" w:name="_Toc27219"/>
      <w:bookmarkStart w:id="909" w:name="_Toc16384"/>
      <w:bookmarkStart w:id="910" w:name="_Toc5355"/>
      <w:bookmarkStart w:id="911" w:name="_Toc20502"/>
      <w:bookmarkStart w:id="912" w:name="_Toc10257"/>
      <w:bookmarkStart w:id="913" w:name="_Toc24465"/>
      <w:bookmarkStart w:id="914" w:name="_Toc9710"/>
      <w:bookmarkStart w:id="915" w:name="_Toc1705"/>
      <w:bookmarkStart w:id="916" w:name="_Toc31177"/>
      <w:r>
        <w:rPr>
          <w:rFonts w:ascii="Times New Roman" w:hAnsi="Times New Roman" w:eastAsia="方正黑体简体" w:cs="Times New Roman"/>
          <w:bCs/>
          <w:sz w:val="32"/>
          <w:szCs w:val="32"/>
        </w:rPr>
        <w:t>第</w:t>
      </w:r>
      <w:r>
        <w:rPr>
          <w:rFonts w:hint="eastAsia" w:ascii="Times New Roman" w:hAnsi="Times New Roman" w:eastAsia="方正黑体简体" w:cs="Times New Roman"/>
          <w:bCs/>
          <w:sz w:val="32"/>
          <w:szCs w:val="32"/>
        </w:rPr>
        <w:t>三</w:t>
      </w:r>
      <w:r>
        <w:rPr>
          <w:rFonts w:ascii="Times New Roman" w:hAnsi="Times New Roman" w:eastAsia="方正黑体简体" w:cs="Times New Roman"/>
          <w:bCs/>
          <w:sz w:val="32"/>
          <w:szCs w:val="32"/>
        </w:rPr>
        <w:t>节  完善规划支撑体系</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pPr>
        <w:widowControl w:val="0"/>
        <w:tabs>
          <w:tab w:val="center" w:pos="4422"/>
        </w:tabs>
        <w:adjustRightInd/>
        <w:snapToGrid/>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一、构建重大项目系统。</w:t>
      </w:r>
      <w:r>
        <w:rPr>
          <w:rFonts w:ascii="Times New Roman" w:hAnsi="Times New Roman" w:eastAsia="方正仿宋简体" w:cs="Times New Roman"/>
          <w:bCs/>
          <w:sz w:val="32"/>
          <w:szCs w:val="32"/>
          <w:shd w:val="clear" w:color="auto" w:fill="FFFFFF"/>
        </w:rPr>
        <w:t>完善“五个一批”项目推进机制，健全项目储备库，围绕规划确定的目标任务、重点区域和生产力布局，聚焦科技创新和产业升级，培育引进一批规模大、质量高、带动力强的重大产业项目；聚焦补短板、惠民生，策划生成一批重大基础项目，实施一批千亿级工程包。</w:t>
      </w:r>
    </w:p>
    <w:p>
      <w:pPr>
        <w:widowControl w:val="0"/>
        <w:adjustRightInd/>
        <w:snapToGrid/>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二、强化要素资源保障。</w:t>
      </w:r>
      <w:r>
        <w:rPr>
          <w:rFonts w:hint="eastAsia" w:ascii="Times New Roman" w:hAnsi="Times New Roman" w:eastAsia="方正仿宋简体" w:cs="Times New Roman"/>
          <w:bCs/>
          <w:sz w:val="32"/>
          <w:szCs w:val="32"/>
          <w:shd w:val="clear" w:color="auto" w:fill="FFFFFF"/>
        </w:rPr>
        <w:t>抓好重大项目建设用地保障，</w:t>
      </w:r>
      <w:r>
        <w:rPr>
          <w:rFonts w:ascii="Times New Roman" w:hAnsi="Times New Roman" w:eastAsia="方正仿宋简体" w:cs="Times New Roman"/>
          <w:bCs/>
          <w:sz w:val="32"/>
          <w:szCs w:val="32"/>
          <w:shd w:val="clear" w:color="auto" w:fill="FFFFFF"/>
        </w:rPr>
        <w:t>优先保证</w:t>
      </w:r>
      <w:r>
        <w:rPr>
          <w:rFonts w:hint="eastAsia" w:ascii="Times New Roman" w:hAnsi="Times New Roman" w:eastAsia="方正仿宋简体" w:cs="Times New Roman"/>
          <w:bCs/>
          <w:sz w:val="32"/>
          <w:szCs w:val="32"/>
          <w:shd w:val="clear" w:color="auto" w:fill="FFFFFF"/>
        </w:rPr>
        <w:t>新兴产业发展、</w:t>
      </w:r>
      <w:r>
        <w:rPr>
          <w:rFonts w:ascii="Times New Roman" w:hAnsi="Times New Roman" w:eastAsia="方正仿宋简体" w:cs="Times New Roman"/>
          <w:bCs/>
          <w:sz w:val="32"/>
          <w:szCs w:val="32"/>
          <w:shd w:val="clear" w:color="auto" w:fill="FFFFFF"/>
        </w:rPr>
        <w:t>重大基础设施</w:t>
      </w:r>
      <w:r>
        <w:rPr>
          <w:rFonts w:hint="eastAsia" w:ascii="Times New Roman" w:hAnsi="Times New Roman" w:eastAsia="方正仿宋简体" w:cs="Times New Roman"/>
          <w:bCs/>
          <w:sz w:val="32"/>
          <w:szCs w:val="32"/>
          <w:shd w:val="clear" w:color="auto" w:fill="FFFFFF"/>
        </w:rPr>
        <w:t>、</w:t>
      </w:r>
      <w:r>
        <w:rPr>
          <w:rFonts w:ascii="Times New Roman" w:hAnsi="Times New Roman" w:eastAsia="方正仿宋简体" w:cs="Times New Roman"/>
          <w:bCs/>
          <w:sz w:val="32"/>
          <w:szCs w:val="32"/>
          <w:shd w:val="clear" w:color="auto" w:fill="FFFFFF"/>
        </w:rPr>
        <w:t>公共服务改善等方面的土地需求。</w:t>
      </w:r>
      <w:r>
        <w:rPr>
          <w:rFonts w:hint="eastAsia" w:ascii="Times New Roman" w:hAnsi="Times New Roman" w:eastAsia="方正仿宋简体" w:cs="Times New Roman"/>
          <w:bCs/>
          <w:sz w:val="32"/>
          <w:szCs w:val="32"/>
          <w:shd w:val="clear" w:color="auto" w:fill="FFFFFF"/>
        </w:rPr>
        <w:t>优化财政支出结构和政府投资结构</w:t>
      </w:r>
      <w:r>
        <w:rPr>
          <w:rFonts w:ascii="Times New Roman" w:hAnsi="Times New Roman" w:eastAsia="方正仿宋简体" w:cs="Times New Roman"/>
          <w:bCs/>
          <w:sz w:val="32"/>
          <w:szCs w:val="32"/>
          <w:shd w:val="clear" w:color="auto" w:fill="FFFFFF"/>
        </w:rPr>
        <w:t>，集中财力保证政府投资重大项目的资金需求。拓宽企业融资渠道，</w:t>
      </w:r>
      <w:r>
        <w:rPr>
          <w:rFonts w:hint="eastAsia" w:ascii="Times New Roman" w:hAnsi="Times New Roman" w:eastAsia="方正仿宋简体" w:cs="Times New Roman"/>
          <w:bCs/>
          <w:sz w:val="32"/>
          <w:szCs w:val="32"/>
          <w:shd w:val="clear" w:color="auto" w:fill="FFFFFF"/>
        </w:rPr>
        <w:t>鼓励和</w:t>
      </w:r>
      <w:r>
        <w:rPr>
          <w:rFonts w:ascii="Times New Roman" w:hAnsi="Times New Roman" w:eastAsia="方正仿宋简体" w:cs="Times New Roman"/>
          <w:bCs/>
          <w:sz w:val="32"/>
          <w:szCs w:val="32"/>
          <w:shd w:val="clear" w:color="auto" w:fill="FFFFFF"/>
        </w:rPr>
        <w:t>引导社会资本投向各类项目。加大人才</w:t>
      </w:r>
      <w:r>
        <w:rPr>
          <w:rFonts w:hint="eastAsia" w:ascii="Times New Roman" w:hAnsi="Times New Roman" w:eastAsia="方正仿宋简体" w:cs="Times New Roman"/>
          <w:bCs/>
          <w:sz w:val="32"/>
          <w:szCs w:val="32"/>
          <w:shd w:val="clear" w:color="auto" w:fill="FFFFFF"/>
        </w:rPr>
        <w:t>引进和</w:t>
      </w:r>
      <w:r>
        <w:rPr>
          <w:rFonts w:ascii="Times New Roman" w:hAnsi="Times New Roman" w:eastAsia="方正仿宋简体" w:cs="Times New Roman"/>
          <w:bCs/>
          <w:sz w:val="32"/>
          <w:szCs w:val="32"/>
          <w:shd w:val="clear" w:color="auto" w:fill="FFFFFF"/>
        </w:rPr>
        <w:t>培育力度，为产业结构的转型升级提供坚实的人力资源</w:t>
      </w:r>
      <w:r>
        <w:rPr>
          <w:rFonts w:hint="eastAsia" w:ascii="Times New Roman" w:hAnsi="Times New Roman" w:eastAsia="方正仿宋简体" w:cs="Times New Roman"/>
          <w:bCs/>
          <w:sz w:val="32"/>
          <w:szCs w:val="32"/>
          <w:shd w:val="clear" w:color="auto" w:fill="FFFFFF"/>
        </w:rPr>
        <w:t>。</w:t>
      </w:r>
    </w:p>
    <w:p>
      <w:pPr>
        <w:widowControl w:val="0"/>
        <w:adjustRightInd/>
        <w:snapToGrid/>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三、优化项目管理模式。</w:t>
      </w:r>
      <w:r>
        <w:rPr>
          <w:rFonts w:ascii="Times New Roman" w:hAnsi="Times New Roman" w:eastAsia="方正仿宋简体" w:cs="Times New Roman"/>
          <w:bCs/>
          <w:sz w:val="32"/>
          <w:szCs w:val="32"/>
          <w:shd w:val="clear" w:color="auto" w:fill="FFFFFF"/>
        </w:rPr>
        <w:t>加强</w:t>
      </w:r>
      <w:r>
        <w:rPr>
          <w:rFonts w:hint="eastAsia" w:ascii="Times New Roman" w:hAnsi="Times New Roman" w:eastAsia="方正仿宋简体" w:cs="Times New Roman"/>
          <w:bCs/>
          <w:sz w:val="32"/>
          <w:szCs w:val="32"/>
          <w:shd w:val="clear" w:color="auto" w:fill="FFFFFF"/>
        </w:rPr>
        <w:t>重点项目</w:t>
      </w:r>
      <w:r>
        <w:rPr>
          <w:rFonts w:ascii="Times New Roman" w:hAnsi="Times New Roman" w:eastAsia="方正仿宋简体" w:cs="Times New Roman"/>
          <w:bCs/>
          <w:sz w:val="32"/>
          <w:szCs w:val="32"/>
          <w:shd w:val="clear" w:color="auto" w:fill="FFFFFF"/>
        </w:rPr>
        <w:t>管理，落实重大项目分级管理和目标责任制度</w:t>
      </w:r>
      <w:r>
        <w:rPr>
          <w:rFonts w:hint="eastAsia" w:ascii="Times New Roman" w:hAnsi="Times New Roman" w:eastAsia="方正仿宋简体" w:cs="Times New Roman"/>
          <w:bCs/>
          <w:sz w:val="32"/>
          <w:szCs w:val="32"/>
          <w:shd w:val="clear" w:color="auto" w:fill="FFFFFF"/>
        </w:rPr>
        <w:t>，提升项目建设的全过程、精细化、标准化、动态化管理。严把项目建设程序，规范招投标管理，强化安全质量监管。加强重大建设项目社会稳定评估和环境风险防控</w:t>
      </w:r>
      <w:r>
        <w:rPr>
          <w:rFonts w:ascii="Times New Roman" w:hAnsi="Times New Roman" w:eastAsia="方正仿宋简体" w:cs="Times New Roman"/>
          <w:bCs/>
          <w:sz w:val="32"/>
          <w:szCs w:val="32"/>
          <w:shd w:val="clear" w:color="auto" w:fill="FFFFFF"/>
        </w:rPr>
        <w:t>。</w:t>
      </w:r>
      <w:bookmarkStart w:id="917" w:name="_Toc15231"/>
      <w:bookmarkStart w:id="918" w:name="_Toc2259"/>
      <w:bookmarkStart w:id="919" w:name="_Toc22551"/>
      <w:bookmarkStart w:id="920" w:name="_Toc13298"/>
      <w:bookmarkStart w:id="921" w:name="_Toc16918"/>
      <w:bookmarkStart w:id="922" w:name="_Toc6967"/>
      <w:bookmarkStart w:id="923" w:name="_Toc7287"/>
    </w:p>
    <w:p>
      <w:pPr>
        <w:widowControl w:val="0"/>
        <w:adjustRightInd/>
        <w:snapToGrid/>
        <w:spacing w:line="600" w:lineRule="exact"/>
        <w:jc w:val="center"/>
        <w:outlineLvl w:val="1"/>
        <w:rPr>
          <w:rFonts w:ascii="Times New Roman" w:hAnsi="Times New Roman" w:eastAsia="方正黑体简体" w:cs="Times New Roman"/>
          <w:bCs/>
          <w:sz w:val="32"/>
          <w:szCs w:val="32"/>
        </w:rPr>
      </w:pPr>
      <w:bookmarkStart w:id="924" w:name="_Toc20636"/>
      <w:bookmarkStart w:id="925" w:name="_Toc23197"/>
      <w:bookmarkStart w:id="926" w:name="_Toc8605"/>
      <w:bookmarkStart w:id="927" w:name="_Toc5801"/>
      <w:bookmarkStart w:id="928" w:name="_Toc11039"/>
      <w:bookmarkStart w:id="929" w:name="_Toc68707679"/>
      <w:r>
        <w:rPr>
          <w:rFonts w:hint="eastAsia" w:ascii="Times New Roman" w:hAnsi="Times New Roman" w:eastAsia="方正黑体简体" w:cs="Times New Roman"/>
          <w:bCs/>
          <w:sz w:val="32"/>
          <w:szCs w:val="32"/>
        </w:rPr>
        <w:t>第四节</w:t>
      </w:r>
      <w:r>
        <w:rPr>
          <w:rFonts w:ascii="Times New Roman" w:hAnsi="Times New Roman" w:eastAsia="方正黑体简体" w:cs="Times New Roman"/>
          <w:bCs/>
          <w:sz w:val="32"/>
          <w:szCs w:val="32"/>
        </w:rPr>
        <w:t xml:space="preserve"> </w:t>
      </w:r>
      <w:bookmarkStart w:id="930" w:name="_Toc1639"/>
      <w:bookmarkStart w:id="931" w:name="_Toc478"/>
      <w:bookmarkStart w:id="932" w:name="_Toc32557"/>
      <w:r>
        <w:rPr>
          <w:rFonts w:ascii="Times New Roman" w:hAnsi="Times New Roman" w:eastAsia="方正黑体简体" w:cs="Times New Roman"/>
          <w:bCs/>
          <w:sz w:val="32"/>
          <w:szCs w:val="32"/>
        </w:rPr>
        <w:t>完善</w:t>
      </w:r>
      <w:r>
        <w:rPr>
          <w:rFonts w:hint="eastAsia" w:ascii="Times New Roman" w:hAnsi="Times New Roman" w:eastAsia="方正黑体简体" w:cs="Times New Roman"/>
          <w:bCs/>
          <w:sz w:val="32"/>
          <w:szCs w:val="32"/>
        </w:rPr>
        <w:t>考评监督</w:t>
      </w:r>
      <w:r>
        <w:rPr>
          <w:rFonts w:ascii="Times New Roman" w:hAnsi="Times New Roman" w:eastAsia="方正黑体简体" w:cs="Times New Roman"/>
          <w:bCs/>
          <w:sz w:val="32"/>
          <w:szCs w:val="32"/>
        </w:rPr>
        <w:t>体系</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Start w:id="933" w:name="_Toc4391"/>
      <w:bookmarkEnd w:id="933"/>
    </w:p>
    <w:p>
      <w:pPr>
        <w:widowControl w:val="0"/>
        <w:adjustRightInd/>
        <w:snapToGrid/>
        <w:spacing w:line="600" w:lineRule="exact"/>
        <w:ind w:firstLine="643" w:firstLineChars="200"/>
        <w:jc w:val="both"/>
        <w:rPr>
          <w:rFonts w:ascii="Times New Roman" w:hAnsi="Times New Roman" w:eastAsia="方正仿宋简体" w:cs="Times New Roman"/>
          <w:bCs/>
          <w:sz w:val="32"/>
          <w:szCs w:val="32"/>
          <w:shd w:val="clear" w:color="auto" w:fill="FFFFFF"/>
        </w:rPr>
      </w:pPr>
      <w:r>
        <w:rPr>
          <w:rFonts w:ascii="Times New Roman" w:hAnsi="Times New Roman" w:eastAsia="方正楷体简体" w:cs="Times New Roman"/>
          <w:b/>
          <w:sz w:val="32"/>
          <w:szCs w:val="32"/>
        </w:rPr>
        <w:t>一、动员公众参与。</w:t>
      </w:r>
      <w:r>
        <w:rPr>
          <w:rFonts w:ascii="Times New Roman" w:hAnsi="Times New Roman" w:eastAsia="方正仿宋简体" w:cs="Times New Roman"/>
          <w:bCs/>
          <w:sz w:val="32"/>
          <w:szCs w:val="32"/>
          <w:shd w:val="clear" w:color="auto" w:fill="FFFFFF"/>
        </w:rPr>
        <w:t>加强规划宣传，着力推进规划实施的信息公开，健全政府与企业、市民的信息沟通和反馈机制，提高规划实施的民主化程度和透明度。发挥新闻媒体、群众社团的桥梁和监督作用，促进各级各类规划有效实施。</w:t>
      </w:r>
    </w:p>
    <w:p>
      <w:pPr>
        <w:widowControl w:val="0"/>
        <w:adjustRightInd/>
        <w:snapToGrid/>
        <w:spacing w:line="600" w:lineRule="exact"/>
        <w:ind w:firstLine="643" w:firstLineChars="200"/>
        <w:jc w:val="both"/>
      </w:pPr>
      <w:r>
        <w:rPr>
          <w:rFonts w:ascii="Times New Roman" w:hAnsi="Times New Roman" w:eastAsia="方正楷体简体" w:cs="Times New Roman"/>
          <w:b/>
          <w:sz w:val="32"/>
          <w:szCs w:val="32"/>
        </w:rPr>
        <w:t>二、加强评估检查。</w:t>
      </w:r>
      <w:r>
        <w:rPr>
          <w:rFonts w:ascii="Times New Roman" w:hAnsi="Times New Roman" w:eastAsia="方正仿宋简体" w:cs="Times New Roman"/>
          <w:bCs/>
          <w:sz w:val="32"/>
          <w:szCs w:val="32"/>
          <w:shd w:val="clear" w:color="auto" w:fill="FFFFFF"/>
        </w:rPr>
        <w:t>做好纳入规划指标、政策措施和重大项目实施情况的跟踪监测，认真组织开展规划实施情况中期评估，及时向市人大汇报规划实施情况。及时发现规划实施中的问题，做好重大问题跟进研究和政策储备，确保规划目标任务顺利实现。</w:t>
      </w:r>
    </w:p>
    <w:sectPr>
      <w:footerReference r:id="rId8" w:type="first"/>
      <w:headerReference r:id="rId6" w:type="default"/>
      <w:footerReference r:id="rId7" w:type="default"/>
      <w:pgSz w:w="11906" w:h="16838"/>
      <w:pgMar w:top="1440" w:right="1417" w:bottom="1440" w:left="1417" w:header="851" w:footer="992" w:gutter="0"/>
      <w:pgNumType w:fmt="numberInDash"/>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粗宋简体">
    <w:altName w:val="宋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3000509000000000000"/>
    <w:charset w:val="86"/>
    <w:family w:val="script"/>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kinsoku/>
                            <w:wordWrap/>
                            <w:overflowPunct/>
                            <w:topLinePunct w:val="0"/>
                            <w:autoSpaceDE/>
                            <w:autoSpaceDN/>
                            <w:bidi w:val="0"/>
                            <w:adjustRightInd w:val="0"/>
                            <w:snapToGrid w:val="0"/>
                            <w:spacing w:after="0"/>
                            <w:ind w:left="440" w:leftChars="200" w:right="4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II</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keepNext w:val="0"/>
                      <w:keepLines w:val="0"/>
                      <w:pageBreakBefore w:val="0"/>
                      <w:widowControl/>
                      <w:kinsoku/>
                      <w:wordWrap/>
                      <w:overflowPunct/>
                      <w:topLinePunct w:val="0"/>
                      <w:autoSpaceDE/>
                      <w:autoSpaceDN/>
                      <w:bidi w:val="0"/>
                      <w:adjustRightInd w:val="0"/>
                      <w:snapToGrid w:val="0"/>
                      <w:spacing w:after="0"/>
                      <w:ind w:left="440" w:leftChars="200" w:right="4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II</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kinsoku/>
                            <w:wordWrap/>
                            <w:overflowPunct/>
                            <w:topLinePunct w:val="0"/>
                            <w:autoSpaceDE/>
                            <w:autoSpaceDN/>
                            <w:bidi w:val="0"/>
                            <w:adjustRightInd w:val="0"/>
                            <w:snapToGrid w:val="0"/>
                            <w:spacing w:after="0"/>
                            <w:ind w:left="440" w:leftChars="200" w:right="4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I</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keepNext w:val="0"/>
                      <w:keepLines w:val="0"/>
                      <w:pageBreakBefore w:val="0"/>
                      <w:widowControl/>
                      <w:kinsoku/>
                      <w:wordWrap/>
                      <w:overflowPunct/>
                      <w:topLinePunct w:val="0"/>
                      <w:autoSpaceDE/>
                      <w:autoSpaceDN/>
                      <w:bidi w:val="0"/>
                      <w:adjustRightInd w:val="0"/>
                      <w:snapToGrid w:val="0"/>
                      <w:spacing w:after="0"/>
                      <w:ind w:left="440" w:leftChars="200" w:right="4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I</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kinsoku/>
                            <w:wordWrap/>
                            <w:overflowPunct/>
                            <w:topLinePunct w:val="0"/>
                            <w:autoSpaceDE/>
                            <w:autoSpaceDN/>
                            <w:bidi w:val="0"/>
                            <w:adjustRightInd w:val="0"/>
                            <w:snapToGrid w:val="0"/>
                            <w:spacing w:after="0"/>
                            <w:ind w:left="440" w:leftChars="200" w:right="440" w:right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II</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keepNext w:val="0"/>
                      <w:keepLines w:val="0"/>
                      <w:pageBreakBefore w:val="0"/>
                      <w:widowControl/>
                      <w:kinsoku/>
                      <w:wordWrap/>
                      <w:overflowPunct/>
                      <w:topLinePunct w:val="0"/>
                      <w:autoSpaceDE/>
                      <w:autoSpaceDN/>
                      <w:bidi w:val="0"/>
                      <w:adjustRightInd w:val="0"/>
                      <w:snapToGrid w:val="0"/>
                      <w:spacing w:after="0"/>
                      <w:ind w:left="440" w:leftChars="200" w:right="440" w:right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II</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D1BBF"/>
    <w:multiLevelType w:val="multilevel"/>
    <w:tmpl w:val="10DD1BBF"/>
    <w:lvl w:ilvl="0" w:tentative="0">
      <w:start w:val="1"/>
      <w:numFmt w:val="bullet"/>
      <w:pStyle w:val="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66C3DD2"/>
    <w:multiLevelType w:val="multilevel"/>
    <w:tmpl w:val="266C3DD2"/>
    <w:lvl w:ilvl="0" w:tentative="0">
      <w:start w:val="1"/>
      <w:numFmt w:val="decimal"/>
      <w:lvlText w:val="%1."/>
      <w:lvlJc w:val="left"/>
      <w:pPr>
        <w:tabs>
          <w:tab w:val="left" w:pos="425"/>
        </w:tabs>
        <w:ind w:left="425" w:hanging="425"/>
      </w:pPr>
      <w:rPr>
        <w:rFonts w:hint="eastAsia" w:ascii="方正粗宋简体" w:eastAsia="方正粗宋简体"/>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2411"/>
        </w:tabs>
        <w:ind w:left="426" w:firstLine="0"/>
      </w:pPr>
      <w:rPr>
        <w:rFonts w:hint="eastAsia"/>
      </w:rPr>
    </w:lvl>
    <w:lvl w:ilvl="3" w:tentative="0">
      <w:start w:val="1"/>
      <w:numFmt w:val="decimal"/>
      <w:pStyle w:val="41"/>
      <w:lvlText w:val="（%4）"/>
      <w:lvlJc w:val="left"/>
      <w:pPr>
        <w:tabs>
          <w:tab w:val="left" w:pos="851"/>
        </w:tabs>
        <w:ind w:left="851" w:hanging="851"/>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2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CA"/>
    <w:rsid w:val="000101C1"/>
    <w:rsid w:val="000743A5"/>
    <w:rsid w:val="000A3834"/>
    <w:rsid w:val="000B1BC8"/>
    <w:rsid w:val="001522A6"/>
    <w:rsid w:val="001629EA"/>
    <w:rsid w:val="00165EAC"/>
    <w:rsid w:val="00176889"/>
    <w:rsid w:val="00197BFF"/>
    <w:rsid w:val="001B2923"/>
    <w:rsid w:val="00291861"/>
    <w:rsid w:val="002C1E17"/>
    <w:rsid w:val="002E7FF0"/>
    <w:rsid w:val="00310FDA"/>
    <w:rsid w:val="00325657"/>
    <w:rsid w:val="00334037"/>
    <w:rsid w:val="00342159"/>
    <w:rsid w:val="00360760"/>
    <w:rsid w:val="00394F48"/>
    <w:rsid w:val="003B17BE"/>
    <w:rsid w:val="003C399C"/>
    <w:rsid w:val="00432591"/>
    <w:rsid w:val="00434BC3"/>
    <w:rsid w:val="00460CA5"/>
    <w:rsid w:val="004820B2"/>
    <w:rsid w:val="0048390E"/>
    <w:rsid w:val="0049296B"/>
    <w:rsid w:val="0053618C"/>
    <w:rsid w:val="005D2A9F"/>
    <w:rsid w:val="005E6609"/>
    <w:rsid w:val="005F1B85"/>
    <w:rsid w:val="005F1C51"/>
    <w:rsid w:val="00600D2A"/>
    <w:rsid w:val="00603838"/>
    <w:rsid w:val="006056D7"/>
    <w:rsid w:val="0061368B"/>
    <w:rsid w:val="00663A34"/>
    <w:rsid w:val="00670ADB"/>
    <w:rsid w:val="0068233C"/>
    <w:rsid w:val="00685577"/>
    <w:rsid w:val="00793792"/>
    <w:rsid w:val="00797304"/>
    <w:rsid w:val="007D0189"/>
    <w:rsid w:val="007E67E1"/>
    <w:rsid w:val="00897D19"/>
    <w:rsid w:val="008D3167"/>
    <w:rsid w:val="00924C7C"/>
    <w:rsid w:val="0097092E"/>
    <w:rsid w:val="009B0A7E"/>
    <w:rsid w:val="009B4A7D"/>
    <w:rsid w:val="00A1053B"/>
    <w:rsid w:val="00A84030"/>
    <w:rsid w:val="00AB3B6C"/>
    <w:rsid w:val="00AD234E"/>
    <w:rsid w:val="00AE2F96"/>
    <w:rsid w:val="00B46EC6"/>
    <w:rsid w:val="00B95590"/>
    <w:rsid w:val="00BB07BD"/>
    <w:rsid w:val="00C463D9"/>
    <w:rsid w:val="00CB415D"/>
    <w:rsid w:val="00CB7F82"/>
    <w:rsid w:val="00CC16CC"/>
    <w:rsid w:val="00D73BCA"/>
    <w:rsid w:val="00DA15C5"/>
    <w:rsid w:val="00DC0C2E"/>
    <w:rsid w:val="00DE1CD6"/>
    <w:rsid w:val="00E112CA"/>
    <w:rsid w:val="00E136BE"/>
    <w:rsid w:val="00E95F9D"/>
    <w:rsid w:val="00E96861"/>
    <w:rsid w:val="00EB2AD1"/>
    <w:rsid w:val="00EC47CA"/>
    <w:rsid w:val="00F012BB"/>
    <w:rsid w:val="00F0133E"/>
    <w:rsid w:val="00F74AA3"/>
    <w:rsid w:val="00FA4726"/>
    <w:rsid w:val="00FE6FCF"/>
    <w:rsid w:val="0108382D"/>
    <w:rsid w:val="01196130"/>
    <w:rsid w:val="013143E5"/>
    <w:rsid w:val="01C04DA8"/>
    <w:rsid w:val="031C3829"/>
    <w:rsid w:val="03213B5B"/>
    <w:rsid w:val="03726AE6"/>
    <w:rsid w:val="040E2B9B"/>
    <w:rsid w:val="04E43EBB"/>
    <w:rsid w:val="05D60AC1"/>
    <w:rsid w:val="06233138"/>
    <w:rsid w:val="06395A22"/>
    <w:rsid w:val="07655B4C"/>
    <w:rsid w:val="07751FCC"/>
    <w:rsid w:val="078C5D6C"/>
    <w:rsid w:val="087D5633"/>
    <w:rsid w:val="09002855"/>
    <w:rsid w:val="093421D6"/>
    <w:rsid w:val="0973131D"/>
    <w:rsid w:val="09836FC9"/>
    <w:rsid w:val="09BD2F00"/>
    <w:rsid w:val="09C31DAA"/>
    <w:rsid w:val="09D86B2D"/>
    <w:rsid w:val="0A117FFC"/>
    <w:rsid w:val="0A29570C"/>
    <w:rsid w:val="0AFA4BE4"/>
    <w:rsid w:val="0B0B72F6"/>
    <w:rsid w:val="0B10519B"/>
    <w:rsid w:val="0B516258"/>
    <w:rsid w:val="0BA428D0"/>
    <w:rsid w:val="0C0863DB"/>
    <w:rsid w:val="0C0C6224"/>
    <w:rsid w:val="0C38361B"/>
    <w:rsid w:val="0C5E75CA"/>
    <w:rsid w:val="0CE4053E"/>
    <w:rsid w:val="0E255F75"/>
    <w:rsid w:val="0EF34878"/>
    <w:rsid w:val="0F324650"/>
    <w:rsid w:val="0F505C78"/>
    <w:rsid w:val="0FC12C4F"/>
    <w:rsid w:val="10106A92"/>
    <w:rsid w:val="109C2BBD"/>
    <w:rsid w:val="10A61246"/>
    <w:rsid w:val="11BC2946"/>
    <w:rsid w:val="12BD2CDC"/>
    <w:rsid w:val="14075B23"/>
    <w:rsid w:val="140E4006"/>
    <w:rsid w:val="14BF2DF3"/>
    <w:rsid w:val="15026B27"/>
    <w:rsid w:val="15730DF3"/>
    <w:rsid w:val="160C45DD"/>
    <w:rsid w:val="166914AA"/>
    <w:rsid w:val="16EA2239"/>
    <w:rsid w:val="17325E68"/>
    <w:rsid w:val="17A4642E"/>
    <w:rsid w:val="17C07FB4"/>
    <w:rsid w:val="19477E1D"/>
    <w:rsid w:val="1A0A0D6D"/>
    <w:rsid w:val="1AF1606E"/>
    <w:rsid w:val="1B793C37"/>
    <w:rsid w:val="1B89269F"/>
    <w:rsid w:val="1BC00CA0"/>
    <w:rsid w:val="1BD31683"/>
    <w:rsid w:val="1BDF0D2A"/>
    <w:rsid w:val="1D390542"/>
    <w:rsid w:val="1E910CC9"/>
    <w:rsid w:val="1ECA5515"/>
    <w:rsid w:val="1FE5594C"/>
    <w:rsid w:val="1FE74F66"/>
    <w:rsid w:val="20171F00"/>
    <w:rsid w:val="206D49E4"/>
    <w:rsid w:val="208E49F8"/>
    <w:rsid w:val="20D41E6F"/>
    <w:rsid w:val="2120785F"/>
    <w:rsid w:val="214A0916"/>
    <w:rsid w:val="218D332F"/>
    <w:rsid w:val="2191173C"/>
    <w:rsid w:val="225A60D8"/>
    <w:rsid w:val="22731319"/>
    <w:rsid w:val="23793413"/>
    <w:rsid w:val="23D87ED1"/>
    <w:rsid w:val="246A3D1E"/>
    <w:rsid w:val="248719CD"/>
    <w:rsid w:val="24BC74B4"/>
    <w:rsid w:val="2588319A"/>
    <w:rsid w:val="25A44BFA"/>
    <w:rsid w:val="25BE12E8"/>
    <w:rsid w:val="25BF0663"/>
    <w:rsid w:val="25EC2481"/>
    <w:rsid w:val="25FA461E"/>
    <w:rsid w:val="26670F26"/>
    <w:rsid w:val="26D23A60"/>
    <w:rsid w:val="27524AFC"/>
    <w:rsid w:val="27D655F7"/>
    <w:rsid w:val="28177DC7"/>
    <w:rsid w:val="28A26DD0"/>
    <w:rsid w:val="291A4E9C"/>
    <w:rsid w:val="2A1530E8"/>
    <w:rsid w:val="2A5844EB"/>
    <w:rsid w:val="2AF1043D"/>
    <w:rsid w:val="2BBD1EBA"/>
    <w:rsid w:val="2C2E4800"/>
    <w:rsid w:val="2CB01CD1"/>
    <w:rsid w:val="2CB24D62"/>
    <w:rsid w:val="2CEF3089"/>
    <w:rsid w:val="2D083787"/>
    <w:rsid w:val="2D5737DF"/>
    <w:rsid w:val="2DDF4656"/>
    <w:rsid w:val="2E6964E7"/>
    <w:rsid w:val="2EB14877"/>
    <w:rsid w:val="2EB569D0"/>
    <w:rsid w:val="30172AA4"/>
    <w:rsid w:val="301B6394"/>
    <w:rsid w:val="30286172"/>
    <w:rsid w:val="305E472D"/>
    <w:rsid w:val="31585BFE"/>
    <w:rsid w:val="31A744A5"/>
    <w:rsid w:val="323C7BD8"/>
    <w:rsid w:val="325D7DBF"/>
    <w:rsid w:val="32C80613"/>
    <w:rsid w:val="33434D00"/>
    <w:rsid w:val="338C00AF"/>
    <w:rsid w:val="33947A46"/>
    <w:rsid w:val="34312D4A"/>
    <w:rsid w:val="34506097"/>
    <w:rsid w:val="35103B3A"/>
    <w:rsid w:val="352507FE"/>
    <w:rsid w:val="353E2AEB"/>
    <w:rsid w:val="356F13BB"/>
    <w:rsid w:val="36225CAF"/>
    <w:rsid w:val="369D4337"/>
    <w:rsid w:val="36AC1C8C"/>
    <w:rsid w:val="36B77969"/>
    <w:rsid w:val="37330A42"/>
    <w:rsid w:val="37CD637B"/>
    <w:rsid w:val="38EB2370"/>
    <w:rsid w:val="39565389"/>
    <w:rsid w:val="3A324200"/>
    <w:rsid w:val="3A6D498E"/>
    <w:rsid w:val="3A8B3BDD"/>
    <w:rsid w:val="3ABE5757"/>
    <w:rsid w:val="3B660BA0"/>
    <w:rsid w:val="3B744B46"/>
    <w:rsid w:val="3B834959"/>
    <w:rsid w:val="3B9840CD"/>
    <w:rsid w:val="3BD308C3"/>
    <w:rsid w:val="3C9A2CDB"/>
    <w:rsid w:val="3CD10AA2"/>
    <w:rsid w:val="3D940AF3"/>
    <w:rsid w:val="3DC96D09"/>
    <w:rsid w:val="3DD21BAD"/>
    <w:rsid w:val="3F1708CF"/>
    <w:rsid w:val="3F557FA0"/>
    <w:rsid w:val="3F6479B9"/>
    <w:rsid w:val="3FE131F2"/>
    <w:rsid w:val="40635297"/>
    <w:rsid w:val="40EE60CB"/>
    <w:rsid w:val="412F0638"/>
    <w:rsid w:val="41B62C75"/>
    <w:rsid w:val="422D7DFB"/>
    <w:rsid w:val="42A42ABE"/>
    <w:rsid w:val="42AB6FF1"/>
    <w:rsid w:val="42EC3992"/>
    <w:rsid w:val="43927806"/>
    <w:rsid w:val="445D45AB"/>
    <w:rsid w:val="446A0F8A"/>
    <w:rsid w:val="451D4765"/>
    <w:rsid w:val="456D4F53"/>
    <w:rsid w:val="45D7305D"/>
    <w:rsid w:val="45E272C1"/>
    <w:rsid w:val="464B61CD"/>
    <w:rsid w:val="468C70A9"/>
    <w:rsid w:val="46EF3BBD"/>
    <w:rsid w:val="46FD586E"/>
    <w:rsid w:val="47B87298"/>
    <w:rsid w:val="47F1358D"/>
    <w:rsid w:val="48433100"/>
    <w:rsid w:val="4909541E"/>
    <w:rsid w:val="491958AE"/>
    <w:rsid w:val="494257E3"/>
    <w:rsid w:val="495A0CFB"/>
    <w:rsid w:val="49DE1350"/>
    <w:rsid w:val="4A4C25BA"/>
    <w:rsid w:val="4A9B6BAF"/>
    <w:rsid w:val="4AC455C8"/>
    <w:rsid w:val="4AD62F32"/>
    <w:rsid w:val="4BC8586E"/>
    <w:rsid w:val="4BE80E49"/>
    <w:rsid w:val="4BE8252B"/>
    <w:rsid w:val="4C147D56"/>
    <w:rsid w:val="4C421F08"/>
    <w:rsid w:val="4C837373"/>
    <w:rsid w:val="4C986001"/>
    <w:rsid w:val="4D8F08DC"/>
    <w:rsid w:val="4E7E204D"/>
    <w:rsid w:val="4E82127A"/>
    <w:rsid w:val="4F472254"/>
    <w:rsid w:val="4F945D7E"/>
    <w:rsid w:val="4FC7508D"/>
    <w:rsid w:val="501C2FE7"/>
    <w:rsid w:val="503A3B65"/>
    <w:rsid w:val="504148A4"/>
    <w:rsid w:val="50D619D1"/>
    <w:rsid w:val="50E97B9E"/>
    <w:rsid w:val="50F50951"/>
    <w:rsid w:val="51535906"/>
    <w:rsid w:val="5169482C"/>
    <w:rsid w:val="525E7551"/>
    <w:rsid w:val="528B5447"/>
    <w:rsid w:val="53BA06A9"/>
    <w:rsid w:val="53DE1AC6"/>
    <w:rsid w:val="54406396"/>
    <w:rsid w:val="54742FF2"/>
    <w:rsid w:val="548B7C27"/>
    <w:rsid w:val="54A75C89"/>
    <w:rsid w:val="55396CDE"/>
    <w:rsid w:val="554208AE"/>
    <w:rsid w:val="5561390B"/>
    <w:rsid w:val="55885A91"/>
    <w:rsid w:val="55EE4085"/>
    <w:rsid w:val="56304AB8"/>
    <w:rsid w:val="56407297"/>
    <w:rsid w:val="570D0F8B"/>
    <w:rsid w:val="57455A66"/>
    <w:rsid w:val="57850094"/>
    <w:rsid w:val="578D24D5"/>
    <w:rsid w:val="57A61B8C"/>
    <w:rsid w:val="57E354F2"/>
    <w:rsid w:val="580042D3"/>
    <w:rsid w:val="5843710F"/>
    <w:rsid w:val="58D71E55"/>
    <w:rsid w:val="59132AFC"/>
    <w:rsid w:val="59245B38"/>
    <w:rsid w:val="594D3082"/>
    <w:rsid w:val="59B05A79"/>
    <w:rsid w:val="59F658C5"/>
    <w:rsid w:val="5A0E3118"/>
    <w:rsid w:val="5AE85531"/>
    <w:rsid w:val="5B6B26C4"/>
    <w:rsid w:val="5B8A1571"/>
    <w:rsid w:val="5BB43963"/>
    <w:rsid w:val="5C17614F"/>
    <w:rsid w:val="5C260371"/>
    <w:rsid w:val="5CFA11D0"/>
    <w:rsid w:val="5DE57627"/>
    <w:rsid w:val="5DF526C5"/>
    <w:rsid w:val="5E604105"/>
    <w:rsid w:val="5EDA11E4"/>
    <w:rsid w:val="5EFB2D44"/>
    <w:rsid w:val="5F0C3063"/>
    <w:rsid w:val="5F1D1ED0"/>
    <w:rsid w:val="5F632160"/>
    <w:rsid w:val="5F6B0D8D"/>
    <w:rsid w:val="5F8B6E25"/>
    <w:rsid w:val="5FC0170F"/>
    <w:rsid w:val="5FDF5913"/>
    <w:rsid w:val="601F75CC"/>
    <w:rsid w:val="60ED0A68"/>
    <w:rsid w:val="615E1663"/>
    <w:rsid w:val="617D4E86"/>
    <w:rsid w:val="618B33AE"/>
    <w:rsid w:val="61BB4B7E"/>
    <w:rsid w:val="629421D7"/>
    <w:rsid w:val="6389736D"/>
    <w:rsid w:val="63B17BE6"/>
    <w:rsid w:val="64112978"/>
    <w:rsid w:val="64310DF1"/>
    <w:rsid w:val="64400023"/>
    <w:rsid w:val="64461CEE"/>
    <w:rsid w:val="652C6294"/>
    <w:rsid w:val="655C313F"/>
    <w:rsid w:val="667345CF"/>
    <w:rsid w:val="669235F9"/>
    <w:rsid w:val="66CB7B82"/>
    <w:rsid w:val="68324649"/>
    <w:rsid w:val="683664F1"/>
    <w:rsid w:val="68A8748D"/>
    <w:rsid w:val="68EC1117"/>
    <w:rsid w:val="690E0A23"/>
    <w:rsid w:val="69683407"/>
    <w:rsid w:val="697B6DC6"/>
    <w:rsid w:val="69FF4A0D"/>
    <w:rsid w:val="6A90741D"/>
    <w:rsid w:val="6B6A6741"/>
    <w:rsid w:val="6BA47442"/>
    <w:rsid w:val="6BC8210A"/>
    <w:rsid w:val="6C2F7035"/>
    <w:rsid w:val="6C402A14"/>
    <w:rsid w:val="6C4B7F71"/>
    <w:rsid w:val="6C8A076A"/>
    <w:rsid w:val="6C8F7AB0"/>
    <w:rsid w:val="6D107D87"/>
    <w:rsid w:val="6E455A83"/>
    <w:rsid w:val="6E5A7EC7"/>
    <w:rsid w:val="6E7C12C9"/>
    <w:rsid w:val="6E831828"/>
    <w:rsid w:val="6E9452F4"/>
    <w:rsid w:val="6EEB011D"/>
    <w:rsid w:val="6F4E53B6"/>
    <w:rsid w:val="6FB224BF"/>
    <w:rsid w:val="700D3C59"/>
    <w:rsid w:val="708A4F47"/>
    <w:rsid w:val="712C48B7"/>
    <w:rsid w:val="71CC36E5"/>
    <w:rsid w:val="71E24F75"/>
    <w:rsid w:val="73044D21"/>
    <w:rsid w:val="73ADB47C"/>
    <w:rsid w:val="740B7B24"/>
    <w:rsid w:val="74327C77"/>
    <w:rsid w:val="74A769F5"/>
    <w:rsid w:val="753D0043"/>
    <w:rsid w:val="755F6C5A"/>
    <w:rsid w:val="75715BDC"/>
    <w:rsid w:val="75C516D8"/>
    <w:rsid w:val="75D1249C"/>
    <w:rsid w:val="75F42267"/>
    <w:rsid w:val="766B496B"/>
    <w:rsid w:val="76D03024"/>
    <w:rsid w:val="770D4A5B"/>
    <w:rsid w:val="77833C54"/>
    <w:rsid w:val="784645B8"/>
    <w:rsid w:val="788A188B"/>
    <w:rsid w:val="7891114A"/>
    <w:rsid w:val="78A53BBE"/>
    <w:rsid w:val="79100AFE"/>
    <w:rsid w:val="79286A7A"/>
    <w:rsid w:val="795050C4"/>
    <w:rsid w:val="796120D7"/>
    <w:rsid w:val="79E202A0"/>
    <w:rsid w:val="7A8C53B5"/>
    <w:rsid w:val="7BB37D1A"/>
    <w:rsid w:val="7C034A84"/>
    <w:rsid w:val="7C2E143A"/>
    <w:rsid w:val="7C8F62DC"/>
    <w:rsid w:val="7CCA0D7A"/>
    <w:rsid w:val="7D7D28F1"/>
    <w:rsid w:val="7DA42BFD"/>
    <w:rsid w:val="7E7B5F8D"/>
    <w:rsid w:val="7FBF2877"/>
    <w:rsid w:val="7FBF63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宋体"/>
      <w:sz w:val="22"/>
      <w:szCs w:val="22"/>
      <w:lang w:val="en-US" w:eastAsia="zh-CN" w:bidi="ar-SA"/>
    </w:rPr>
  </w:style>
  <w:style w:type="paragraph" w:styleId="5">
    <w:name w:val="heading 1"/>
    <w:basedOn w:val="1"/>
    <w:next w:val="1"/>
    <w:link w:val="27"/>
    <w:qFormat/>
    <w:uiPriority w:val="99"/>
    <w:pPr>
      <w:keepNext/>
      <w:keepLines/>
      <w:spacing w:before="340" w:after="330" w:line="578" w:lineRule="auto"/>
      <w:outlineLvl w:val="0"/>
    </w:pPr>
    <w:rPr>
      <w:b/>
      <w:bCs/>
      <w:kern w:val="44"/>
      <w:sz w:val="44"/>
      <w:szCs w:val="44"/>
    </w:rPr>
  </w:style>
  <w:style w:type="paragraph" w:styleId="6">
    <w:name w:val="heading 3"/>
    <w:basedOn w:val="1"/>
    <w:next w:val="1"/>
    <w:semiHidden/>
    <w:unhideWhenUsed/>
    <w:qFormat/>
    <w:locked/>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7">
    <w:name w:val="heading 5"/>
    <w:basedOn w:val="1"/>
    <w:next w:val="1"/>
    <w:qFormat/>
    <w:locked/>
    <w:uiPriority w:val="0"/>
    <w:pPr>
      <w:keepNext/>
      <w:keepLines/>
      <w:numPr>
        <w:ilvl w:val="0"/>
        <w:numId w:val="1"/>
      </w:numPr>
      <w:spacing w:before="120" w:after="120"/>
      <w:ind w:left="0" w:firstLine="0"/>
      <w:outlineLvl w:val="4"/>
    </w:pPr>
    <w:rPr>
      <w:rFonts w:eastAsia="黑体"/>
      <w:b/>
      <w:bCs/>
      <w:lang w:val="zh-CN"/>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link w:val="29"/>
    <w:qFormat/>
    <w:uiPriority w:val="99"/>
    <w:pPr>
      <w:ind w:firstLine="420"/>
    </w:pPr>
  </w:style>
  <w:style w:type="paragraph" w:styleId="3">
    <w:name w:val="Body Text Indent"/>
    <w:basedOn w:val="1"/>
    <w:next w:val="4"/>
    <w:link w:val="28"/>
    <w:qFormat/>
    <w:uiPriority w:val="99"/>
    <w:pPr>
      <w:ind w:firstLine="560" w:firstLineChars="200"/>
    </w:pPr>
    <w:rPr>
      <w:rFonts w:ascii="宋体" w:hAnsi="宋体"/>
      <w:sz w:val="28"/>
      <w:szCs w:val="28"/>
    </w:rPr>
  </w:style>
  <w:style w:type="paragraph" w:styleId="4">
    <w:name w:val="Plain Text"/>
    <w:basedOn w:val="1"/>
    <w:qFormat/>
    <w:locked/>
    <w:uiPriority w:val="0"/>
    <w:pPr>
      <w:widowControl w:val="0"/>
      <w:autoSpaceDE w:val="0"/>
      <w:autoSpaceDN w:val="0"/>
      <w:snapToGrid/>
      <w:jc w:val="both"/>
    </w:pPr>
    <w:rPr>
      <w:sz w:val="21"/>
      <w:szCs w:val="21"/>
    </w:rPr>
  </w:style>
  <w:style w:type="paragraph" w:styleId="8">
    <w:name w:val="annotation text"/>
    <w:basedOn w:val="1"/>
    <w:link w:val="30"/>
    <w:qFormat/>
    <w:uiPriority w:val="99"/>
  </w:style>
  <w:style w:type="paragraph" w:styleId="9">
    <w:name w:val="toc 3"/>
    <w:basedOn w:val="1"/>
    <w:next w:val="1"/>
    <w:qFormat/>
    <w:uiPriority w:val="99"/>
    <w:pPr>
      <w:adjustRightInd/>
      <w:snapToGrid/>
      <w:spacing w:after="100" w:line="276" w:lineRule="auto"/>
      <w:ind w:left="440"/>
    </w:pPr>
    <w:rPr>
      <w:rFonts w:ascii="Calibri" w:hAnsi="Calibri" w:eastAsia="宋体"/>
    </w:rPr>
  </w:style>
  <w:style w:type="paragraph" w:styleId="10">
    <w:name w:val="Balloon Text"/>
    <w:basedOn w:val="1"/>
    <w:link w:val="31"/>
    <w:qFormat/>
    <w:uiPriority w:val="99"/>
    <w:pPr>
      <w:spacing w:after="0"/>
    </w:pPr>
    <w:rPr>
      <w:sz w:val="18"/>
      <w:szCs w:val="18"/>
    </w:rPr>
  </w:style>
  <w:style w:type="paragraph" w:styleId="11">
    <w:name w:val="footer"/>
    <w:basedOn w:val="1"/>
    <w:link w:val="32"/>
    <w:qFormat/>
    <w:uiPriority w:val="99"/>
    <w:pPr>
      <w:tabs>
        <w:tab w:val="center" w:pos="4153"/>
        <w:tab w:val="right" w:pos="8306"/>
      </w:tabs>
    </w:pPr>
    <w:rPr>
      <w:sz w:val="18"/>
      <w:szCs w:val="18"/>
    </w:rPr>
  </w:style>
  <w:style w:type="paragraph" w:styleId="12">
    <w:name w:val="header"/>
    <w:basedOn w:val="1"/>
    <w:link w:val="33"/>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pPr>
      <w:adjustRightInd/>
      <w:snapToGrid/>
      <w:spacing w:after="100" w:line="276" w:lineRule="auto"/>
    </w:pPr>
    <w:rPr>
      <w:rFonts w:ascii="Calibri" w:hAnsi="Calibri" w:eastAsia="宋体"/>
    </w:rPr>
  </w:style>
  <w:style w:type="paragraph" w:styleId="14">
    <w:name w:val="toc 2"/>
    <w:basedOn w:val="1"/>
    <w:next w:val="1"/>
    <w:qFormat/>
    <w:uiPriority w:val="39"/>
    <w:pPr>
      <w:adjustRightInd/>
      <w:snapToGrid/>
      <w:spacing w:after="100" w:line="276" w:lineRule="auto"/>
      <w:ind w:left="220"/>
    </w:pPr>
    <w:rPr>
      <w:rFonts w:ascii="Calibri" w:hAnsi="Calibri" w:eastAsia="宋体"/>
    </w:rPr>
  </w:style>
  <w:style w:type="paragraph" w:styleId="15">
    <w:name w:val="HTML Preformatted"/>
    <w:basedOn w:val="1"/>
    <w:link w:val="3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Times New Roman"/>
      <w:sz w:val="24"/>
      <w:szCs w:val="24"/>
    </w:rPr>
  </w:style>
  <w:style w:type="paragraph" w:styleId="16">
    <w:name w:val="Normal (Web)"/>
    <w:basedOn w:val="1"/>
    <w:qFormat/>
    <w:uiPriority w:val="99"/>
    <w:pPr>
      <w:spacing w:beforeAutospacing="1" w:after="0" w:afterAutospacing="1"/>
    </w:pPr>
    <w:rPr>
      <w:rFonts w:cs="Times New Roman"/>
      <w:sz w:val="24"/>
    </w:rPr>
  </w:style>
  <w:style w:type="paragraph" w:styleId="17">
    <w:name w:val="Title"/>
    <w:basedOn w:val="1"/>
    <w:next w:val="1"/>
    <w:link w:val="35"/>
    <w:qFormat/>
    <w:uiPriority w:val="99"/>
    <w:pPr>
      <w:spacing w:before="240" w:after="60"/>
      <w:jc w:val="center"/>
      <w:outlineLvl w:val="0"/>
    </w:pPr>
    <w:rPr>
      <w:rFonts w:ascii="Calibri Light" w:hAnsi="Calibri Light" w:eastAsia="宋体"/>
      <w:b/>
      <w:bCs/>
      <w:sz w:val="32"/>
      <w:szCs w:val="32"/>
    </w:rPr>
  </w:style>
  <w:style w:type="paragraph" w:styleId="18">
    <w:name w:val="annotation subject"/>
    <w:basedOn w:val="8"/>
    <w:next w:val="8"/>
    <w:link w:val="36"/>
    <w:qFormat/>
    <w:uiPriority w:val="99"/>
    <w:rPr>
      <w:b/>
      <w:bCs/>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locked/>
    <w:uiPriority w:val="22"/>
    <w:rPr>
      <w:b/>
    </w:rPr>
  </w:style>
  <w:style w:type="character" w:styleId="23">
    <w:name w:val="page number"/>
    <w:basedOn w:val="21"/>
    <w:qFormat/>
    <w:locked/>
    <w:uiPriority w:val="0"/>
  </w:style>
  <w:style w:type="character" w:styleId="24">
    <w:name w:val="Emphasis"/>
    <w:basedOn w:val="21"/>
    <w:qFormat/>
    <w:locked/>
    <w:uiPriority w:val="20"/>
    <w:rPr>
      <w:i/>
    </w:rPr>
  </w:style>
  <w:style w:type="character" w:styleId="25">
    <w:name w:val="Hyperlink"/>
    <w:basedOn w:val="21"/>
    <w:qFormat/>
    <w:uiPriority w:val="99"/>
    <w:rPr>
      <w:rFonts w:cs="Times New Roman"/>
      <w:color w:val="0563C1"/>
      <w:u w:val="single"/>
    </w:rPr>
  </w:style>
  <w:style w:type="character" w:styleId="26">
    <w:name w:val="annotation reference"/>
    <w:basedOn w:val="21"/>
    <w:qFormat/>
    <w:uiPriority w:val="99"/>
    <w:rPr>
      <w:rFonts w:cs="Times New Roman"/>
      <w:sz w:val="21"/>
      <w:szCs w:val="21"/>
    </w:rPr>
  </w:style>
  <w:style w:type="character" w:customStyle="1" w:styleId="27">
    <w:name w:val="标题 1 Char"/>
    <w:basedOn w:val="21"/>
    <w:link w:val="5"/>
    <w:qFormat/>
    <w:locked/>
    <w:uiPriority w:val="99"/>
    <w:rPr>
      <w:rFonts w:ascii="Tahoma" w:hAnsi="Tahoma" w:eastAsia="微软雅黑" w:cs="宋体"/>
      <w:b/>
      <w:bCs/>
      <w:kern w:val="44"/>
      <w:sz w:val="44"/>
      <w:szCs w:val="44"/>
    </w:rPr>
  </w:style>
  <w:style w:type="character" w:customStyle="1" w:styleId="28">
    <w:name w:val="正文文本缩进 Char"/>
    <w:basedOn w:val="21"/>
    <w:link w:val="3"/>
    <w:semiHidden/>
    <w:qFormat/>
    <w:locked/>
    <w:uiPriority w:val="99"/>
    <w:rPr>
      <w:rFonts w:ascii="Tahoma" w:hAnsi="Tahoma" w:eastAsia="微软雅黑" w:cs="宋体"/>
      <w:kern w:val="0"/>
      <w:sz w:val="22"/>
    </w:rPr>
  </w:style>
  <w:style w:type="character" w:customStyle="1" w:styleId="29">
    <w:name w:val="正文首行缩进 2 Char"/>
    <w:basedOn w:val="28"/>
    <w:link w:val="2"/>
    <w:semiHidden/>
    <w:qFormat/>
    <w:locked/>
    <w:uiPriority w:val="99"/>
  </w:style>
  <w:style w:type="character" w:customStyle="1" w:styleId="30">
    <w:name w:val="批注文字 Char"/>
    <w:basedOn w:val="21"/>
    <w:link w:val="8"/>
    <w:qFormat/>
    <w:locked/>
    <w:uiPriority w:val="99"/>
    <w:rPr>
      <w:rFonts w:ascii="Tahoma" w:hAnsi="Tahoma" w:eastAsia="微软雅黑" w:cs="宋体"/>
      <w:sz w:val="22"/>
      <w:szCs w:val="22"/>
    </w:rPr>
  </w:style>
  <w:style w:type="character" w:customStyle="1" w:styleId="31">
    <w:name w:val="批注框文本 Char"/>
    <w:basedOn w:val="21"/>
    <w:link w:val="10"/>
    <w:qFormat/>
    <w:locked/>
    <w:uiPriority w:val="99"/>
    <w:rPr>
      <w:rFonts w:ascii="Tahoma" w:hAnsi="Tahoma" w:eastAsia="微软雅黑" w:cs="宋体"/>
      <w:sz w:val="18"/>
      <w:szCs w:val="18"/>
    </w:rPr>
  </w:style>
  <w:style w:type="character" w:customStyle="1" w:styleId="32">
    <w:name w:val="页脚 Char"/>
    <w:basedOn w:val="21"/>
    <w:link w:val="11"/>
    <w:qFormat/>
    <w:locked/>
    <w:uiPriority w:val="99"/>
    <w:rPr>
      <w:rFonts w:ascii="Tahoma" w:hAnsi="Tahoma" w:eastAsia="微软雅黑" w:cs="宋体"/>
      <w:sz w:val="18"/>
      <w:szCs w:val="18"/>
    </w:rPr>
  </w:style>
  <w:style w:type="character" w:customStyle="1" w:styleId="33">
    <w:name w:val="页眉 Char"/>
    <w:basedOn w:val="21"/>
    <w:link w:val="12"/>
    <w:qFormat/>
    <w:locked/>
    <w:uiPriority w:val="99"/>
    <w:rPr>
      <w:rFonts w:ascii="Tahoma" w:hAnsi="Tahoma" w:eastAsia="微软雅黑" w:cs="宋体"/>
      <w:sz w:val="18"/>
      <w:szCs w:val="18"/>
    </w:rPr>
  </w:style>
  <w:style w:type="character" w:customStyle="1" w:styleId="34">
    <w:name w:val="HTML 预设格式 Char"/>
    <w:basedOn w:val="21"/>
    <w:link w:val="15"/>
    <w:semiHidden/>
    <w:qFormat/>
    <w:locked/>
    <w:uiPriority w:val="99"/>
    <w:rPr>
      <w:rFonts w:ascii="Courier New" w:hAnsi="Courier New" w:eastAsia="微软雅黑" w:cs="Courier New"/>
      <w:kern w:val="0"/>
      <w:sz w:val="20"/>
      <w:szCs w:val="20"/>
    </w:rPr>
  </w:style>
  <w:style w:type="character" w:customStyle="1" w:styleId="35">
    <w:name w:val="标题 Char"/>
    <w:basedOn w:val="21"/>
    <w:link w:val="17"/>
    <w:qFormat/>
    <w:locked/>
    <w:uiPriority w:val="99"/>
    <w:rPr>
      <w:rFonts w:ascii="Calibri Light" w:hAnsi="Calibri Light" w:cs="宋体"/>
      <w:b/>
      <w:bCs/>
      <w:sz w:val="32"/>
      <w:szCs w:val="32"/>
    </w:rPr>
  </w:style>
  <w:style w:type="character" w:customStyle="1" w:styleId="36">
    <w:name w:val="批注主题 Char"/>
    <w:basedOn w:val="30"/>
    <w:link w:val="18"/>
    <w:qFormat/>
    <w:locked/>
    <w:uiPriority w:val="99"/>
    <w:rPr>
      <w:b/>
      <w:bCs/>
    </w:rPr>
  </w:style>
  <w:style w:type="paragraph" w:customStyle="1" w:styleId="37">
    <w:name w:val="样式1"/>
    <w:basedOn w:val="1"/>
    <w:qFormat/>
    <w:uiPriority w:val="99"/>
    <w:pPr>
      <w:spacing w:line="620" w:lineRule="exact"/>
      <w:jc w:val="center"/>
      <w:outlineLvl w:val="0"/>
    </w:pPr>
    <w:rPr>
      <w:rFonts w:eastAsia="方正小标宋简体"/>
      <w:bCs/>
      <w:sz w:val="36"/>
      <w:szCs w:val="36"/>
    </w:rPr>
  </w:style>
  <w:style w:type="character" w:customStyle="1" w:styleId="38">
    <w:name w:val="font01"/>
    <w:basedOn w:val="21"/>
    <w:qFormat/>
    <w:uiPriority w:val="99"/>
    <w:rPr>
      <w:rFonts w:ascii="宋体" w:hAnsi="宋体" w:eastAsia="宋体" w:cs="宋体"/>
      <w:color w:val="FF0000"/>
      <w:sz w:val="22"/>
      <w:szCs w:val="22"/>
      <w:u w:val="none"/>
    </w:rPr>
  </w:style>
  <w:style w:type="character" w:customStyle="1" w:styleId="39">
    <w:name w:val="font31"/>
    <w:basedOn w:val="21"/>
    <w:qFormat/>
    <w:uiPriority w:val="99"/>
    <w:rPr>
      <w:rFonts w:ascii="宋体" w:hAnsi="宋体" w:eastAsia="宋体" w:cs="宋体"/>
      <w:color w:val="000000"/>
      <w:sz w:val="22"/>
      <w:szCs w:val="22"/>
      <w:u w:val="none"/>
    </w:rPr>
  </w:style>
  <w:style w:type="paragraph" w:customStyle="1" w:styleId="40">
    <w:name w:val="TOC 标题1"/>
    <w:basedOn w:val="5"/>
    <w:next w:val="1"/>
    <w:qFormat/>
    <w:uiPriority w:val="99"/>
    <w:pPr>
      <w:adjustRightInd/>
      <w:snapToGrid/>
      <w:spacing w:before="480" w:after="0" w:line="276" w:lineRule="auto"/>
      <w:outlineLvl w:val="9"/>
    </w:pPr>
    <w:rPr>
      <w:rFonts w:ascii="Calibri Light" w:hAnsi="Calibri Light" w:eastAsia="宋体"/>
      <w:color w:val="2E74B5"/>
      <w:kern w:val="0"/>
      <w:sz w:val="28"/>
      <w:szCs w:val="28"/>
    </w:rPr>
  </w:style>
  <w:style w:type="paragraph" w:customStyle="1" w:styleId="41">
    <w:name w:val="标题 41"/>
    <w:basedOn w:val="1"/>
    <w:next w:val="1"/>
    <w:qFormat/>
    <w:uiPriority w:val="0"/>
    <w:pPr>
      <w:keepNext/>
      <w:keepLines/>
      <w:numPr>
        <w:ilvl w:val="3"/>
        <w:numId w:val="2"/>
      </w:numPr>
      <w:tabs>
        <w:tab w:val="left" w:pos="0"/>
      </w:tabs>
      <w:spacing w:afterLines="20" w:line="360" w:lineRule="exact"/>
      <w:ind w:left="0" w:firstLine="0"/>
      <w:outlineLvl w:val="3"/>
    </w:pPr>
    <w:rPr>
      <w:rFonts w:ascii="Arial" w:hAnsi="Arial" w:eastAsia="黑体"/>
      <w:b/>
      <w:bCs/>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7694</Words>
  <Characters>43856</Characters>
  <Lines>365</Lines>
  <Paragraphs>102</Paragraphs>
  <TotalTime>11</TotalTime>
  <ScaleCrop>false</ScaleCrop>
  <LinksUpToDate>false</LinksUpToDate>
  <CharactersWithSpaces>51448</CharactersWithSpaces>
  <Application>WPS Office_11.1.0.10578_F1E327BC-269C-435d-A152-05C5408002CA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2021-04-07T16:54:00Z</dcterms:created>
  <dc:creator>bigstone</dc:creator>
  <cp:lastModifiedBy>Administrator</cp:lastModifiedBy>
  <cp:lastPrinted>2021-04-19T08:31:00Z</cp:lastPrinted>
  <dcterms:modified xsi:type="dcterms:W3CDTF">2021-07-23T07:56:26Z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E3B040143CE2444EA12C7FD0457515D4</vt:lpwstr>
  </property>
</Properties>
</file>