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20"/>
          <w:tab w:val="left" w:pos="7040"/>
          <w:tab w:val="left" w:pos="7392"/>
          <w:tab w:val="left" w:pos="7740"/>
        </w:tabs>
        <w:spacing w:line="540" w:lineRule="exact"/>
        <w:ind w:right="70"/>
        <w:jc w:val="center"/>
        <w:rPr>
          <w:rFonts w:hint="eastAsia" w:ascii="方正小标宋简体" w:hAnsi="方正小标宋简体" w:eastAsia="方正小标宋简体" w:cs="方正小标宋简体"/>
          <w:sz w:val="44"/>
          <w:szCs w:val="44"/>
        </w:rPr>
      </w:pPr>
    </w:p>
    <w:tbl>
      <w:tblPr>
        <w:tblStyle w:val="6"/>
        <w:tblpPr w:leftFromText="180" w:rightFromText="180" w:vertAnchor="page" w:horzAnchor="page" w:tblpX="1503" w:tblpY="2138"/>
        <w:tblW w:w="8970" w:type="dxa"/>
        <w:tblInd w:w="0" w:type="dxa"/>
        <w:tblLayout w:type="fixed"/>
        <w:tblCellMar>
          <w:top w:w="0" w:type="dxa"/>
          <w:left w:w="108" w:type="dxa"/>
          <w:bottom w:w="0" w:type="dxa"/>
          <w:right w:w="108" w:type="dxa"/>
        </w:tblCellMar>
      </w:tblPr>
      <w:tblGrid>
        <w:gridCol w:w="7721"/>
        <w:gridCol w:w="1249"/>
      </w:tblGrid>
      <w:tr>
        <w:tblPrEx>
          <w:tblCellMar>
            <w:top w:w="0" w:type="dxa"/>
            <w:left w:w="108" w:type="dxa"/>
            <w:bottom w:w="0" w:type="dxa"/>
            <w:right w:w="108" w:type="dxa"/>
          </w:tblCellMar>
        </w:tblPrEx>
        <w:trPr>
          <w:trHeight w:val="3258" w:hRule="atLeast"/>
        </w:trPr>
        <w:tc>
          <w:tcPr>
            <w:tcW w:w="7721" w:type="dxa"/>
            <w:noWrap w:val="0"/>
            <w:vAlign w:val="center"/>
          </w:tcPr>
          <w:p>
            <w:pPr>
              <w:spacing w:line="1200" w:lineRule="exact"/>
              <w:ind w:right="69" w:rightChars="33" w:firstLine="0" w:firstLineChars="0"/>
              <w:jc w:val="center"/>
              <w:rPr>
                <w:rFonts w:hint="eastAsia" w:asciiTheme="majorEastAsia" w:hAnsiTheme="majorEastAsia" w:eastAsiaTheme="majorEastAsia" w:cstheme="majorEastAsia"/>
                <w:b/>
                <w:bCs w:val="0"/>
                <w:color w:val="FF0000"/>
                <w:spacing w:val="-12"/>
                <w:w w:val="35"/>
                <w:sz w:val="116"/>
                <w:szCs w:val="116"/>
              </w:rPr>
            </w:pPr>
            <w:r>
              <w:rPr>
                <w:rFonts w:hint="eastAsia" w:asciiTheme="majorEastAsia" w:hAnsiTheme="majorEastAsia" w:eastAsiaTheme="majorEastAsia" w:cstheme="majorEastAsia"/>
                <w:b/>
                <w:bCs w:val="0"/>
                <w:color w:val="FF0000"/>
                <w:spacing w:val="45"/>
                <w:w w:val="37"/>
                <w:kern w:val="0"/>
                <w:sz w:val="116"/>
                <w:szCs w:val="116"/>
              </w:rPr>
              <w:t>中共南安市委</w:t>
            </w:r>
            <w:r>
              <w:rPr>
                <w:rFonts w:hint="eastAsia" w:asciiTheme="majorEastAsia" w:hAnsiTheme="majorEastAsia" w:eastAsiaTheme="majorEastAsia" w:cstheme="majorEastAsia"/>
                <w:b/>
                <w:bCs w:val="0"/>
                <w:color w:val="FF0000"/>
                <w:spacing w:val="45"/>
                <w:w w:val="37"/>
                <w:kern w:val="0"/>
                <w:sz w:val="116"/>
                <w:szCs w:val="116"/>
                <w:lang w:eastAsia="zh-CN"/>
              </w:rPr>
              <w:t>扶贫开发成果巩固</w:t>
            </w:r>
            <w:r>
              <w:rPr>
                <w:rFonts w:hint="eastAsia" w:asciiTheme="majorEastAsia" w:hAnsiTheme="majorEastAsia" w:eastAsiaTheme="majorEastAsia" w:cstheme="majorEastAsia"/>
                <w:b/>
                <w:bCs w:val="0"/>
                <w:color w:val="FF0000"/>
                <w:spacing w:val="45"/>
                <w:w w:val="38"/>
                <w:kern w:val="0"/>
                <w:sz w:val="116"/>
                <w:szCs w:val="116"/>
                <w:lang w:eastAsia="zh-CN"/>
              </w:rPr>
              <w:t>与乡村振兴工作</w:t>
            </w:r>
            <w:r>
              <w:rPr>
                <w:rFonts w:hint="eastAsia" w:asciiTheme="majorEastAsia" w:hAnsiTheme="majorEastAsia" w:eastAsiaTheme="majorEastAsia" w:cstheme="majorEastAsia"/>
                <w:b/>
                <w:bCs w:val="0"/>
                <w:color w:val="FF0000"/>
                <w:spacing w:val="45"/>
                <w:w w:val="38"/>
                <w:kern w:val="0"/>
                <w:sz w:val="116"/>
                <w:szCs w:val="116"/>
              </w:rPr>
              <w:t>领导小组</w:t>
            </w:r>
            <w:r>
              <w:rPr>
                <w:rFonts w:hint="eastAsia" w:asciiTheme="majorEastAsia" w:hAnsiTheme="majorEastAsia" w:eastAsiaTheme="majorEastAsia" w:cstheme="majorEastAsia"/>
                <w:b/>
                <w:bCs w:val="0"/>
                <w:color w:val="FF0000"/>
                <w:spacing w:val="-12"/>
                <w:w w:val="38"/>
                <w:kern w:val="0"/>
                <w:sz w:val="116"/>
                <w:szCs w:val="116"/>
              </w:rPr>
              <w:t>办公室</w:t>
            </w:r>
          </w:p>
        </w:tc>
        <w:tc>
          <w:tcPr>
            <w:tcW w:w="1249" w:type="dxa"/>
            <w:noWrap w:val="0"/>
            <w:vAlign w:val="center"/>
          </w:tcPr>
          <w:p>
            <w:pPr>
              <w:spacing w:line="1200" w:lineRule="exact"/>
              <w:ind w:right="69" w:rightChars="33" w:firstLine="0" w:firstLineChars="0"/>
              <w:jc w:val="center"/>
              <w:rPr>
                <w:rFonts w:hint="eastAsia" w:asciiTheme="majorEastAsia" w:hAnsiTheme="majorEastAsia" w:eastAsiaTheme="majorEastAsia" w:cstheme="majorEastAsia"/>
                <w:b/>
                <w:bCs w:val="0"/>
                <w:color w:val="FF0000"/>
                <w:spacing w:val="-12"/>
                <w:w w:val="35"/>
                <w:kern w:val="0"/>
                <w:sz w:val="116"/>
                <w:szCs w:val="116"/>
              </w:rPr>
            </w:pPr>
            <w:r>
              <w:rPr>
                <w:rFonts w:hint="eastAsia" w:asciiTheme="majorEastAsia" w:hAnsiTheme="majorEastAsia" w:eastAsiaTheme="majorEastAsia" w:cstheme="majorEastAsia"/>
                <w:b/>
                <w:bCs w:val="0"/>
                <w:color w:val="FF0000"/>
                <w:spacing w:val="-11"/>
                <w:w w:val="40"/>
                <w:kern w:val="0"/>
                <w:sz w:val="116"/>
                <w:szCs w:val="116"/>
              </w:rPr>
              <w:t>文件</w:t>
            </w:r>
          </w:p>
        </w:tc>
      </w:tr>
    </w:tbl>
    <w:p>
      <w:pPr>
        <w:spacing w:line="360" w:lineRule="auto"/>
        <w:ind w:right="-1"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南委振兴办〔2021〕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spacing w:line="160" w:lineRule="exact"/>
        <w:ind w:right="-1" w:firstLine="0" w:firstLineChars="0"/>
        <w:rPr>
          <w:rFonts w:hAnsi="仿宋" w:cs="Arial"/>
          <w:sz w:val="21"/>
          <w:szCs w:val="21"/>
          <w:u w:val="thick"/>
        </w:rPr>
      </w:pPr>
      <w:r>
        <w:rPr>
          <w:rFonts w:hint="eastAsia" w:hAnsi="仿宋" w:cs="Arial"/>
          <w:sz w:val="21"/>
          <w:szCs w:val="21"/>
          <w:u w:val="thick"/>
        </w:rPr>
        <w:t xml:space="preserve">                                                                                          </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before="313" w:beforeLines="100" w:line="640" w:lineRule="exact"/>
        <w:ind w:right="68"/>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rPr>
        <w:t>中共南安市委</w:t>
      </w:r>
      <w:r>
        <w:rPr>
          <w:rFonts w:hint="eastAsia" w:ascii="方正小标宋简体" w:hAnsi="方正小标宋简体" w:eastAsia="方正小标宋简体" w:cs="方正小标宋简体"/>
          <w:spacing w:val="-11"/>
          <w:sz w:val="44"/>
          <w:szCs w:val="44"/>
          <w:lang w:eastAsia="zh-CN"/>
        </w:rPr>
        <w:t>扶贫开发成果巩固与乡村振兴</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640" w:lineRule="exact"/>
        <w:ind w:right="68"/>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eastAsia="zh-CN"/>
        </w:rPr>
        <w:t>工作</w:t>
      </w:r>
      <w:r>
        <w:rPr>
          <w:rFonts w:hint="eastAsia" w:ascii="方正小标宋简体" w:hAnsi="方正小标宋简体" w:eastAsia="方正小标宋简体" w:cs="方正小标宋简体"/>
          <w:spacing w:val="-11"/>
          <w:sz w:val="44"/>
          <w:szCs w:val="44"/>
        </w:rPr>
        <w:t>领导小组办公室关于开展“防止返贫</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640" w:lineRule="exact"/>
        <w:ind w:right="68"/>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动态监测和帮扶月”活动的通知</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640" w:lineRule="exact"/>
        <w:ind w:right="70" w:firstLine="640" w:firstLineChars="200"/>
        <w:jc w:val="center"/>
        <w:textAlignment w:val="auto"/>
        <w:rPr>
          <w:rFonts w:ascii="等线" w:hAnsi="等线" w:eastAsia="等线"/>
          <w:sz w:val="32"/>
          <w:szCs w:val="32"/>
        </w:rPr>
      </w:pP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乡镇（街道）人民政府（办事处）、市直各单位</w:t>
      </w:r>
      <w:r>
        <w:rPr>
          <w:rFonts w:hint="eastAsia" w:ascii="仿宋_GB2312" w:hAnsi="仿宋_GB2312" w:eastAsia="仿宋_GB2312" w:cs="仿宋_GB2312"/>
          <w:sz w:val="32"/>
          <w:szCs w:val="32"/>
        </w:rPr>
        <w:t>:</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中共泉州市委扶贫开发成果巩固与乡村振兴工作领导小组办公室关于开展“防止返贫动态监测和帮扶月”活动的通知</w:t>
      </w:r>
      <w:r>
        <w:rPr>
          <w:rFonts w:hint="eastAsia" w:ascii="仿宋_GB2312" w:hAnsi="仿宋_GB2312" w:eastAsia="仿宋_GB2312" w:cs="仿宋_GB2312"/>
          <w:sz w:val="32"/>
          <w:szCs w:val="32"/>
          <w:lang w:eastAsia="zh-CN"/>
        </w:rPr>
        <w:t>》要求，结合省上在我市巩固脱贫攻坚成果调研发现的问题，</w:t>
      </w:r>
      <w:r>
        <w:rPr>
          <w:rFonts w:hint="eastAsia" w:ascii="仿宋_GB2312" w:hAnsi="仿宋_GB2312" w:eastAsia="仿宋_GB2312" w:cs="仿宋_GB2312"/>
          <w:sz w:val="32"/>
          <w:szCs w:val="32"/>
        </w:rPr>
        <w:t>决定开展“防止返贫动态监测和帮扶月”活动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现将有关事项通知如下:</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rPr>
        <w:t>一、活动时间</w:t>
      </w:r>
      <w:r>
        <w:rPr>
          <w:rFonts w:hint="eastAsia" w:ascii="黑体" w:hAnsi="黑体" w:eastAsia="黑体" w:cs="黑体"/>
          <w:sz w:val="32"/>
          <w:szCs w:val="32"/>
        </w:rPr>
        <w:cr/>
      </w:r>
      <w:r>
        <w:rPr>
          <w:rFonts w:hint="eastAsia" w:ascii="仿宋_GB2312" w:hAnsi="仿宋_GB2312" w:eastAsia="仿宋_GB2312" w:cs="仿宋_GB2312"/>
          <w:sz w:val="32"/>
          <w:szCs w:val="32"/>
        </w:rPr>
        <w:t>
　即日起至2021年9月30日</w:t>
      </w:r>
      <w:r>
        <w:rPr>
          <w:rFonts w:hint="eastAsia" w:ascii="仿宋_GB2312" w:hAnsi="仿宋_GB2312" w:eastAsia="仿宋_GB2312" w:cs="仿宋_GB2312"/>
          <w:sz w:val="32"/>
          <w:szCs w:val="32"/>
        </w:rPr>
        <w:cr/>
      </w:r>
      <w:r>
        <w:rPr>
          <w:rFonts w:hint="eastAsia" w:ascii="黑体" w:hAnsi="黑体" w:eastAsia="黑体" w:cs="黑体"/>
          <w:sz w:val="32"/>
          <w:szCs w:val="32"/>
        </w:rPr>
        <w:t>
　二、活动内容</w:t>
      </w:r>
      <w:r>
        <w:rPr>
          <w:rFonts w:hint="eastAsia" w:ascii="仿宋_GB2312" w:hAnsi="仿宋_GB2312" w:eastAsia="仿宋_GB2312" w:cs="仿宋_GB2312"/>
          <w:sz w:val="32"/>
          <w:szCs w:val="32"/>
        </w:rPr>
        <w:cr/>
      </w:r>
      <w:r>
        <w:rPr>
          <w:rFonts w:hint="eastAsia" w:ascii="仿宋_GB2312" w:hAnsi="仿宋_GB2312" w:eastAsia="仿宋_GB2312" w:cs="仿宋_GB2312"/>
          <w:b/>
          <w:bCs/>
        </w:rPr>
        <w:t>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落实干部挂钩帮促工作。</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严格落实“1+1+1”挂钩帮促机制工作要求,全面梳理脱贫户、重点监测户挂钩帮扶关系,确保每户脱贫户至少有1位体制内干部挂钩帮促。</w:t>
      </w:r>
      <w:r>
        <w:rPr>
          <w:rFonts w:hint="eastAsia" w:ascii="仿宋_GB2312" w:hAnsi="仿宋_GB2312" w:eastAsia="仿宋_GB2312" w:cs="仿宋_GB2312"/>
          <w:sz w:val="32"/>
          <w:szCs w:val="32"/>
          <w:lang w:eastAsia="zh-CN"/>
        </w:rPr>
        <w:t>要切实落实好脱贫户明白卡、家庭签约医生、住房鉴定卡的上墙要求。</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督促挂钩帮扶干部以“八项帮促措施”为重点,开展集中入户帮促活动,挂钩帮扶干部</w:t>
      </w:r>
      <w:r>
        <w:rPr>
          <w:rFonts w:hint="eastAsia" w:ascii="仿宋_GB2312" w:hAnsi="仿宋_GB2312" w:eastAsia="仿宋_GB2312" w:cs="仿宋_GB2312"/>
          <w:sz w:val="32"/>
          <w:szCs w:val="32"/>
          <w:lang w:eastAsia="zh-CN"/>
        </w:rPr>
        <w:t>每季度</w:t>
      </w:r>
      <w:r>
        <w:rPr>
          <w:rFonts w:hint="eastAsia" w:ascii="仿宋_GB2312" w:hAnsi="仿宋_GB2312" w:eastAsia="仿宋_GB2312" w:cs="仿宋_GB2312"/>
          <w:sz w:val="32"/>
          <w:szCs w:val="32"/>
        </w:rPr>
        <w:t>至少入户走访一次。</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规范填写</w:t>
      </w:r>
      <w:r>
        <w:rPr>
          <w:rFonts w:hint="eastAsia" w:ascii="仿宋_GB2312" w:hAnsi="仿宋_GB2312" w:eastAsia="仿宋_GB2312" w:cs="仿宋_GB2312"/>
          <w:sz w:val="32"/>
          <w:szCs w:val="32"/>
          <w:lang w:eastAsia="zh-CN"/>
        </w:rPr>
        <w:t>《扶贫手册》、</w:t>
      </w:r>
      <w:r>
        <w:rPr>
          <w:rFonts w:hint="eastAsia" w:ascii="仿宋_GB2312" w:hAnsi="仿宋_GB2312" w:eastAsia="仿宋_GB2312" w:cs="仿宋_GB2312"/>
          <w:sz w:val="32"/>
          <w:szCs w:val="32"/>
        </w:rPr>
        <w:t>《入户走访登记表》,如实反映前三季度帮促成效。确保辖区内所有建档立卡脱贫户、重点监测户挂钩到位、走访到位、帮促到位,</w:t>
      </w:r>
      <w:r>
        <w:rPr>
          <w:rFonts w:hint="eastAsia" w:ascii="仿宋_GB2312" w:hAnsi="仿宋_GB2312" w:eastAsia="仿宋_GB2312" w:cs="仿宋_GB2312"/>
          <w:sz w:val="32"/>
          <w:szCs w:val="32"/>
          <w:lang w:eastAsia="zh-CN"/>
        </w:rPr>
        <w:t>不走过场。要了解脱贫户的家庭成员变动情况、住房安全情况（包括是否漏雨、是否安装扶梯、是否裸房）、医疗保障情况（包括是否存在大额医疗费用、家庭医生是否到位）、子女教育情况（是否辍学、是否享受到教育扶贫政策）以及其他容易导致返贫的情况，并及时反馈给市</w:t>
      </w:r>
      <w:r>
        <w:rPr>
          <w:rFonts w:hint="eastAsia" w:ascii="仿宋_GB2312" w:hAnsi="仿宋_GB2312" w:eastAsia="仿宋_GB2312" w:cs="仿宋_GB2312"/>
          <w:sz w:val="32"/>
          <w:szCs w:val="32"/>
        </w:rPr>
        <w:t>乡村振兴部门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切实做到早发现早预警早帮扶。</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(二)落实防返贫监测摸排认定工</w:t>
      </w:r>
      <w:bookmarkStart w:id="0" w:name="_GoBack"/>
      <w:bookmarkEnd w:id="0"/>
      <w:r>
        <w:rPr>
          <w:rFonts w:hint="eastAsia" w:ascii="仿宋_GB2312" w:hAnsi="仿宋_GB2312" w:eastAsia="仿宋_GB2312" w:cs="仿宋_GB2312"/>
          <w:b/>
          <w:bCs/>
          <w:sz w:val="32"/>
          <w:szCs w:val="32"/>
        </w:rPr>
        <w:t>作。</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运用门户网站、微信公众号、镇村公开公示栏等宣传媒介,加大对“一键报贫”在线申报系统、“12317”防止返贫监测和农业农村(乡村振兴)部门热线电话的宣传推广力度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鼓励引导符合监测对象标准的农户主动申报。</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开展“一键报贫”工作“回头看”,结合入户走访帮促工作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对今年来“一键报贫”申报对象家庭情况进行入户核实,对符合重点监测对象标准的,要及时纳入帮促。</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运用南安市“基层社会治理智慧平台”将存在致贫返贫风险的巡查发现、核实反馈、评议审核、信息筛查、对象确认、落实措施、解除监测等列入防止返贫监测场景运用，通过网格化管理，实时对存在致贫返贫风险对象进行重点监测。</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落实部门联动监测预警机制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行业部门组织开展9月摸排、第三季度研判,及时做好数据交换、情况核实、对象识别工作</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乡村振兴部门汇总摸排情况,制定</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风险预警信息合账、监测对象认定及风险消除信息,并反馈相关行业主管部</w:t>
      </w:r>
      <w:r>
        <w:rPr>
          <w:rFonts w:hint="eastAsia" w:ascii="仿宋_GB2312" w:hAnsi="仿宋_GB2312" w:eastAsia="仿宋_GB2312" w:cs="仿宋_GB2312"/>
          <w:sz w:val="32"/>
          <w:szCs w:val="32"/>
          <w:lang w:eastAsia="zh-CN"/>
        </w:rPr>
        <w:t>门。</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(三)及时总结工作经验。</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要制定“防止返贫动态监测和帮扶月”细化工作方案,认真总结开展情况,提炼经验做</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宣传推广典型案例,营造良好的宣传氛围.对发现的问题,要督促有关单位、</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限期整改到位</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三、其他事项</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1.各乡镇（街道）、市直各部门帮扶责任人走访入户情况，要通过网格APP由网格员上报。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2.各乡镇（街道）应于2021年10月8日前将“防止返贫动态监测和帮扶月”开展情况总结报送我办，电子版邮箱：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"mailto:na_fpb@163.com,联系人:李pdc"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na_fpb@163.com，联系人:李宏</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斌 ,联系电话:86382722。</w:t>
      </w:r>
    </w:p>
    <w:p>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1280" w:firstLineChars="4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3520" w:firstLineChars="1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中共南安市委扶贫开发成果巩固与</w:t>
      </w:r>
    </w:p>
    <w:p>
      <w:pPr>
        <w:keepNext w:val="0"/>
        <w:keepLines w:val="0"/>
        <w:pageBreakBefore w:val="0"/>
        <w:widowControl w:val="0"/>
        <w:tabs>
          <w:tab w:val="left" w:pos="6720"/>
          <w:tab w:val="left" w:pos="7040"/>
          <w:tab w:val="left" w:pos="7392"/>
          <w:tab w:val="left" w:pos="7740"/>
        </w:tabs>
        <w:kinsoku/>
        <w:wordWrap/>
        <w:overflowPunct/>
        <w:topLinePunct w:val="0"/>
        <w:autoSpaceDE/>
        <w:autoSpaceDN/>
        <w:bidi w:val="0"/>
        <w:adjustRightInd/>
        <w:snapToGrid/>
        <w:spacing w:line="540" w:lineRule="exact"/>
        <w:ind w:right="68" w:firstLine="3840" w:firstLineChars="1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乡村振兴工作领导小组办公室</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2021年9月10日</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w:t>
      </w:r>
    </w:p>
    <w:sectPr>
      <w:footerReference r:id="rId3" w:type="default"/>
      <w:pgSz w:w="11906" w:h="16838"/>
      <w:pgMar w:top="1440" w:right="17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4625" cy="26098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174625"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20.55pt;width:13.75pt;mso-position-horizontal:outside;mso-position-horizontal-relative:margin;z-index:251659264;mso-width-relative:page;mso-height-relative:page;" filled="f" stroked="f" coordsize="21600,21600" o:gfxdata="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gLuHfUAAAA&#10;AwEAAA8AAAAAAAAAAQAgAAAAIgAAAGRycy9kb3ducmV2LnhtbFBLAQIUABQAAAAIAIdO4kCGKT3w&#10;IQIAAB0EAAAOAAAAAAAAAAEAIAAAACMBAABkcnMvZTJvRG9jLnhtbFBLBQYAAAAABgAGAFkBAAC2&#10;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21B1A"/>
    <w:rsid w:val="00DD0603"/>
    <w:rsid w:val="033061F3"/>
    <w:rsid w:val="06E000D4"/>
    <w:rsid w:val="07D163FA"/>
    <w:rsid w:val="0A397695"/>
    <w:rsid w:val="10942F03"/>
    <w:rsid w:val="12C00941"/>
    <w:rsid w:val="211A7C7C"/>
    <w:rsid w:val="222574E9"/>
    <w:rsid w:val="2501387A"/>
    <w:rsid w:val="27963442"/>
    <w:rsid w:val="2D1E0400"/>
    <w:rsid w:val="2FF24815"/>
    <w:rsid w:val="322F207A"/>
    <w:rsid w:val="333568AC"/>
    <w:rsid w:val="3B4E5833"/>
    <w:rsid w:val="425054FC"/>
    <w:rsid w:val="454A12A4"/>
    <w:rsid w:val="4D121B1A"/>
    <w:rsid w:val="4EE4742D"/>
    <w:rsid w:val="4F077839"/>
    <w:rsid w:val="4FEA3E91"/>
    <w:rsid w:val="50394C31"/>
    <w:rsid w:val="570E0EF6"/>
    <w:rsid w:val="659A1EEE"/>
    <w:rsid w:val="6B417021"/>
    <w:rsid w:val="6BCF7224"/>
    <w:rsid w:val="792168F2"/>
    <w:rsid w:val="7DDD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宋体" w:eastAsia="宋体" w:cs="Times New Roman"/>
      <w:sz w:val="30"/>
      <w:szCs w:val="30"/>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2021-09-09T01:35:00Z</dcterms:created>
  <dc:creator>都戎</dc:creator>
  <cp:lastModifiedBy>Administrator</cp:lastModifiedBy>
  <cp:lastPrinted>2021-09-11T09:01:00Z</cp:lastPrinted>
  <dcterms:modified xsi:type="dcterms:W3CDTF">2021-09-14T10:07:38Z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458EFCE0C46E425C9668CDB52ED686E5</vt:lpwstr>
  </property>
</Properties>
</file>