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eastAsia" w:ascii="Times New Roman" w:hAnsi="Times New Roman" w:eastAsia="黑体" w:cs="Times New Roman"/>
          <w:color w:val="auto"/>
          <w:highlight w:val="none"/>
          <w:lang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1</w:t>
      </w:r>
    </w:p>
    <w:p>
      <w:pPr>
        <w:pStyle w:val="2"/>
        <w:keepNext w:val="0"/>
        <w:keepLines w:val="0"/>
        <w:pageBreakBefore w:val="0"/>
        <w:widowControl w:val="0"/>
        <w:kinsoku/>
        <w:overflowPunct/>
        <w:topLinePunct w:val="0"/>
        <w:autoSpaceDE/>
        <w:autoSpaceDN/>
        <w:bidi w:val="0"/>
        <w:spacing w:line="480" w:lineRule="exact"/>
        <w:textAlignment w:val="auto"/>
        <w:rPr>
          <w:rFonts w:hint="default" w:ascii="Times New Roman" w:hAnsi="Times New Roman" w:cs="Times New Roman"/>
          <w:color w:val="auto"/>
          <w:highlight w:val="none"/>
        </w:rPr>
      </w:pP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snapToGrid w:val="0"/>
          <w:color w:val="auto"/>
          <w:kern w:val="0"/>
          <w:sz w:val="40"/>
          <w:szCs w:val="40"/>
          <w:highlight w:val="none"/>
        </w:rPr>
        <w:t>关于自主加强安全生产标准化建设告知书</w:t>
      </w:r>
      <w:r>
        <w:rPr>
          <w:rFonts w:hint="default" w:ascii="Times New Roman" w:hAnsi="Times New Roman" w:eastAsia="仿宋" w:cs="Times New Roman"/>
          <w:snapToGrid w:val="0"/>
          <w:color w:val="auto"/>
          <w:kern w:val="0"/>
          <w:sz w:val="32"/>
          <w:szCs w:val="36"/>
          <w:highlight w:val="none"/>
        </w:rPr>
        <w:t>（</w:t>
      </w:r>
      <w:r>
        <w:rPr>
          <w:rFonts w:hint="default" w:ascii="Times New Roman" w:hAnsi="Times New Roman" w:eastAsia="仿宋" w:cs="Times New Roman"/>
          <w:color w:val="auto"/>
          <w:sz w:val="32"/>
          <w:szCs w:val="32"/>
          <w:highlight w:val="none"/>
        </w:rPr>
        <w:t>参考</w:t>
      </w:r>
      <w:r>
        <w:rPr>
          <w:rFonts w:hint="default" w:ascii="Times New Roman" w:hAnsi="Times New Roman" w:eastAsia="仿宋" w:cs="Times New Roman"/>
          <w:snapToGrid w:val="0"/>
          <w:color w:val="auto"/>
          <w:kern w:val="0"/>
          <w:sz w:val="32"/>
          <w:szCs w:val="36"/>
          <w:highlight w:val="none"/>
        </w:rPr>
        <w:t>）</w:t>
      </w: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color w:val="auto"/>
          <w:sz w:val="36"/>
          <w:szCs w:val="36"/>
          <w:highlight w:val="none"/>
        </w:rPr>
      </w:pPr>
    </w:p>
    <w:p>
      <w:pPr>
        <w:pStyle w:val="6"/>
        <w:keepNext w:val="0"/>
        <w:keepLines w:val="0"/>
        <w:pageBreakBefore w:val="0"/>
        <w:widowControl w:val="0"/>
        <w:kinsoku/>
        <w:overflowPunct/>
        <w:topLinePunct w:val="0"/>
        <w:autoSpaceDE/>
        <w:autoSpaceDN/>
        <w:bidi w:val="0"/>
        <w:adjustRightInd w:val="0"/>
        <w:snapToGrid w:val="0"/>
        <w:spacing w:after="0" w:line="480" w:lineRule="exact"/>
        <w:ind w:left="0" w:leftChars="0" w:firstLine="0" w:firstLineChars="0"/>
        <w:jc w:val="left"/>
        <w:textAlignment w:val="auto"/>
        <w:rPr>
          <w:rFonts w:hint="default" w:ascii="Times New Roman" w:hAnsi="Times New Roman" w:eastAsia="仿宋" w:cs="Times New Roman"/>
          <w:color w:val="auto"/>
          <w:highlight w:val="none"/>
        </w:rPr>
      </w:pPr>
      <w:r>
        <w:rPr>
          <w:rFonts w:hint="default" w:ascii="Times New Roman" w:hAnsi="Times New Roman" w:eastAsia="仿宋" w:cs="Times New Roman"/>
          <w:color w:val="auto"/>
          <w:highlight w:val="none"/>
          <w:u w:val="single"/>
        </w:rPr>
        <w:t xml:space="preserve">                      </w:t>
      </w:r>
      <w:r>
        <w:rPr>
          <w:rFonts w:hint="default" w:ascii="Times New Roman" w:hAnsi="Times New Roman" w:eastAsia="仿宋" w:cs="Times New Roman"/>
          <w:color w:val="auto"/>
          <w:highlight w:val="none"/>
        </w:rPr>
        <w:t>：</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2021年9月1号起施行新修改的《安全生产法》第21条，明确将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建立健全并落实本单位全员安全生产责任制，加强安全生产标准化建设</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列为生产经营单位主要负责人第一条安全生产工作职责。根据《南安市安全生产委员会关于印发南安市安全生产标准化提升专项行动方案的通知》（南安委〔2021〕29号）精神，请你单位按照《企业安全生产标准化基本规范》（GB/T 33000-2016）和本单位创建安全生产标准化选定的评定标准，于</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日前完成一次安全生产标准化提升年度自评工作，及时整改不符合项，切实提高本单位安全生产标准化运行质量，提升本质安全水平。</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特此告知!</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overflowPunct/>
        <w:topLinePunct w:val="0"/>
        <w:autoSpaceDE/>
        <w:autoSpaceDN/>
        <w:bidi w:val="0"/>
        <w:adjustRightInd w:val="0"/>
        <w:snapToGrid w:val="0"/>
        <w:spacing w:line="480" w:lineRule="exact"/>
        <w:ind w:firstLine="4800" w:firstLineChars="15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乡镇（街道、</w:t>
      </w:r>
      <w:r>
        <w:rPr>
          <w:rFonts w:hint="eastAsia" w:ascii="Times New Roman" w:hAnsi="Times New Roman" w:eastAsia="仿宋_GB2312" w:cs="Times New Roman"/>
          <w:color w:val="auto"/>
          <w:sz w:val="32"/>
          <w:szCs w:val="32"/>
          <w:highlight w:val="none"/>
          <w:lang w:eastAsia="zh-CN"/>
        </w:rPr>
        <w:t>开发区</w:t>
      </w:r>
      <w:r>
        <w:rPr>
          <w:rFonts w:hint="default" w:ascii="Times New Roman" w:hAnsi="Times New Roman" w:eastAsia="仿宋_GB2312" w:cs="Times New Roman"/>
          <w:color w:val="auto"/>
          <w:sz w:val="32"/>
          <w:szCs w:val="32"/>
          <w:highlight w:val="none"/>
        </w:rPr>
        <w:t>）（盖章）</w:t>
      </w:r>
    </w:p>
    <w:p>
      <w:pPr>
        <w:pStyle w:val="2"/>
        <w:keepNext w:val="0"/>
        <w:keepLines w:val="0"/>
        <w:pageBreakBefore w:val="0"/>
        <w:widowControl w:val="0"/>
        <w:kinsoku/>
        <w:wordWrap w:val="0"/>
        <w:overflowPunct/>
        <w:topLinePunct w:val="0"/>
        <w:autoSpaceDE/>
        <w:autoSpaceDN/>
        <w:bidi w:val="0"/>
        <w:spacing w:line="480" w:lineRule="exact"/>
        <w:jc w:val="righ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年   月   日　　　　</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接收单位（盖章）：</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主要负责人（签字）：</w:t>
      </w:r>
    </w:p>
    <w:p>
      <w:pPr>
        <w:keepNext w:val="0"/>
        <w:keepLines w:val="0"/>
        <w:pageBreakBefore w:val="0"/>
        <w:widowControl w:val="0"/>
        <w:kinsoku/>
        <w:overflowPunct/>
        <w:topLinePunct w:val="0"/>
        <w:autoSpaceDE/>
        <w:autoSpaceDN/>
        <w:bidi w:val="0"/>
        <w:spacing w:line="480" w:lineRule="exact"/>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
          <w:bCs/>
          <w:color w:val="auto"/>
          <w:sz w:val="32"/>
          <w:szCs w:val="32"/>
          <w:highlight w:val="none"/>
        </w:rPr>
        <w:t>注：</w:t>
      </w:r>
      <w:r>
        <w:rPr>
          <w:rFonts w:hint="default" w:ascii="Times New Roman" w:hAnsi="Times New Roman" w:eastAsia="仿宋" w:cs="Times New Roman"/>
          <w:color w:val="auto"/>
          <w:sz w:val="32"/>
          <w:szCs w:val="32"/>
          <w:highlight w:val="none"/>
        </w:rPr>
        <w:t>本告知书一式四份，一份留存企业备查、一份在企业公示栏公示、一份报送属地乡镇（街道、</w:t>
      </w:r>
      <w:r>
        <w:rPr>
          <w:rFonts w:hint="eastAsia" w:ascii="Times New Roman" w:hAnsi="Times New Roman" w:eastAsia="仿宋" w:cs="Times New Roman"/>
          <w:color w:val="auto"/>
          <w:sz w:val="32"/>
          <w:szCs w:val="32"/>
          <w:highlight w:val="none"/>
          <w:lang w:eastAsia="zh-CN"/>
        </w:rPr>
        <w:t>开发区</w:t>
      </w:r>
      <w:r>
        <w:rPr>
          <w:rFonts w:hint="default" w:ascii="Times New Roman" w:hAnsi="Times New Roman" w:eastAsia="仿宋" w:cs="Times New Roman"/>
          <w:color w:val="auto"/>
          <w:sz w:val="32"/>
          <w:szCs w:val="32"/>
          <w:highlight w:val="none"/>
        </w:rPr>
        <w:t>）安办备案、一份报送所在县（市、区）行业领域主管（监管）部门备案。</w:t>
      </w:r>
    </w:p>
    <w:p>
      <w:pPr>
        <w:keepNext w:val="0"/>
        <w:keepLines w:val="0"/>
        <w:pageBreakBefore w:val="0"/>
        <w:widowControl w:val="0"/>
        <w:kinsoku/>
        <w:overflowPunct/>
        <w:topLinePunct w:val="0"/>
        <w:autoSpaceDE/>
        <w:autoSpaceDN/>
        <w:bidi w:val="0"/>
        <w:adjustRightInd w:val="0"/>
        <w:snapToGrid w:val="0"/>
        <w:spacing w:line="480" w:lineRule="exact"/>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仿宋" w:cs="Times New Roman"/>
          <w:color w:val="auto"/>
          <w:sz w:val="28"/>
          <w:szCs w:val="28"/>
          <w:highlight w:val="none"/>
        </w:rPr>
        <w:br w:type="page"/>
      </w: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2</w:t>
      </w:r>
    </w:p>
    <w:p>
      <w:pPr>
        <w:pStyle w:val="2"/>
        <w:keepNext w:val="0"/>
        <w:keepLines w:val="0"/>
        <w:pageBreakBefore w:val="0"/>
        <w:widowControl w:val="0"/>
        <w:kinsoku/>
        <w:overflowPunct/>
        <w:topLinePunct w:val="0"/>
        <w:autoSpaceDE/>
        <w:autoSpaceDN/>
        <w:bidi w:val="0"/>
        <w:spacing w:line="480" w:lineRule="exact"/>
        <w:textAlignment w:val="auto"/>
        <w:rPr>
          <w:rFonts w:hint="default" w:ascii="Times New Roman" w:hAnsi="Times New Roman" w:cs="Times New Roman"/>
          <w:color w:val="auto"/>
          <w:highlight w:val="none"/>
        </w:rPr>
      </w:pP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方正小标宋简体" w:cs="Times New Roman"/>
          <w:snapToGrid w:val="0"/>
          <w:color w:val="auto"/>
          <w:kern w:val="0"/>
          <w:sz w:val="40"/>
          <w:szCs w:val="40"/>
          <w:highlight w:val="none"/>
        </w:rPr>
        <w:t>关于自主加强安全生产标准化承诺书</w:t>
      </w:r>
      <w:r>
        <w:rPr>
          <w:rFonts w:hint="default" w:ascii="Times New Roman" w:hAnsi="Times New Roman" w:eastAsia="仿宋" w:cs="Times New Roman"/>
          <w:snapToGrid w:val="0"/>
          <w:color w:val="auto"/>
          <w:kern w:val="0"/>
          <w:sz w:val="32"/>
          <w:szCs w:val="32"/>
          <w:highlight w:val="none"/>
        </w:rPr>
        <w:t>（参考）</w:t>
      </w:r>
    </w:p>
    <w:p>
      <w:pPr>
        <w:keepNext w:val="0"/>
        <w:keepLines w:val="0"/>
        <w:pageBreakBefore w:val="0"/>
        <w:widowControl w:val="0"/>
        <w:kinsoku/>
        <w:overflowPunct/>
        <w:topLinePunct w:val="0"/>
        <w:autoSpaceDE/>
        <w:autoSpaceDN/>
        <w:bidi w:val="0"/>
        <w:spacing w:line="480" w:lineRule="exact"/>
        <w:jc w:val="left"/>
        <w:textAlignment w:val="auto"/>
        <w:rPr>
          <w:rFonts w:hint="default" w:ascii="Times New Roman" w:hAnsi="Times New Roman" w:eastAsia="仿宋" w:cs="Times New Roman"/>
          <w:color w:val="auto"/>
          <w:kern w:val="0"/>
          <w:sz w:val="32"/>
          <w:szCs w:val="32"/>
          <w:highlight w:val="none"/>
        </w:rPr>
      </w:pPr>
    </w:p>
    <w:p>
      <w:pPr>
        <w:keepNext w:val="0"/>
        <w:keepLines w:val="0"/>
        <w:pageBreakBefore w:val="0"/>
        <w:widowControl w:val="0"/>
        <w:kinsoku/>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本单位及本人郑重承诺，按照《企业安全生产标准化基本规范》（GB/T 33000-2016）和有关行业（专业）标准化评定标准的要求自主创建、自主运行，从目标职责、制度化管理、教育培训、现场管理、安全风险管控及隐患排查治理、应急管理、事故管理和持续改进等八个方面，建立与本单位日常安全管理相适应、以安全生产标准化为重点的本单位自主安全生产管理体系，实现安全生产现场管理、操作行为、设备设施和作业环境规范化，并于</w:t>
      </w:r>
      <w:r>
        <w:rPr>
          <w:rFonts w:hint="default" w:ascii="Times New Roman" w:hAnsi="Times New Roman" w:eastAsia="仿宋_GB2312" w:cs="Times New Roman"/>
          <w:color w:val="auto"/>
          <w:kern w:val="0"/>
          <w:sz w:val="32"/>
          <w:szCs w:val="32"/>
          <w:highlight w:val="none"/>
          <w:u w:val="single"/>
        </w:rPr>
        <w:t xml:space="preserve">    </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u w:val="single"/>
        </w:rPr>
        <w:t xml:space="preserve">  </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u w:val="single"/>
        </w:rPr>
        <w:t xml:space="preserve">  </w:t>
      </w:r>
      <w:r>
        <w:rPr>
          <w:rFonts w:hint="default" w:ascii="Times New Roman" w:hAnsi="Times New Roman" w:eastAsia="仿宋_GB2312" w:cs="Times New Roman"/>
          <w:color w:val="auto"/>
          <w:kern w:val="0"/>
          <w:sz w:val="32"/>
          <w:szCs w:val="32"/>
          <w:highlight w:val="none"/>
        </w:rPr>
        <w:t>日之前完成一次安全生产标准化年度自评工作，及时整改不符合项</w:t>
      </w:r>
      <w:r>
        <w:rPr>
          <w:rFonts w:hint="default" w:ascii="Times New Roman" w:hAnsi="Times New Roman" w:eastAsia="仿宋_GB2312" w:cs="Times New Roman"/>
          <w:color w:val="auto"/>
          <w:sz w:val="32"/>
          <w:szCs w:val="32"/>
          <w:highlight w:val="none"/>
        </w:rPr>
        <w:t>，切实提高本单位安全生产标准化运行质量，提升本质安全水平</w:t>
      </w:r>
      <w:r>
        <w:rPr>
          <w:rFonts w:hint="default" w:ascii="Times New Roman" w:hAnsi="Times New Roman" w:eastAsia="仿宋_GB2312" w:cs="Times New Roman"/>
          <w:color w:val="auto"/>
          <w:kern w:val="0"/>
          <w:sz w:val="32"/>
          <w:szCs w:val="32"/>
          <w:highlight w:val="none"/>
        </w:rPr>
        <w:t>。如未正确履行安全生产主体责任，加强安全生产标准化建设，愿意承担一切行政的、民事的和刑事的责任。欢迎社会公众对我单位安全生产标准化建设及其运行状况进行监督，如发现隐患可向政府及有关部门举报。</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承诺单位（盖章）：          法定代表人（签名）：</w:t>
      </w:r>
    </w:p>
    <w:p>
      <w:pPr>
        <w:keepNext w:val="0"/>
        <w:keepLines w:val="0"/>
        <w:pageBreakBefore w:val="0"/>
        <w:widowControl w:val="0"/>
        <w:kinsoku/>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color w:val="auto"/>
          <w:kern w:val="0"/>
          <w:sz w:val="32"/>
          <w:szCs w:val="32"/>
          <w:highlight w:val="none"/>
        </w:rPr>
      </w:pPr>
    </w:p>
    <w:p>
      <w:pPr>
        <w:pStyle w:val="2"/>
        <w:keepNext w:val="0"/>
        <w:keepLines w:val="0"/>
        <w:pageBreakBefore w:val="0"/>
        <w:widowControl w:val="0"/>
        <w:kinsoku/>
        <w:wordWrap w:val="0"/>
        <w:overflowPunct/>
        <w:topLinePunct w:val="0"/>
        <w:autoSpaceDE/>
        <w:autoSpaceDN/>
        <w:bidi w:val="0"/>
        <w:spacing w:line="480" w:lineRule="exact"/>
        <w:jc w:val="righ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年   月   日</w:t>
      </w:r>
      <w:r>
        <w:rPr>
          <w:rFonts w:hint="default" w:ascii="Times New Roman" w:hAnsi="Times New Roman" w:eastAsia="仿宋_GB2312" w:cs="Times New Roman"/>
          <w:color w:val="auto"/>
          <w:sz w:val="32"/>
          <w:szCs w:val="32"/>
          <w:highlight w:val="none"/>
        </w:rPr>
        <w:t>　　　　</w:t>
      </w:r>
    </w:p>
    <w:p>
      <w:pPr>
        <w:keepNext w:val="0"/>
        <w:keepLines w:val="0"/>
        <w:pageBreakBefore w:val="0"/>
        <w:widowControl w:val="0"/>
        <w:kinsoku/>
        <w:overflowPunct/>
        <w:topLinePunct w:val="0"/>
        <w:autoSpaceDE/>
        <w:autoSpaceDN/>
        <w:bidi w:val="0"/>
        <w:spacing w:line="480" w:lineRule="exact"/>
        <w:jc w:val="left"/>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jc w:val="left"/>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b/>
          <w:bCs/>
          <w:color w:val="auto"/>
          <w:kern w:val="0"/>
          <w:sz w:val="32"/>
          <w:szCs w:val="32"/>
          <w:highlight w:val="none"/>
        </w:rPr>
        <w:t>注：</w:t>
      </w:r>
      <w:r>
        <w:rPr>
          <w:rFonts w:hint="default" w:ascii="Times New Roman" w:hAnsi="Times New Roman" w:eastAsia="仿宋_GB2312" w:cs="Times New Roman"/>
          <w:color w:val="auto"/>
          <w:kern w:val="0"/>
          <w:sz w:val="32"/>
          <w:szCs w:val="32"/>
          <w:highlight w:val="none"/>
        </w:rPr>
        <w:t>本承诺书一式四份，一份留存企业备查、一份在企业公示栏公示、一份报送属地乡镇</w:t>
      </w:r>
      <w:r>
        <w:rPr>
          <w:rFonts w:hint="default" w:ascii="Times New Roman" w:hAnsi="Times New Roman" w:eastAsia="仿宋_GB2312" w:cs="Times New Roman"/>
          <w:color w:val="auto"/>
          <w:sz w:val="32"/>
          <w:szCs w:val="32"/>
          <w:highlight w:val="none"/>
        </w:rPr>
        <w:t>（街道、</w:t>
      </w:r>
      <w:r>
        <w:rPr>
          <w:rFonts w:hint="eastAsia" w:ascii="Times New Roman" w:hAnsi="Times New Roman" w:eastAsia="仿宋_GB2312" w:cs="Times New Roman"/>
          <w:color w:val="auto"/>
          <w:sz w:val="32"/>
          <w:szCs w:val="32"/>
          <w:highlight w:val="none"/>
          <w:lang w:eastAsia="zh-CN"/>
        </w:rPr>
        <w:t>开发区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安办备案、一份报送</w:t>
      </w:r>
      <w:r>
        <w:rPr>
          <w:rFonts w:hint="default" w:ascii="Times New Roman" w:hAnsi="Times New Roman" w:eastAsia="仿宋_GB2312" w:cs="Times New Roman"/>
          <w:color w:val="auto"/>
          <w:sz w:val="32"/>
          <w:szCs w:val="32"/>
          <w:highlight w:val="none"/>
        </w:rPr>
        <w:t>所在县（市、区）行业领域主管（监管）部门</w:t>
      </w:r>
      <w:r>
        <w:rPr>
          <w:rFonts w:hint="default" w:ascii="Times New Roman" w:hAnsi="Times New Roman" w:eastAsia="仿宋_GB2312" w:cs="Times New Roman"/>
          <w:color w:val="auto"/>
          <w:sz w:val="32"/>
          <w:highlight w:val="none"/>
        </w:rPr>
        <w:t>备案。</w:t>
      </w:r>
    </w:p>
    <w:p>
      <w:pPr>
        <w:pStyle w:val="10"/>
        <w:keepNext w:val="0"/>
        <w:keepLines w:val="0"/>
        <w:pageBreakBefore w:val="0"/>
        <w:kinsoku/>
        <w:overflowPunct/>
        <w:topLinePunct w:val="0"/>
        <w:bidi w:val="0"/>
        <w:snapToGrid w:val="0"/>
        <w:spacing w:line="580" w:lineRule="exact"/>
        <w:jc w:val="both"/>
        <w:rPr>
          <w:rFonts w:hint="default" w:ascii="Times New Roman" w:hAnsi="Times New Roman" w:eastAsia="仿宋_GB2312" w:cs="Times New Roman"/>
          <w:color w:val="auto"/>
          <w:kern w:val="2"/>
          <w:sz w:val="32"/>
          <w:szCs w:val="32"/>
          <w:highlight w:val="none"/>
        </w:rPr>
        <w:sectPr>
          <w:footerReference r:id="rId3" w:type="default"/>
          <w:pgSz w:w="11906" w:h="16838"/>
          <w:pgMar w:top="2098" w:right="1474" w:bottom="1928" w:left="1587" w:header="851" w:footer="992" w:gutter="0"/>
          <w:pgNumType w:fmt="numberInDash"/>
          <w:cols w:space="720" w:num="1"/>
          <w:docGrid w:linePitch="312" w:charSpace="0"/>
        </w:sectPr>
      </w:pPr>
    </w:p>
    <w:p>
      <w:pPr>
        <w:keepNext w:val="0"/>
        <w:keepLines w:val="0"/>
        <w:pageBreakBefore w:val="0"/>
        <w:kinsoku/>
        <w:overflowPunct/>
        <w:topLinePunct w:val="0"/>
        <w:bidi w:val="0"/>
        <w:adjustRightInd w:val="0"/>
        <w:snapToGrid w:val="0"/>
        <w:spacing w:line="580"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3</w:t>
      </w:r>
    </w:p>
    <w:p>
      <w:pPr>
        <w:pStyle w:val="10"/>
        <w:keepNext w:val="0"/>
        <w:keepLines w:val="0"/>
        <w:pageBreakBefore w:val="0"/>
        <w:kinsoku/>
        <w:overflowPunct/>
        <w:topLinePunct w:val="0"/>
        <w:bidi w:val="0"/>
        <w:snapToGrid w:val="0"/>
        <w:spacing w:line="580" w:lineRule="exact"/>
        <w:jc w:val="center"/>
        <w:rPr>
          <w:rFonts w:hint="default" w:ascii="Times New Roman" w:hAnsi="Times New Roman" w:eastAsia="方正小标宋简体" w:cs="Times New Roman"/>
          <w:bCs/>
          <w:color w:val="auto"/>
          <w:kern w:val="2"/>
          <w:sz w:val="36"/>
          <w:szCs w:val="36"/>
          <w:highlight w:val="none"/>
        </w:rPr>
      </w:pPr>
      <w:r>
        <w:rPr>
          <w:rFonts w:hint="eastAsia" w:eastAsia="方正小标宋简体" w:cs="Times New Roman"/>
          <w:bCs/>
          <w:color w:val="auto"/>
          <w:sz w:val="36"/>
          <w:szCs w:val="36"/>
          <w:highlight w:val="none"/>
          <w:lang w:eastAsia="zh-CN"/>
        </w:rPr>
        <w:t>翔云镇</w:t>
      </w:r>
      <w:r>
        <w:rPr>
          <w:rFonts w:hint="default" w:ascii="Times New Roman" w:hAnsi="Times New Roman" w:eastAsia="方正小标宋简体" w:cs="Times New Roman"/>
          <w:bCs/>
          <w:color w:val="auto"/>
          <w:kern w:val="2"/>
          <w:sz w:val="36"/>
          <w:szCs w:val="36"/>
          <w:highlight w:val="none"/>
        </w:rPr>
        <w:t>安全生产标准化提升专项行动固本强基进展情况月报表（一）</w:t>
      </w:r>
    </w:p>
    <w:p>
      <w:pPr>
        <w:pStyle w:val="10"/>
        <w:keepNext w:val="0"/>
        <w:keepLines w:val="0"/>
        <w:pageBreakBefore w:val="0"/>
        <w:kinsoku/>
        <w:wordWrap/>
        <w:overflowPunct/>
        <w:topLinePunct w:val="0"/>
        <w:bidi w:val="0"/>
        <w:snapToGrid w:val="0"/>
        <w:spacing w:line="300" w:lineRule="exact"/>
        <w:ind w:left="0" w:leftChars="-233" w:right="-466" w:rightChars="-222" w:hanging="489" w:hangingChars="204"/>
        <w:jc w:val="center"/>
        <w:textAlignment w:val="auto"/>
        <w:rPr>
          <w:rFonts w:hint="default" w:ascii="Times New Roman" w:hAnsi="Times New Roman" w:eastAsia="仿宋" w:cs="Times New Roman"/>
          <w:b/>
          <w:bCs/>
          <w:color w:val="auto"/>
          <w:kern w:val="2"/>
          <w:szCs w:val="24"/>
          <w:highlight w:val="none"/>
          <w:u w:val="single"/>
        </w:rPr>
      </w:pPr>
      <w:r>
        <w:rPr>
          <w:rFonts w:hint="default" w:ascii="Times New Roman" w:hAnsi="Times New Roman" w:eastAsia="仿宋" w:cs="Times New Roman"/>
          <w:color w:val="auto"/>
          <w:kern w:val="2"/>
          <w:highlight w:val="none"/>
        </w:rPr>
        <w:t>填报单位（盖章）：</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 xml:space="preserve">  填表人：</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 xml:space="preserve">  联系电话：</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 xml:space="preserve">   </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年</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月</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日</w:t>
      </w:r>
    </w:p>
    <w:tbl>
      <w:tblPr>
        <w:tblStyle w:val="7"/>
        <w:tblW w:w="14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0" w:leftChars="-5" w:right="-29" w:rightChars="-14"/>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填报</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单位</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类型</w:t>
            </w:r>
          </w:p>
        </w:tc>
        <w:tc>
          <w:tcPr>
            <w:tcW w:w="27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 xml:space="preserve"> 企业数量（家）</w:t>
            </w:r>
          </w:p>
        </w:tc>
        <w:tc>
          <w:tcPr>
            <w:tcW w:w="34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创建提升数量（家）</w:t>
            </w:r>
          </w:p>
        </w:tc>
        <w:tc>
          <w:tcPr>
            <w:tcW w:w="27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标杆数量（家）</w:t>
            </w:r>
          </w:p>
        </w:tc>
        <w:tc>
          <w:tcPr>
            <w:tcW w:w="20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 xml:space="preserve"> 评审达标数量（家）</w:t>
            </w:r>
          </w:p>
        </w:tc>
        <w:tc>
          <w:tcPr>
            <w:tcW w:w="34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示范岗位</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4" w:hRule="atLeast"/>
          <w:jc w:val="center"/>
        </w:trPr>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b/>
                <w:color w:val="auto"/>
                <w:sz w:val="24"/>
                <w:highlight w:val="none"/>
              </w:rPr>
            </w:pPr>
          </w:p>
        </w:tc>
        <w:tc>
          <w:tcPr>
            <w:tcW w:w="6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总</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数</w:t>
            </w:r>
          </w:p>
        </w:tc>
        <w:tc>
          <w:tcPr>
            <w:tcW w:w="6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规</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上</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中</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等</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小</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微</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达</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标</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类</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型</w:t>
            </w:r>
          </w:p>
        </w:tc>
        <w:tc>
          <w:tcPr>
            <w:tcW w:w="6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一</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级</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二</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级</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三</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级</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自</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评</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标</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杆</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层</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规</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上</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中</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等</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小</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微</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ind w:left="1" w:leftChars="-64" w:right="-94" w:rightChars="-45" w:hanging="135" w:hangingChars="56"/>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规</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上</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等</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小</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微</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企</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业</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示范层级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right="-94" w:rightChars="-45"/>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党员模范岗︵个︶</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right="-94" w:rightChars="-45"/>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青年突击手︵个︶</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right="-94" w:rightChars="-45"/>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工人先锋岗︵个︶</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right="-94" w:rightChars="-45"/>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巾帼示范岗︵个︶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64" w:leftChars="-40" w:right="-80" w:rightChars="-38" w:hanging="20" w:hangingChars="11"/>
              <w:jc w:val="center"/>
              <w:textAlignment w:val="auto"/>
              <w:rPr>
                <w:rFonts w:hint="default" w:ascii="Times New Roman" w:hAnsi="Times New Roman" w:eastAsia="仿宋" w:cs="Times New Roman"/>
                <w:b/>
                <w:bCs/>
                <w:color w:val="auto"/>
                <w:sz w:val="18"/>
                <w:szCs w:val="18"/>
                <w:highlight w:val="none"/>
              </w:rPr>
            </w:pPr>
            <w:r>
              <w:rPr>
                <w:rFonts w:hint="eastAsia" w:ascii="Times New Roman" w:hAnsi="Times New Roman" w:eastAsia="仿宋" w:cs="Times New Roman"/>
                <w:b/>
                <w:bCs/>
                <w:color w:val="auto"/>
                <w:sz w:val="18"/>
                <w:szCs w:val="18"/>
                <w:highlight w:val="none"/>
                <w:lang w:eastAsia="zh-CN"/>
              </w:rPr>
              <w:t>各行业领域主管部门</w:t>
            </w: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33" w:leftChars="-64" w:right="-94" w:rightChars="-45" w:hanging="101" w:hangingChars="56"/>
              <w:jc w:val="center"/>
              <w:textAlignment w:val="auto"/>
              <w:rPr>
                <w:rFonts w:hint="default" w:ascii="Times New Roman" w:hAnsi="Times New Roman" w:eastAsia="仿宋" w:cs="Times New Roman"/>
                <w:b/>
                <w:color w:val="auto"/>
                <w:sz w:val="18"/>
                <w:szCs w:val="18"/>
                <w:highlight w:val="none"/>
              </w:rPr>
            </w:pP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33" w:leftChars="-64" w:right="-94" w:rightChars="-45" w:hanging="101" w:hangingChars="56"/>
              <w:jc w:val="center"/>
              <w:textAlignment w:val="auto"/>
              <w:rPr>
                <w:rFonts w:hint="default" w:ascii="Times New Roman" w:hAnsi="Times New Roman" w:eastAsia="仿宋" w:cs="Times New Roman"/>
                <w:b/>
                <w:color w:val="auto"/>
                <w:sz w:val="18"/>
                <w:szCs w:val="18"/>
                <w:highlight w:val="none"/>
              </w:rPr>
            </w:pP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33" w:leftChars="-64" w:right="-94" w:rightChars="-45" w:hanging="101" w:hangingChars="56"/>
              <w:jc w:val="center"/>
              <w:textAlignment w:val="auto"/>
              <w:rPr>
                <w:rFonts w:hint="default" w:ascii="Times New Roman" w:hAnsi="Times New Roman" w:eastAsia="仿宋" w:cs="Times New Roman"/>
                <w:b/>
                <w:color w:val="auto"/>
                <w:sz w:val="18"/>
                <w:szCs w:val="18"/>
                <w:highlight w:val="none"/>
              </w:rPr>
            </w:pP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33" w:leftChars="-64" w:right="-94" w:rightChars="-45" w:hanging="101" w:hangingChars="56"/>
              <w:jc w:val="center"/>
              <w:textAlignment w:val="auto"/>
              <w:rPr>
                <w:rFonts w:hint="default" w:ascii="Times New Roman" w:hAnsi="Times New Roman" w:eastAsia="仿宋" w:cs="Times New Roman"/>
                <w:b/>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34" w:leftChars="-57" w:right="-94" w:rightChars="-45" w:hanging="254" w:hangingChars="106"/>
              <w:jc w:val="center"/>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国标</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34" w:leftChars="-57" w:right="-94" w:rightChars="-45" w:hanging="254" w:hangingChars="106"/>
              <w:jc w:val="center"/>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市级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r>
              <w:rPr>
                <w:rFonts w:hint="default" w:ascii="Times New Roman" w:hAnsi="Times New Roman" w:eastAsia="仿宋" w:cs="Times New Roman"/>
                <w:color w:val="auto"/>
                <w:sz w:val="24"/>
                <w:highlight w:val="none"/>
              </w:rPr>
              <w:t>市级</w:t>
            </w:r>
          </w:p>
        </w:tc>
        <w:tc>
          <w:tcPr>
            <w:tcW w:w="680"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34" w:leftChars="-57" w:right="-94" w:rightChars="-45" w:hanging="254" w:hangingChars="106"/>
              <w:jc w:val="center"/>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省标</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34" w:leftChars="-57" w:right="-94" w:rightChars="-45" w:hanging="254" w:hangingChars="106"/>
              <w:jc w:val="center"/>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县级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r>
              <w:rPr>
                <w:rFonts w:hint="default" w:ascii="Times New Roman" w:hAnsi="Times New Roman" w:eastAsia="仿宋" w:cs="Times New Roman"/>
                <w:color w:val="auto"/>
                <w:sz w:val="24"/>
                <w:highlight w:val="none"/>
              </w:rPr>
              <w:t>县级</w:t>
            </w:r>
          </w:p>
        </w:tc>
        <w:tc>
          <w:tcPr>
            <w:tcW w:w="68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34" w:leftChars="-57" w:right="-94" w:rightChars="-45" w:hanging="254" w:hangingChars="106"/>
              <w:jc w:val="center"/>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地标</w:t>
            </w:r>
          </w:p>
        </w:tc>
        <w:tc>
          <w:tcPr>
            <w:tcW w:w="20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r>
              <w:rPr>
                <w:rFonts w:hint="default" w:ascii="Times New Roman" w:hAnsi="Times New Roman" w:eastAsia="仿宋" w:cs="Times New Roman"/>
                <w:color w:val="auto"/>
                <w:sz w:val="18"/>
                <w:szCs w:val="18"/>
                <w:highlight w:val="none"/>
              </w:rPr>
              <w:t>（达标不分级）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34" w:leftChars="-57" w:right="-94" w:rightChars="-45" w:hanging="254" w:hangingChars="106"/>
              <w:jc w:val="center"/>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乡级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r>
              <w:rPr>
                <w:rFonts w:hint="default" w:ascii="Times New Roman" w:hAnsi="Times New Roman" w:eastAsia="仿宋" w:cs="Times New Roman"/>
                <w:color w:val="auto"/>
                <w:sz w:val="24"/>
                <w:highlight w:val="none"/>
              </w:rPr>
              <w:t>乡级</w:t>
            </w:r>
          </w:p>
        </w:tc>
        <w:tc>
          <w:tcPr>
            <w:tcW w:w="68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c>
          <w:tcPr>
            <w:tcW w:w="68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18"/>
                <w:szCs w:val="18"/>
                <w:highlight w:val="none"/>
              </w:rPr>
            </w:pPr>
          </w:p>
        </w:tc>
      </w:tr>
    </w:tbl>
    <w:p>
      <w:pPr>
        <w:keepNext w:val="0"/>
        <w:keepLines w:val="0"/>
        <w:pageBreakBefore w:val="0"/>
        <w:kinsoku/>
        <w:wordWrap/>
        <w:overflowPunct/>
        <w:topLinePunct w:val="0"/>
        <w:autoSpaceDE w:val="0"/>
        <w:bidi w:val="0"/>
        <w:adjustRightInd w:val="0"/>
        <w:snapToGrid w:val="0"/>
        <w:spacing w:line="300" w:lineRule="exact"/>
        <w:ind w:left="178" w:leftChars="85" w:right="168" w:rightChars="80" w:firstLine="482" w:firstLineChars="200"/>
        <w:textAlignment w:val="auto"/>
        <w:rPr>
          <w:rFonts w:hint="default" w:ascii="Times New Roman" w:hAnsi="Times New Roman" w:eastAsia="仿宋" w:cs="Times New Roman"/>
          <w:color w:val="auto"/>
          <w:sz w:val="24"/>
          <w:highlight w:val="none"/>
        </w:rPr>
      </w:pPr>
      <w:r>
        <w:rPr>
          <w:rFonts w:hint="default" w:ascii="Times New Roman" w:hAnsi="Times New Roman" w:eastAsia="仿宋" w:cs="Times New Roman"/>
          <w:b/>
          <w:color w:val="auto"/>
          <w:sz w:val="24"/>
          <w:highlight w:val="none"/>
        </w:rPr>
        <w:t>注：</w:t>
      </w:r>
      <w:r>
        <w:rPr>
          <w:rFonts w:hint="default" w:ascii="Times New Roman" w:hAnsi="Times New Roman" w:eastAsia="仿宋" w:cs="Times New Roman"/>
          <w:color w:val="auto"/>
          <w:sz w:val="24"/>
          <w:highlight w:val="none"/>
        </w:rPr>
        <w:t>1.各填报单位按照各自所属的单位类型进行填报；</w:t>
      </w:r>
      <w:r>
        <w:rPr>
          <w:rFonts w:hint="eastAsia" w:ascii="Times New Roman" w:hAnsi="Times New Roman" w:eastAsia="仿宋" w:cs="Times New Roman"/>
          <w:color w:val="auto"/>
          <w:sz w:val="24"/>
          <w:highlight w:val="none"/>
          <w:lang w:val="en-US" w:eastAsia="zh-CN"/>
        </w:rPr>
        <w:t>2</w:t>
      </w:r>
      <w:r>
        <w:rPr>
          <w:rFonts w:hint="default" w:ascii="Times New Roman" w:hAnsi="Times New Roman" w:eastAsia="仿宋" w:cs="Times New Roman"/>
          <w:color w:val="auto"/>
          <w:sz w:val="24"/>
          <w:highlight w:val="none"/>
        </w:rPr>
        <w:t>.自评企业指未经定级（达标）评审，只完成内部自评的企业；</w:t>
      </w:r>
      <w:r>
        <w:rPr>
          <w:rFonts w:hint="eastAsia" w:ascii="Times New Roman" w:hAnsi="Times New Roman" w:eastAsia="仿宋" w:cs="Times New Roman"/>
          <w:color w:val="auto"/>
          <w:sz w:val="24"/>
          <w:highlight w:val="none"/>
          <w:lang w:val="en-US" w:eastAsia="zh-CN"/>
        </w:rPr>
        <w:t>3</w:t>
      </w:r>
      <w:r>
        <w:rPr>
          <w:rFonts w:hint="default" w:ascii="Times New Roman" w:hAnsi="Times New Roman" w:eastAsia="仿宋" w:cs="Times New Roman"/>
          <w:color w:val="auto"/>
          <w:sz w:val="24"/>
          <w:highlight w:val="none"/>
        </w:rPr>
        <w:t>.地标指的是泉州市本级地方标准，统一按不分级达标统计；</w:t>
      </w:r>
      <w:r>
        <w:rPr>
          <w:rFonts w:hint="eastAsia" w:ascii="Times New Roman" w:hAnsi="Times New Roman" w:eastAsia="仿宋" w:cs="Times New Roman"/>
          <w:color w:val="auto"/>
          <w:sz w:val="24"/>
          <w:highlight w:val="none"/>
          <w:lang w:val="en-US" w:eastAsia="zh-CN"/>
        </w:rPr>
        <w:t>4</w:t>
      </w:r>
      <w:r>
        <w:rPr>
          <w:rFonts w:hint="default" w:ascii="Times New Roman" w:hAnsi="Times New Roman" w:eastAsia="仿宋" w:cs="Times New Roman"/>
          <w:color w:val="auto"/>
          <w:sz w:val="24"/>
          <w:highlight w:val="none"/>
        </w:rPr>
        <w:t>.事业单位生产经营规模参照我市</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三类企业</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进行划分，具体由行业主管（监管）部门确定；</w:t>
      </w:r>
      <w:r>
        <w:rPr>
          <w:rFonts w:hint="eastAsia" w:ascii="Times New Roman" w:hAnsi="Times New Roman" w:eastAsia="仿宋" w:cs="Times New Roman"/>
          <w:color w:val="auto"/>
          <w:sz w:val="24"/>
          <w:highlight w:val="none"/>
          <w:lang w:val="en-US" w:eastAsia="zh-CN"/>
        </w:rPr>
        <w:t>5</w:t>
      </w:r>
      <w:r>
        <w:rPr>
          <w:rFonts w:hint="default" w:ascii="Times New Roman" w:hAnsi="Times New Roman" w:eastAsia="仿宋" w:cs="Times New Roman"/>
          <w:color w:val="auto"/>
          <w:sz w:val="24"/>
          <w:highlight w:val="none"/>
        </w:rPr>
        <w:t>.企业数量以2023年企业底数为基数据实补缺补漏填报，创建提升数量、标杆数量填写2021年8月以来累计数，其余的填写2024年1月以来累计数；</w:t>
      </w:r>
      <w:r>
        <w:rPr>
          <w:rFonts w:hint="eastAsia" w:ascii="Times New Roman" w:hAnsi="Times New Roman" w:eastAsia="仿宋" w:cs="Times New Roman"/>
          <w:color w:val="auto"/>
          <w:sz w:val="24"/>
          <w:highlight w:val="none"/>
          <w:lang w:val="en-US" w:eastAsia="zh-CN"/>
        </w:rPr>
        <w:t>6</w:t>
      </w:r>
      <w:r>
        <w:rPr>
          <w:rFonts w:hint="default" w:ascii="Times New Roman" w:hAnsi="Times New Roman" w:eastAsia="仿宋" w:cs="Times New Roman"/>
          <w:color w:val="auto"/>
          <w:sz w:val="24"/>
          <w:highlight w:val="none"/>
        </w:rPr>
        <w:t>.表格不应有空白处，若无则应填写0；</w:t>
      </w:r>
      <w:r>
        <w:rPr>
          <w:rFonts w:hint="eastAsia" w:ascii="Times New Roman" w:hAnsi="Times New Roman" w:eastAsia="仿宋" w:cs="Times New Roman"/>
          <w:color w:val="auto"/>
          <w:sz w:val="24"/>
          <w:highlight w:val="none"/>
          <w:lang w:val="en-US" w:eastAsia="zh-CN"/>
        </w:rPr>
        <w:t>7</w:t>
      </w:r>
      <w:r>
        <w:rPr>
          <w:rFonts w:hint="default"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lang w:eastAsia="zh-CN"/>
        </w:rPr>
        <w:t>每月最后一个工作日</w:t>
      </w:r>
      <w:r>
        <w:rPr>
          <w:rFonts w:hint="default" w:ascii="Times New Roman" w:hAnsi="Times New Roman" w:eastAsia="仿宋" w:cs="Times New Roman"/>
          <w:color w:val="auto"/>
          <w:sz w:val="24"/>
          <w:highlight w:val="none"/>
        </w:rPr>
        <w:t>前上报</w:t>
      </w:r>
      <w:r>
        <w:rPr>
          <w:rFonts w:hint="eastAsia" w:ascii="Times New Roman" w:hAnsi="Times New Roman" w:eastAsia="仿宋" w:cs="Times New Roman"/>
          <w:color w:val="auto"/>
          <w:sz w:val="24"/>
          <w:highlight w:val="none"/>
          <w:lang w:eastAsia="zh-CN"/>
        </w:rPr>
        <w:t>本</w:t>
      </w:r>
      <w:r>
        <w:rPr>
          <w:rFonts w:hint="default" w:ascii="Times New Roman" w:hAnsi="Times New Roman" w:eastAsia="仿宋" w:cs="Times New Roman"/>
          <w:color w:val="auto"/>
          <w:sz w:val="24"/>
          <w:highlight w:val="none"/>
        </w:rPr>
        <w:t>月固本强基进展情况。</w:t>
      </w:r>
    </w:p>
    <w:p>
      <w:pPr>
        <w:pStyle w:val="2"/>
        <w:keepNext w:val="0"/>
        <w:keepLines w:val="0"/>
        <w:pageBreakBefore w:val="0"/>
        <w:kinsoku/>
        <w:overflowPunct/>
        <w:topLinePunct w:val="0"/>
        <w:bidi w:val="0"/>
        <w:spacing w:line="580" w:lineRule="exact"/>
        <w:rPr>
          <w:rFonts w:hint="default" w:ascii="Times New Roman" w:hAnsi="Times New Roman" w:cs="Times New Roman"/>
          <w:color w:val="auto"/>
          <w:highlight w:val="none"/>
        </w:rPr>
        <w:sectPr>
          <w:footerReference r:id="rId4" w:type="default"/>
          <w:footerReference r:id="rId5" w:type="even"/>
          <w:pgSz w:w="16838" w:h="11905" w:orient="landscape"/>
          <w:pgMar w:top="1134" w:right="1134" w:bottom="851" w:left="1134" w:header="851" w:footer="851" w:gutter="0"/>
          <w:pgNumType w:fmt="numberInDash"/>
          <w:cols w:space="720" w:num="1"/>
          <w:docGrid w:linePitch="286" w:charSpace="0"/>
        </w:sectPr>
      </w:pPr>
    </w:p>
    <w:p>
      <w:pPr>
        <w:keepNext w:val="0"/>
        <w:keepLines w:val="0"/>
        <w:pageBreakBefore w:val="0"/>
        <w:kinsoku/>
        <w:overflowPunct/>
        <w:topLinePunct w:val="0"/>
        <w:bidi w:val="0"/>
        <w:adjustRightInd w:val="0"/>
        <w:snapToGrid w:val="0"/>
        <w:spacing w:line="580"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4</w:t>
      </w:r>
    </w:p>
    <w:p>
      <w:pPr>
        <w:pStyle w:val="10"/>
        <w:keepNext w:val="0"/>
        <w:keepLines w:val="0"/>
        <w:pageBreakBefore w:val="0"/>
        <w:kinsoku/>
        <w:overflowPunct/>
        <w:topLinePunct w:val="0"/>
        <w:bidi w:val="0"/>
        <w:snapToGrid w:val="0"/>
        <w:spacing w:line="580" w:lineRule="exact"/>
        <w:jc w:val="center"/>
        <w:rPr>
          <w:rFonts w:hint="default" w:ascii="Times New Roman" w:hAnsi="Times New Roman" w:cs="Times New Roman"/>
          <w:b/>
          <w:bCs/>
          <w:color w:val="auto"/>
          <w:sz w:val="44"/>
          <w:szCs w:val="44"/>
          <w:highlight w:val="none"/>
        </w:rPr>
      </w:pPr>
      <w:r>
        <w:rPr>
          <w:rFonts w:hint="eastAsia" w:cs="Times New Roman"/>
          <w:b/>
          <w:color w:val="auto"/>
          <w:sz w:val="36"/>
          <w:szCs w:val="36"/>
          <w:highlight w:val="none"/>
          <w:lang w:eastAsia="zh-CN"/>
        </w:rPr>
        <w:t>翔云镇</w:t>
      </w:r>
      <w:r>
        <w:rPr>
          <w:rFonts w:hint="default" w:ascii="Times New Roman" w:hAnsi="Times New Roman" w:cs="Times New Roman"/>
          <w:b/>
          <w:color w:val="auto"/>
          <w:kern w:val="2"/>
          <w:sz w:val="36"/>
          <w:szCs w:val="36"/>
          <w:highlight w:val="none"/>
        </w:rPr>
        <w:t>安全生产标准化提升专项行动固本强基进展情况月报表（二）</w:t>
      </w:r>
    </w:p>
    <w:p>
      <w:pPr>
        <w:pStyle w:val="10"/>
        <w:keepNext w:val="0"/>
        <w:keepLines w:val="0"/>
        <w:pageBreakBefore w:val="0"/>
        <w:widowControl w:val="0"/>
        <w:kinsoku/>
        <w:wordWrap/>
        <w:overflowPunct/>
        <w:topLinePunct w:val="0"/>
        <w:bidi w:val="0"/>
        <w:adjustRightInd w:val="0"/>
        <w:snapToGrid w:val="0"/>
        <w:spacing w:line="300" w:lineRule="exact"/>
        <w:ind w:left="0" w:leftChars="-233" w:right="-466" w:rightChars="-222" w:hanging="489" w:hangingChars="204"/>
        <w:jc w:val="center"/>
        <w:textAlignment w:val="auto"/>
        <w:rPr>
          <w:rFonts w:hint="default" w:ascii="Times New Roman" w:hAnsi="Times New Roman" w:eastAsia="仿宋" w:cs="Times New Roman"/>
          <w:b/>
          <w:bCs/>
          <w:color w:val="auto"/>
          <w:kern w:val="2"/>
          <w:szCs w:val="24"/>
          <w:highlight w:val="none"/>
          <w:u w:val="single"/>
        </w:rPr>
      </w:pPr>
      <w:r>
        <w:rPr>
          <w:rFonts w:hint="default" w:ascii="Times New Roman" w:hAnsi="Times New Roman" w:eastAsia="仿宋" w:cs="Times New Roman"/>
          <w:color w:val="auto"/>
          <w:kern w:val="2"/>
          <w:highlight w:val="none"/>
        </w:rPr>
        <w:t>填报单位（盖章）：</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 xml:space="preserve">  填表人：</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 xml:space="preserve">  联系电话：</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 xml:space="preserve">   </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年</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月</w:t>
      </w:r>
      <w:r>
        <w:rPr>
          <w:rFonts w:hint="default" w:ascii="Times New Roman" w:hAnsi="Times New Roman" w:eastAsia="仿宋" w:cs="Times New Roman"/>
          <w:color w:val="auto"/>
          <w:kern w:val="2"/>
          <w:highlight w:val="none"/>
          <w:u w:val="single"/>
        </w:rPr>
        <w:t xml:space="preserve">    </w:t>
      </w:r>
      <w:r>
        <w:rPr>
          <w:rFonts w:hint="default" w:ascii="Times New Roman" w:hAnsi="Times New Roman" w:eastAsia="仿宋" w:cs="Times New Roman"/>
          <w:color w:val="auto"/>
          <w:kern w:val="2"/>
          <w:highlight w:val="none"/>
        </w:rPr>
        <w:t>日</w:t>
      </w:r>
    </w:p>
    <w:tbl>
      <w:tblPr>
        <w:tblStyle w:val="7"/>
        <w:tblpPr w:leftFromText="180" w:rightFromText="180" w:vertAnchor="text" w:tblpXSpec="center" w:tblpY="1"/>
        <w:tblOverlap w:val="never"/>
        <w:tblW w:w="14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542"/>
        <w:gridCol w:w="542"/>
        <w:gridCol w:w="542"/>
        <w:gridCol w:w="542"/>
        <w:gridCol w:w="436"/>
        <w:gridCol w:w="450"/>
        <w:gridCol w:w="545"/>
        <w:gridCol w:w="518"/>
        <w:gridCol w:w="505"/>
        <w:gridCol w:w="477"/>
        <w:gridCol w:w="464"/>
        <w:gridCol w:w="449"/>
        <w:gridCol w:w="385"/>
        <w:gridCol w:w="385"/>
        <w:gridCol w:w="385"/>
        <w:gridCol w:w="385"/>
        <w:gridCol w:w="385"/>
        <w:gridCol w:w="524"/>
        <w:gridCol w:w="432"/>
        <w:gridCol w:w="433"/>
        <w:gridCol w:w="368"/>
        <w:gridCol w:w="381"/>
        <w:gridCol w:w="410"/>
        <w:gridCol w:w="437"/>
        <w:gridCol w:w="462"/>
        <w:gridCol w:w="354"/>
        <w:gridCol w:w="396"/>
        <w:gridCol w:w="463"/>
        <w:gridCol w:w="408"/>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191"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填报</w:t>
            </w:r>
          </w:p>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单位</w:t>
            </w:r>
          </w:p>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类型</w:t>
            </w:r>
          </w:p>
        </w:tc>
        <w:tc>
          <w:tcPr>
            <w:tcW w:w="2168" w:type="dxa"/>
            <w:gridSpan w:val="4"/>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highlight w:val="none"/>
              </w:rPr>
              <w:t>企业优化完善</w:t>
            </w:r>
            <w:r>
              <w:rPr>
                <w:rFonts w:hint="eastAsia" w:ascii="Times New Roman" w:hAnsi="Times New Roman" w:eastAsia="仿宋" w:cs="Times New Roman"/>
                <w:b/>
                <w:color w:val="auto"/>
                <w:sz w:val="24"/>
                <w:highlight w:val="none"/>
                <w:lang w:eastAsia="zh-CN"/>
              </w:rPr>
              <w:t>“</w:t>
            </w:r>
            <w:r>
              <w:rPr>
                <w:rFonts w:hint="default" w:ascii="Times New Roman" w:hAnsi="Times New Roman" w:eastAsia="仿宋" w:cs="Times New Roman"/>
                <w:b/>
                <w:color w:val="auto"/>
                <w:sz w:val="24"/>
                <w:highlight w:val="none"/>
              </w:rPr>
              <w:t>四项规范</w:t>
            </w:r>
            <w:r>
              <w:rPr>
                <w:rFonts w:hint="eastAsia" w:ascii="Times New Roman" w:hAnsi="Times New Roman" w:eastAsia="仿宋" w:cs="Times New Roman"/>
                <w:b/>
                <w:color w:val="auto"/>
                <w:sz w:val="24"/>
                <w:highlight w:val="none"/>
                <w:lang w:eastAsia="zh-CN"/>
              </w:rPr>
              <w:t>”</w:t>
            </w:r>
            <w:r>
              <w:rPr>
                <w:rFonts w:hint="default" w:ascii="Times New Roman" w:hAnsi="Times New Roman" w:eastAsia="仿宋" w:cs="Times New Roman"/>
                <w:b/>
                <w:color w:val="auto"/>
                <w:sz w:val="24"/>
                <w:highlight w:val="none"/>
              </w:rPr>
              <w:t>（份）</w:t>
            </w:r>
          </w:p>
        </w:tc>
        <w:tc>
          <w:tcPr>
            <w:tcW w:w="4614" w:type="dxa"/>
            <w:gridSpan w:val="10"/>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落实</w:t>
            </w:r>
            <w:r>
              <w:rPr>
                <w:rFonts w:hint="eastAsia" w:ascii="Times New Roman" w:hAnsi="Times New Roman" w:eastAsia="仿宋" w:cs="Times New Roman"/>
                <w:b/>
                <w:color w:val="auto"/>
                <w:sz w:val="24"/>
                <w:szCs w:val="24"/>
                <w:highlight w:val="none"/>
                <w:lang w:eastAsia="zh-CN"/>
              </w:rPr>
              <w:t>“</w:t>
            </w:r>
            <w:r>
              <w:rPr>
                <w:rFonts w:hint="default" w:ascii="Times New Roman" w:hAnsi="Times New Roman" w:eastAsia="仿宋" w:cs="Times New Roman"/>
                <w:b/>
                <w:color w:val="auto"/>
                <w:sz w:val="24"/>
                <w:szCs w:val="24"/>
                <w:highlight w:val="none"/>
              </w:rPr>
              <w:t>一企一策</w:t>
            </w:r>
            <w:r>
              <w:rPr>
                <w:rFonts w:hint="eastAsia" w:ascii="Times New Roman" w:hAnsi="Times New Roman" w:eastAsia="仿宋" w:cs="Times New Roman"/>
                <w:b/>
                <w:color w:val="auto"/>
                <w:sz w:val="24"/>
                <w:szCs w:val="24"/>
                <w:highlight w:val="none"/>
                <w:lang w:eastAsia="zh-CN"/>
              </w:rPr>
              <w:t>”</w:t>
            </w:r>
            <w:r>
              <w:rPr>
                <w:rFonts w:hint="default" w:ascii="Times New Roman" w:hAnsi="Times New Roman" w:eastAsia="仿宋" w:cs="Times New Roman"/>
                <w:b/>
                <w:color w:val="auto"/>
                <w:sz w:val="24"/>
                <w:szCs w:val="24"/>
                <w:highlight w:val="none"/>
              </w:rPr>
              <w:t>数量</w:t>
            </w:r>
          </w:p>
        </w:tc>
        <w:tc>
          <w:tcPr>
            <w:tcW w:w="6606" w:type="dxa"/>
            <w:gridSpan w:val="16"/>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91"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2168" w:type="dxa"/>
            <w:gridSpan w:val="4"/>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1431" w:type="dxa"/>
            <w:gridSpan w:val="3"/>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健全三张清单</w:t>
            </w:r>
          </w:p>
        </w:tc>
        <w:tc>
          <w:tcPr>
            <w:tcW w:w="2413" w:type="dxa"/>
            <w:gridSpan w:val="5"/>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四色安全风险</w:t>
            </w:r>
          </w:p>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分级动态监管</w:t>
            </w:r>
          </w:p>
        </w:tc>
        <w:tc>
          <w:tcPr>
            <w:tcW w:w="385"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强化5S现场管理</w:t>
            </w:r>
          </w:p>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highlight w:val="none"/>
              </w:rPr>
              <w:t>︵家︶</w:t>
            </w:r>
          </w:p>
        </w:tc>
        <w:tc>
          <w:tcPr>
            <w:tcW w:w="385"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完善六有可视化警示标识</w:t>
            </w:r>
            <w:r>
              <w:rPr>
                <w:rFonts w:hint="default" w:ascii="Times New Roman" w:hAnsi="Times New Roman" w:eastAsia="仿宋" w:cs="Times New Roman"/>
                <w:b/>
                <w:color w:val="auto"/>
                <w:sz w:val="24"/>
                <w:highlight w:val="none"/>
              </w:rPr>
              <w:t>︵家︶</w:t>
            </w:r>
          </w:p>
        </w:tc>
        <w:tc>
          <w:tcPr>
            <w:tcW w:w="385"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17"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检查企业︵家次︶</w:t>
            </w:r>
          </w:p>
        </w:tc>
        <w:tc>
          <w:tcPr>
            <w:tcW w:w="385"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发现隐患︵条︶</w:t>
            </w:r>
          </w:p>
        </w:tc>
        <w:tc>
          <w:tcPr>
            <w:tcW w:w="385"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督促整改隐患︵条︶</w:t>
            </w:r>
          </w:p>
        </w:tc>
        <w:tc>
          <w:tcPr>
            <w:tcW w:w="1389" w:type="dxa"/>
            <w:gridSpan w:val="3"/>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重大隐患挂牌督办</w:t>
            </w:r>
          </w:p>
        </w:tc>
        <w:tc>
          <w:tcPr>
            <w:tcW w:w="749" w:type="dxa"/>
            <w:gridSpan w:val="2"/>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罚款</w:t>
            </w:r>
          </w:p>
        </w:tc>
        <w:tc>
          <w:tcPr>
            <w:tcW w:w="410"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责令停产停业整顿︵家次︶</w:t>
            </w:r>
          </w:p>
        </w:tc>
        <w:tc>
          <w:tcPr>
            <w:tcW w:w="437"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3"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暂扣或吊销证照企业︵家次︶</w:t>
            </w:r>
          </w:p>
        </w:tc>
        <w:tc>
          <w:tcPr>
            <w:tcW w:w="462"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取缔关闭企业︵家次︶</w:t>
            </w:r>
          </w:p>
        </w:tc>
        <w:tc>
          <w:tcPr>
            <w:tcW w:w="354"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移送司法机关︵人次︶</w:t>
            </w:r>
          </w:p>
        </w:tc>
        <w:tc>
          <w:tcPr>
            <w:tcW w:w="396"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曝光典型案例企业︵家次︶</w:t>
            </w:r>
          </w:p>
        </w:tc>
        <w:tc>
          <w:tcPr>
            <w:tcW w:w="463"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约谈警示企业︵家次︶</w:t>
            </w:r>
          </w:p>
        </w:tc>
        <w:tc>
          <w:tcPr>
            <w:tcW w:w="408"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激励单位︵家次︶</w:t>
            </w:r>
          </w:p>
        </w:tc>
        <w:tc>
          <w:tcPr>
            <w:tcW w:w="383" w:type="dxa"/>
            <w:vMerge w:val="restart"/>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约束单位︵家次︶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1191"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542" w:type="dxa"/>
            <w:noWrap w:val="0"/>
            <w:vAlign w:val="center"/>
          </w:tcPr>
          <w:p>
            <w:pPr>
              <w:keepNext w:val="0"/>
              <w:keepLines w:val="0"/>
              <w:pageBreakBefore w:val="0"/>
              <w:widowControl w:val="0"/>
              <w:kinsoku/>
              <w:wordWrap/>
              <w:overflowPunct/>
              <w:topLinePunct w:val="0"/>
              <w:bidi w:val="0"/>
              <w:adjustRightInd w:val="0"/>
              <w:snapToGrid w:val="0"/>
              <w:spacing w:line="300" w:lineRule="exact"/>
              <w:jc w:val="distribute"/>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安全检查清单︵份︶</w:t>
            </w:r>
          </w:p>
        </w:tc>
        <w:tc>
          <w:tcPr>
            <w:tcW w:w="542" w:type="dxa"/>
            <w:noWrap w:val="0"/>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安全风险管控导则︵份︶</w:t>
            </w:r>
          </w:p>
        </w:tc>
        <w:tc>
          <w:tcPr>
            <w:tcW w:w="542" w:type="dxa"/>
            <w:noWrap w:val="0"/>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达标细则︵份︶</w:t>
            </w:r>
          </w:p>
        </w:tc>
        <w:tc>
          <w:tcPr>
            <w:tcW w:w="542" w:type="dxa"/>
            <w:noWrap w:val="0"/>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仿宋" w:cs="Times New Roman"/>
                <w:b/>
                <w:color w:val="auto"/>
                <w:sz w:val="24"/>
                <w:highlight w:val="none"/>
              </w:rPr>
            </w:pPr>
            <w:r>
              <w:rPr>
                <w:rFonts w:hint="default" w:ascii="Times New Roman" w:hAnsi="Times New Roman" w:eastAsia="仿宋" w:cs="Times New Roman"/>
                <w:b/>
                <w:color w:val="auto"/>
                <w:sz w:val="24"/>
                <w:highlight w:val="none"/>
              </w:rPr>
              <w:t>提升指南︵份︶</w:t>
            </w:r>
          </w:p>
        </w:tc>
        <w:tc>
          <w:tcPr>
            <w:tcW w:w="436"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企业数量</w:t>
            </w:r>
            <w:r>
              <w:rPr>
                <w:rFonts w:hint="default" w:ascii="Times New Roman" w:hAnsi="Times New Roman" w:eastAsia="仿宋" w:cs="Times New Roman"/>
                <w:b/>
                <w:color w:val="auto"/>
                <w:sz w:val="24"/>
                <w:highlight w:val="none"/>
              </w:rPr>
              <w:t>︵</w:t>
            </w:r>
            <w:r>
              <w:rPr>
                <w:rFonts w:hint="default" w:ascii="Times New Roman" w:hAnsi="Times New Roman" w:eastAsia="仿宋" w:cs="Times New Roman"/>
                <w:b/>
                <w:color w:val="auto"/>
                <w:sz w:val="24"/>
                <w:highlight w:val="none"/>
                <w:lang w:eastAsia="zh-CN"/>
              </w:rPr>
              <w:t>家</w:t>
            </w:r>
            <w:r>
              <w:rPr>
                <w:rFonts w:hint="default" w:ascii="Times New Roman" w:hAnsi="Times New Roman" w:eastAsia="仿宋" w:cs="Times New Roman"/>
                <w:b/>
                <w:color w:val="auto"/>
                <w:sz w:val="24"/>
                <w:highlight w:val="none"/>
              </w:rPr>
              <w:t>︶</w:t>
            </w:r>
          </w:p>
        </w:tc>
        <w:tc>
          <w:tcPr>
            <w:tcW w:w="450"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自查隐患数量</w:t>
            </w:r>
            <w:r>
              <w:rPr>
                <w:rFonts w:hint="default" w:ascii="Times New Roman" w:hAnsi="Times New Roman" w:eastAsia="仿宋" w:cs="Times New Roman"/>
                <w:b/>
                <w:color w:val="auto"/>
                <w:sz w:val="24"/>
                <w:highlight w:val="none"/>
              </w:rPr>
              <w:t>︵条︶</w:t>
            </w:r>
          </w:p>
        </w:tc>
        <w:tc>
          <w:tcPr>
            <w:tcW w:w="54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整改隐患数量</w:t>
            </w:r>
            <w:r>
              <w:rPr>
                <w:rFonts w:hint="default" w:ascii="Times New Roman" w:hAnsi="Times New Roman" w:eastAsia="仿宋" w:cs="Times New Roman"/>
                <w:b/>
                <w:color w:val="auto"/>
                <w:sz w:val="24"/>
                <w:highlight w:val="none"/>
              </w:rPr>
              <w:t>︵条︶</w:t>
            </w:r>
          </w:p>
        </w:tc>
        <w:tc>
          <w:tcPr>
            <w:tcW w:w="518"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企业数量</w:t>
            </w:r>
            <w:r>
              <w:rPr>
                <w:rFonts w:hint="default" w:ascii="Times New Roman" w:hAnsi="Times New Roman" w:eastAsia="仿宋" w:cs="Times New Roman"/>
                <w:b/>
                <w:color w:val="auto"/>
                <w:sz w:val="24"/>
                <w:highlight w:val="none"/>
              </w:rPr>
              <w:t>︵家︶</w:t>
            </w:r>
          </w:p>
        </w:tc>
        <w:tc>
          <w:tcPr>
            <w:tcW w:w="50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红色风险企业</w:t>
            </w:r>
            <w:r>
              <w:rPr>
                <w:rFonts w:hint="default" w:ascii="Times New Roman" w:hAnsi="Times New Roman" w:eastAsia="仿宋" w:cs="Times New Roman"/>
                <w:b/>
                <w:color w:val="auto"/>
                <w:sz w:val="24"/>
                <w:highlight w:val="none"/>
              </w:rPr>
              <w:t>︵家︶</w:t>
            </w:r>
          </w:p>
        </w:tc>
        <w:tc>
          <w:tcPr>
            <w:tcW w:w="477"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橙色风险企业</w:t>
            </w:r>
            <w:r>
              <w:rPr>
                <w:rFonts w:hint="default" w:ascii="Times New Roman" w:hAnsi="Times New Roman" w:eastAsia="仿宋" w:cs="Times New Roman"/>
                <w:b/>
                <w:color w:val="auto"/>
                <w:sz w:val="24"/>
                <w:highlight w:val="none"/>
              </w:rPr>
              <w:t>︵家︶</w:t>
            </w:r>
          </w:p>
        </w:tc>
        <w:tc>
          <w:tcPr>
            <w:tcW w:w="464"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黄色风险企业</w:t>
            </w:r>
            <w:r>
              <w:rPr>
                <w:rFonts w:hint="default" w:ascii="Times New Roman" w:hAnsi="Times New Roman" w:eastAsia="仿宋" w:cs="Times New Roman"/>
                <w:b/>
                <w:color w:val="auto"/>
                <w:sz w:val="24"/>
                <w:highlight w:val="none"/>
              </w:rPr>
              <w:t>︵</w:t>
            </w:r>
            <w:r>
              <w:rPr>
                <w:rFonts w:hint="default" w:ascii="Times New Roman" w:hAnsi="Times New Roman" w:eastAsia="仿宋" w:cs="Times New Roman"/>
                <w:b/>
                <w:color w:val="auto"/>
                <w:sz w:val="24"/>
                <w:highlight w:val="none"/>
                <w:lang w:eastAsia="zh-CN"/>
              </w:rPr>
              <w:t>家</w:t>
            </w:r>
            <w:r>
              <w:rPr>
                <w:rFonts w:hint="default" w:ascii="Times New Roman" w:hAnsi="Times New Roman" w:eastAsia="仿宋" w:cs="Times New Roman"/>
                <w:b/>
                <w:color w:val="auto"/>
                <w:sz w:val="24"/>
                <w:highlight w:val="none"/>
              </w:rPr>
              <w:t>︶</w:t>
            </w:r>
          </w:p>
        </w:tc>
        <w:tc>
          <w:tcPr>
            <w:tcW w:w="449"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蓝色风险企业</w:t>
            </w:r>
            <w:r>
              <w:rPr>
                <w:rFonts w:hint="default" w:ascii="Times New Roman" w:hAnsi="Times New Roman" w:eastAsia="仿宋" w:cs="Times New Roman"/>
                <w:b/>
                <w:color w:val="auto"/>
                <w:sz w:val="24"/>
                <w:highlight w:val="none"/>
              </w:rPr>
              <w:t>︵</w:t>
            </w:r>
            <w:r>
              <w:rPr>
                <w:rFonts w:hint="default" w:ascii="Times New Roman" w:hAnsi="Times New Roman" w:eastAsia="仿宋" w:cs="Times New Roman"/>
                <w:b/>
                <w:color w:val="auto"/>
                <w:sz w:val="24"/>
                <w:highlight w:val="none"/>
                <w:lang w:eastAsia="zh-CN"/>
              </w:rPr>
              <w:t>家</w:t>
            </w:r>
            <w:r>
              <w:rPr>
                <w:rFonts w:hint="default" w:ascii="Times New Roman" w:hAnsi="Times New Roman" w:eastAsia="仿宋" w:cs="Times New Roman"/>
                <w:b/>
                <w:color w:val="auto"/>
                <w:sz w:val="24"/>
                <w:highlight w:val="none"/>
              </w:rPr>
              <w:t>︶</w:t>
            </w:r>
          </w:p>
        </w:tc>
        <w:tc>
          <w:tcPr>
            <w:tcW w:w="385"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385"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385"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385"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385"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p>
        </w:tc>
        <w:tc>
          <w:tcPr>
            <w:tcW w:w="524"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企业数︵家次︶</w:t>
            </w:r>
          </w:p>
        </w:tc>
        <w:tc>
          <w:tcPr>
            <w:tcW w:w="43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隐患数︵条︶</w:t>
            </w:r>
          </w:p>
        </w:tc>
        <w:tc>
          <w:tcPr>
            <w:tcW w:w="433"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lang w:eastAsia="zh-CN"/>
              </w:rPr>
              <w:t>整改</w:t>
            </w:r>
            <w:r>
              <w:rPr>
                <w:rFonts w:hint="default" w:ascii="Times New Roman" w:hAnsi="Times New Roman" w:eastAsia="仿宋" w:cs="Times New Roman"/>
                <w:b/>
                <w:color w:val="auto"/>
                <w:sz w:val="24"/>
                <w:szCs w:val="24"/>
                <w:highlight w:val="none"/>
              </w:rPr>
              <w:t>数︵条︶</w:t>
            </w:r>
          </w:p>
        </w:tc>
        <w:tc>
          <w:tcPr>
            <w:tcW w:w="368"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企业数︵家次︶</w:t>
            </w:r>
          </w:p>
        </w:tc>
        <w:tc>
          <w:tcPr>
            <w:tcW w:w="381"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金额︵万元︶</w:t>
            </w:r>
          </w:p>
        </w:tc>
        <w:tc>
          <w:tcPr>
            <w:tcW w:w="410"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437"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462"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354"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396"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463"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408"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c>
          <w:tcPr>
            <w:tcW w:w="383" w:type="dxa"/>
            <w:vMerge w:val="continue"/>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20" w:leftChars="0" w:firstLine="0" w:firstLineChars="0"/>
              <w:jc w:val="center"/>
              <w:textAlignment w:val="auto"/>
              <w:rPr>
                <w:rFonts w:hint="default" w:ascii="Times New Roman" w:hAnsi="Times New Roman"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191"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b/>
                <w:bCs/>
                <w:color w:val="auto"/>
                <w:sz w:val="18"/>
                <w:szCs w:val="18"/>
                <w:highlight w:val="none"/>
              </w:rPr>
            </w:pPr>
            <w:r>
              <w:rPr>
                <w:rFonts w:hint="eastAsia" w:ascii="Times New Roman" w:hAnsi="Times New Roman" w:eastAsia="仿宋" w:cs="Times New Roman"/>
                <w:b/>
                <w:bCs/>
                <w:color w:val="auto"/>
                <w:sz w:val="18"/>
                <w:szCs w:val="18"/>
                <w:highlight w:val="none"/>
                <w:lang w:eastAsia="zh-CN"/>
              </w:rPr>
              <w:t>各行业领域主管部门</w:t>
            </w:r>
          </w:p>
        </w:tc>
        <w:tc>
          <w:tcPr>
            <w:tcW w:w="54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4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4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4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36"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50"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4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18"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0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77"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64"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49"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5"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524"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3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33"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68"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1"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10"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37"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62"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54"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96"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63"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408"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c>
          <w:tcPr>
            <w:tcW w:w="383" w:type="dxa"/>
            <w:noWrap w:val="0"/>
            <w:vAlign w:val="center"/>
          </w:tcPr>
          <w:p>
            <w:pPr>
              <w:pStyle w:val="6"/>
              <w:keepNext w:val="0"/>
              <w:keepLines w:val="0"/>
              <w:pageBreakBefore w:val="0"/>
              <w:widowControl w:val="0"/>
              <w:kinsoku/>
              <w:wordWrap/>
              <w:overflowPunct/>
              <w:topLinePunct w:val="0"/>
              <w:bidi w:val="0"/>
              <w:adjustRightInd w:val="0"/>
              <w:snapToGrid w:val="0"/>
              <w:spacing w:after="0" w:line="300" w:lineRule="exact"/>
              <w:ind w:left="0" w:leftChars="0" w:firstLine="0" w:firstLineChars="0"/>
              <w:jc w:val="center"/>
              <w:textAlignment w:val="auto"/>
              <w:rPr>
                <w:rFonts w:hint="default" w:ascii="Times New Roman" w:hAnsi="Times New Roman" w:eastAsia="仿宋" w:cs="Times New Roman"/>
                <w:color w:val="auto"/>
                <w:sz w:val="18"/>
                <w:szCs w:val="18"/>
                <w:highlight w:val="none"/>
              </w:rPr>
            </w:pPr>
          </w:p>
        </w:tc>
      </w:tr>
    </w:tbl>
    <w:p>
      <w:pPr>
        <w:keepNext w:val="0"/>
        <w:keepLines w:val="0"/>
        <w:pageBreakBefore w:val="0"/>
        <w:widowControl w:val="0"/>
        <w:kinsoku/>
        <w:wordWrap/>
        <w:overflowPunct/>
        <w:topLinePunct w:val="0"/>
        <w:autoSpaceDE w:val="0"/>
        <w:bidi w:val="0"/>
        <w:adjustRightInd w:val="0"/>
        <w:snapToGrid w:val="0"/>
        <w:spacing w:line="300" w:lineRule="exact"/>
        <w:ind w:left="359" w:leftChars="171" w:right="349" w:rightChars="166" w:firstLine="482" w:firstLineChars="200"/>
        <w:textAlignment w:val="auto"/>
        <w:rPr>
          <w:rFonts w:hint="default" w:ascii="Times New Roman" w:hAnsi="Times New Roman" w:eastAsia="仿宋" w:cs="Times New Roman"/>
          <w:color w:val="auto"/>
          <w:sz w:val="24"/>
          <w:highlight w:val="none"/>
        </w:rPr>
        <w:sectPr>
          <w:pgSz w:w="16838" w:h="11906" w:orient="landscape"/>
          <w:pgMar w:top="1134" w:right="1134" w:bottom="851" w:left="1134" w:header="851" w:footer="992" w:gutter="0"/>
          <w:pgNumType w:fmt="numberInDash"/>
          <w:cols w:space="720" w:num="1"/>
          <w:docGrid w:linePitch="312" w:charSpace="0"/>
        </w:sectPr>
      </w:pPr>
      <w:r>
        <w:rPr>
          <w:rFonts w:hint="default" w:ascii="Times New Roman" w:hAnsi="Times New Roman" w:eastAsia="仿宋" w:cs="Times New Roman"/>
          <w:b/>
          <w:color w:val="auto"/>
          <w:sz w:val="24"/>
          <w:highlight w:val="none"/>
        </w:rPr>
        <w:t>注：</w:t>
      </w:r>
      <w:r>
        <w:rPr>
          <w:rFonts w:hint="default" w:ascii="Times New Roman" w:hAnsi="Times New Roman" w:eastAsia="仿宋" w:cs="Times New Roman"/>
          <w:color w:val="auto"/>
          <w:sz w:val="24"/>
          <w:highlight w:val="none"/>
        </w:rPr>
        <w:t>1.各填报单位按照各自所属的单位类型进行填报；</w:t>
      </w:r>
      <w:r>
        <w:rPr>
          <w:rFonts w:hint="eastAsia" w:ascii="Times New Roman" w:hAnsi="Times New Roman" w:eastAsia="仿宋" w:cs="Times New Roman"/>
          <w:color w:val="auto"/>
          <w:sz w:val="24"/>
          <w:highlight w:val="none"/>
          <w:lang w:val="en-US" w:eastAsia="zh-CN"/>
        </w:rPr>
        <w:t>2</w:t>
      </w:r>
      <w:r>
        <w:rPr>
          <w:rFonts w:hint="default" w:ascii="Times New Roman" w:hAnsi="Times New Roman" w:eastAsia="仿宋" w:cs="Times New Roman"/>
          <w:color w:val="auto"/>
          <w:sz w:val="24"/>
          <w:highlight w:val="none"/>
        </w:rPr>
        <w:t>.落实</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一企一策</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数量一栏当中除自查隐患数量以及整改隐患数量外</w:t>
      </w:r>
      <w:r>
        <w:rPr>
          <w:rFonts w:hint="default"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各项数据从2021年8月份开始累计填报；落实</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一企一策</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数量</w:t>
      </w:r>
      <w:r>
        <w:rPr>
          <w:rFonts w:hint="default" w:ascii="Times New Roman" w:hAnsi="Times New Roman" w:eastAsia="仿宋" w:cs="Times New Roman"/>
          <w:color w:val="auto"/>
          <w:sz w:val="24"/>
          <w:highlight w:val="none"/>
          <w:lang w:eastAsia="zh-CN"/>
        </w:rPr>
        <w:t>一栏</w:t>
      </w:r>
      <w:r>
        <w:rPr>
          <w:rFonts w:hint="default" w:ascii="Times New Roman" w:hAnsi="Times New Roman" w:eastAsia="仿宋" w:cs="Times New Roman"/>
          <w:color w:val="auto"/>
          <w:sz w:val="24"/>
          <w:highlight w:val="none"/>
        </w:rPr>
        <w:t>中自查隐患数量以及整改隐患数量、企业优化完善</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四项规范</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、执法激励约束等数据</w:t>
      </w:r>
      <w:r>
        <w:rPr>
          <w:rFonts w:hint="default" w:ascii="Times New Roman" w:hAnsi="Times New Roman" w:eastAsia="仿宋" w:cs="Times New Roman"/>
          <w:color w:val="auto"/>
          <w:sz w:val="24"/>
          <w:highlight w:val="none"/>
          <w:lang w:eastAsia="zh-CN"/>
        </w:rPr>
        <w:t>填报</w:t>
      </w:r>
      <w:r>
        <w:rPr>
          <w:rFonts w:hint="default" w:ascii="Times New Roman" w:hAnsi="Times New Roman" w:eastAsia="仿宋" w:cs="Times New Roman"/>
          <w:color w:val="auto"/>
          <w:sz w:val="24"/>
          <w:highlight w:val="none"/>
        </w:rPr>
        <w:t>2024年1月</w:t>
      </w:r>
      <w:r>
        <w:rPr>
          <w:rFonts w:hint="default" w:ascii="Times New Roman" w:hAnsi="Times New Roman" w:eastAsia="仿宋" w:cs="Times New Roman"/>
          <w:color w:val="auto"/>
          <w:sz w:val="24"/>
          <w:highlight w:val="none"/>
          <w:lang w:eastAsia="zh-CN"/>
        </w:rPr>
        <w:t>以来累计数</w:t>
      </w:r>
      <w:r>
        <w:rPr>
          <w:rFonts w:hint="default"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lang w:val="en-US" w:eastAsia="zh-CN"/>
        </w:rPr>
        <w:t>3</w:t>
      </w:r>
      <w:r>
        <w:rPr>
          <w:rFonts w:hint="default" w:ascii="Times New Roman" w:hAnsi="Times New Roman" w:eastAsia="仿宋" w:cs="Times New Roman"/>
          <w:color w:val="auto"/>
          <w:sz w:val="24"/>
          <w:highlight w:val="none"/>
        </w:rPr>
        <w:t>. 四色安全风险分级动态监管指的是对企业安全生产状况进行整体评估，按照</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红、橙、黄、蓝</w:t>
      </w:r>
      <w:r>
        <w:rPr>
          <w:rFonts w:hint="eastAsia" w:ascii="Times New Roman" w:hAnsi="Times New Roman" w:eastAsia="仿宋" w:cs="Times New Roman"/>
          <w:color w:val="auto"/>
          <w:sz w:val="24"/>
          <w:highlight w:val="none"/>
          <w:lang w:eastAsia="zh-CN"/>
        </w:rPr>
        <w:t>”</w:t>
      </w:r>
      <w:r>
        <w:rPr>
          <w:rFonts w:hint="default" w:ascii="Times New Roman" w:hAnsi="Times New Roman" w:eastAsia="仿宋" w:cs="Times New Roman"/>
          <w:color w:val="auto"/>
          <w:sz w:val="24"/>
          <w:highlight w:val="none"/>
        </w:rPr>
        <w:t>确定企业整体安全风险等级；</w:t>
      </w:r>
      <w:r>
        <w:rPr>
          <w:rFonts w:hint="eastAsia" w:ascii="Times New Roman" w:hAnsi="Times New Roman" w:eastAsia="仿宋" w:cs="Times New Roman"/>
          <w:color w:val="auto"/>
          <w:sz w:val="24"/>
          <w:highlight w:val="none"/>
          <w:lang w:val="en-US" w:eastAsia="zh-CN"/>
        </w:rPr>
        <w:t>4</w:t>
      </w:r>
      <w:r>
        <w:rPr>
          <w:rFonts w:hint="default" w:ascii="Times New Roman" w:hAnsi="Times New Roman" w:eastAsia="仿宋" w:cs="Times New Roman"/>
          <w:color w:val="auto"/>
          <w:sz w:val="24"/>
          <w:highlight w:val="none"/>
        </w:rPr>
        <w:t>.表格不应有空白处，若无则应填写0；</w:t>
      </w:r>
      <w:r>
        <w:rPr>
          <w:rFonts w:hint="eastAsia" w:ascii="Times New Roman" w:hAnsi="Times New Roman" w:eastAsia="仿宋" w:cs="Times New Roman"/>
          <w:color w:val="auto"/>
          <w:sz w:val="24"/>
          <w:highlight w:val="none"/>
          <w:lang w:val="en-US" w:eastAsia="zh-CN"/>
        </w:rPr>
        <w:t>5</w:t>
      </w:r>
      <w:r>
        <w:rPr>
          <w:rFonts w:hint="default"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lang w:eastAsia="zh-CN"/>
        </w:rPr>
        <w:t>每月最后一个工作日</w:t>
      </w:r>
      <w:r>
        <w:rPr>
          <w:rFonts w:hint="default" w:ascii="Times New Roman" w:hAnsi="Times New Roman" w:eastAsia="仿宋" w:cs="Times New Roman"/>
          <w:color w:val="auto"/>
          <w:sz w:val="24"/>
          <w:highlight w:val="none"/>
        </w:rPr>
        <w:t>前上报</w:t>
      </w:r>
      <w:r>
        <w:rPr>
          <w:rFonts w:hint="eastAsia" w:ascii="Times New Roman" w:hAnsi="Times New Roman" w:eastAsia="仿宋" w:cs="Times New Roman"/>
          <w:color w:val="auto"/>
          <w:sz w:val="24"/>
          <w:highlight w:val="none"/>
          <w:lang w:eastAsia="zh-CN"/>
        </w:rPr>
        <w:t>本</w:t>
      </w:r>
      <w:r>
        <w:rPr>
          <w:rFonts w:hint="default" w:ascii="Times New Roman" w:hAnsi="Times New Roman" w:eastAsia="仿宋" w:cs="Times New Roman"/>
          <w:color w:val="auto"/>
          <w:sz w:val="24"/>
          <w:highlight w:val="none"/>
        </w:rPr>
        <w:t>月固本强基进展情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- 17 -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- 17 -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- 19 -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- 19 -</w:t>
                    </w:r>
                    <w:r>
                      <w:rPr>
                        <w:rFonts w:hint="eastAsia"/>
                        <w:sz w:val="28"/>
                        <w:szCs w:val="28"/>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NjI2YjE1NGQ2MTk3NjYwOTFiMDlkZWNkYWQ5N2EifQ=="/>
  </w:docVars>
  <w:rsids>
    <w:rsidRoot w:val="38507B75"/>
    <w:rsid w:val="3850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rFonts w:ascii="Calibri" w:hAnsi="Calibri" w:cs="Calibri"/>
      <w:sz w:val="18"/>
      <w:szCs w:val="18"/>
    </w:rPr>
  </w:style>
  <w:style w:type="paragraph" w:styleId="3">
    <w:name w:val="Normal Indent"/>
    <w:basedOn w:val="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Body Text Indent"/>
    <w:basedOn w:val="1"/>
    <w:next w:val="3"/>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firstLineChars="200"/>
    </w:pPr>
    <w:rPr>
      <w:rFonts w:ascii="Calibri" w:hAnsi="Calibri"/>
      <w:sz w:val="32"/>
      <w:szCs w:val="32"/>
    </w:rPr>
  </w:style>
  <w:style w:type="character" w:styleId="9">
    <w:name w:val="page number"/>
    <w:basedOn w:val="8"/>
    <w:qFormat/>
    <w:uiPriority w:val="0"/>
  </w:style>
  <w:style w:type="paragraph" w:customStyle="1" w:styleId="1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2024-03-06T08:15:00Z</dcterms:created>
  <dc:creator>anyway</dc:creator>
  <cp:lastModifiedBy>anyway</cp:lastModifiedBy>
  <dcterms:modified xsi:type="dcterms:W3CDTF">2024-03-06T08:15:47Z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33748B7FB7BB4C05BF170A8A8C561918_11</vt:lpwstr>
  </property>
</Properties>
</file>