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A8" w:rsidRDefault="006F26A8" w:rsidP="006F26A8">
      <w:pPr>
        <w:widowControl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B5090C" w:rsidRDefault="00B5090C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B5090C" w:rsidRDefault="00B5090C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B5090C" w:rsidRDefault="00B5090C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B5090C" w:rsidRDefault="00B5090C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B5090C" w:rsidRPr="006F26A8" w:rsidRDefault="00B5090C" w:rsidP="00B5090C">
      <w:pPr>
        <w:widowControl/>
        <w:ind w:firstLineChars="850" w:firstLine="2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26A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溪办</w:t>
      </w:r>
      <w:r w:rsidRPr="006F26A8">
        <w:rPr>
          <w:rFonts w:ascii="宋体" w:eastAsia="宋体" w:hAnsi="宋体" w:cs="宋体" w:hint="eastAsia"/>
          <w:bCs/>
          <w:kern w:val="0"/>
          <w:sz w:val="36"/>
          <w:szCs w:val="36"/>
        </w:rPr>
        <w:t>﹝</w:t>
      </w:r>
      <w:r w:rsidRPr="006F26A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8</w:t>
      </w:r>
      <w:r w:rsidRPr="006F26A8">
        <w:rPr>
          <w:rFonts w:ascii="宋体" w:eastAsia="宋体" w:hAnsi="宋体" w:cs="宋体" w:hint="eastAsia"/>
          <w:bCs/>
          <w:kern w:val="0"/>
          <w:sz w:val="36"/>
          <w:szCs w:val="36"/>
        </w:rPr>
        <w:t>﹞</w:t>
      </w:r>
      <w:r>
        <w:rPr>
          <w:rFonts w:ascii="宋体" w:eastAsia="宋体" w:hAnsi="宋体" w:cs="宋体" w:hint="eastAsia"/>
          <w:bCs/>
          <w:kern w:val="0"/>
          <w:sz w:val="32"/>
          <w:szCs w:val="32"/>
        </w:rPr>
        <w:t>5</w:t>
      </w:r>
      <w:r w:rsidRPr="006F26A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号                  </w:t>
      </w:r>
    </w:p>
    <w:p w:rsidR="00B5090C" w:rsidRDefault="00B5090C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</w:p>
    <w:p w:rsidR="006F26A8" w:rsidRPr="006F26A8" w:rsidRDefault="006F26A8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26A8"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南安市溪美街道</w:t>
      </w:r>
    </w:p>
    <w:p w:rsidR="006F26A8" w:rsidRPr="006F26A8" w:rsidRDefault="006F26A8" w:rsidP="006F26A8">
      <w:pPr>
        <w:widowControl/>
        <w:spacing w:line="600" w:lineRule="exact"/>
        <w:ind w:right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26A8">
        <w:rPr>
          <w:rFonts w:ascii="宋体" w:eastAsia="宋体" w:hAnsi="宋体" w:cs="宋体" w:hint="eastAsia"/>
          <w:b/>
          <w:kern w:val="0"/>
          <w:sz w:val="36"/>
          <w:szCs w:val="36"/>
        </w:rPr>
        <w:t>201</w:t>
      </w:r>
      <w:r w:rsidR="00970EA5">
        <w:rPr>
          <w:rFonts w:ascii="宋体" w:eastAsia="宋体" w:hAnsi="宋体" w:cs="宋体" w:hint="eastAsia"/>
          <w:b/>
          <w:kern w:val="0"/>
          <w:sz w:val="36"/>
          <w:szCs w:val="36"/>
        </w:rPr>
        <w:t>7</w:t>
      </w:r>
      <w:r w:rsidRPr="006F26A8">
        <w:rPr>
          <w:rFonts w:ascii="宋体" w:eastAsia="宋体" w:hAnsi="宋体" w:cs="宋体" w:hint="eastAsia"/>
          <w:b/>
          <w:kern w:val="0"/>
          <w:sz w:val="36"/>
          <w:szCs w:val="36"/>
        </w:rPr>
        <w:t>年政府信息公开工作年度报告</w:t>
      </w:r>
    </w:p>
    <w:p w:rsidR="006F26A8" w:rsidRPr="006F26A8" w:rsidRDefault="006F26A8" w:rsidP="006F26A8">
      <w:pPr>
        <w:widowControl/>
        <w:spacing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26A8">
        <w:rPr>
          <w:rFonts w:ascii="宋体" w:eastAsia="宋体" w:hAnsi="宋体" w:cs="宋体" w:hint="eastAsia"/>
          <w:b/>
          <w:kern w:val="0"/>
          <w:sz w:val="36"/>
          <w:szCs w:val="36"/>
        </w:rPr>
        <w:t> 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引言</w:t>
      </w:r>
    </w:p>
    <w:p w:rsidR="00A140ED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7年，溪美街道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认真实施《中华人民共和国政府信息公开条例》（以下简称《条例》）和贯彻落实《福建省人民政府办公厅关于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做好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要点落实情况自查及政府信息公开工作年度报告有关事项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的通知》（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闽政办网传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44"/>
          <w:szCs w:val="44"/>
        </w:rPr>
        <w:t>﹝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44"/>
          <w:szCs w:val="44"/>
        </w:rPr>
        <w:t>﹞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24号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）和《南安市人民政府办公室关于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做好2017年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公开工作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要点落实情况自查及政府信息公开工作年度报告编制发布有关事项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的通知》（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南政办</w:t>
      </w:r>
      <w:r w:rsidR="003012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内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传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44"/>
          <w:szCs w:val="44"/>
        </w:rPr>
        <w:t>﹝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44"/>
          <w:szCs w:val="44"/>
        </w:rPr>
        <w:t>﹞</w:t>
      </w:r>
      <w:r w:rsidR="003012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4号</w:t>
      </w:r>
      <w:r w:rsidR="003012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、以下简称《通知》）文件精神，结合我街道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实际</w:t>
      </w:r>
      <w:r w:rsidR="003012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，扎实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有序</w:t>
      </w:r>
      <w:r w:rsidR="003012B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开展各项工作，认真完成各项有关政府信息公开的工作任务，并对全年工作进行全面总结形成本年度报告。本年度报告由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溪美街道党政办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编制。</w:t>
      </w:r>
    </w:p>
    <w:p w:rsidR="00A140ED" w:rsidRPr="00E43362" w:rsidRDefault="00970EA5" w:rsidP="00B440B2">
      <w:pPr>
        <w:widowControl/>
        <w:spacing w:line="560" w:lineRule="exact"/>
        <w:ind w:firstLineChars="200" w:firstLine="6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全文由概述、主动公开政府信息的情况、政府信息依申请公开办理情况、因政府信息公开申请行政复议、提起行政诉讼的情况、政府信息公开工作存在的主要问题及改进措施、需要说明的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其他事项与附表等六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部分组成，本报告中所列数据的统计日期为201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年1月1日至201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年12月31日。</w:t>
      </w:r>
      <w:r w:rsidR="00A140ED" w:rsidRPr="00E43362">
        <w:rPr>
          <w:rFonts w:asciiTheme="minorEastAsia" w:hAnsiTheme="minorEastAsia" w:cs="宋体" w:hint="eastAsia"/>
          <w:kern w:val="0"/>
          <w:sz w:val="32"/>
          <w:szCs w:val="32"/>
        </w:rPr>
        <w:t xml:space="preserve">如对本报告有任何疑问，请与南安市溪美街道办事处党政办联系。（联系地址：南安市镇府巷36号，邮编：362300，联系电话：86382731，电子邮箱：xmdzb123@163.com）。  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970EA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一、概述</w:t>
      </w:r>
    </w:p>
    <w:p w:rsidR="00B440B2" w:rsidRDefault="00970EA5" w:rsidP="00B440B2"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本单位工作实际，结合《条例》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和《通知》的要求，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溪美街道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高度重视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政务信息公开工作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，按照要求，</w:t>
      </w:r>
      <w:r w:rsidR="00A140E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周密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部署健全完善信息公开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工作制度，</w:t>
      </w:r>
      <w:r w:rsidR="004877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建立健全政府信息公开保障机制，</w:t>
      </w:r>
      <w:r w:rsidR="004877CD" w:rsidRPr="004877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规范梳理政府信息公开目录和指南</w:t>
      </w:r>
      <w:r w:rsidR="004877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调整充实工作人员，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加强</w:t>
      </w:r>
      <w:r w:rsidR="004877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信息公开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平台建设，有序推进政府信息公开工作</w:t>
      </w:r>
      <w:r w:rsidR="004877C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，取得了较好的成效。</w:t>
      </w:r>
    </w:p>
    <w:p w:rsidR="00970EA5" w:rsidRPr="00B440B2" w:rsidRDefault="00970EA5" w:rsidP="00B440B2"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（一）加强领导</w:t>
      </w:r>
      <w:r w:rsidR="00340E0E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，</w:t>
      </w: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落实责任。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调整充实了政府信息公开工作领导小组，形成“主要领导亲自抓，分管领导具体抓，职能部门抓落实”的工作格局，配备充实信息公开具体工作人员，强化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机关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各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中心、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所、各职能部门的工作职责，严格按照“谁公开、谁审核、谁负责”的工作原则，进一步统一了思想，明确了任务和分工，靠实了工作责任。并将政府信息公开工作列入年度工作要点，进行同部署、同落实、同检查，进一步推进政府信息公开工作有序开展。 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100" w:firstLine="32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lastRenderedPageBreak/>
        <w:t xml:space="preserve"> （二）完善制度，强化执行。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依据《条例》和市政府信息公开工作有关文件要求，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明确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政府信息公开内容和方式、公开信息审查程序、依申请公开政府信息的办理、政府信息公开工作的监管等内容，并严格执行，确保政府信息公开工作落到实处。</w:t>
      </w:r>
    </w:p>
    <w:p w:rsidR="00970EA5" w:rsidRDefault="00970EA5" w:rsidP="00B440B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 xml:space="preserve">   （三）及时更新，全面公开。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实行政府信息公开以来，我街道完善政府信息公开内容，及时更新各个栏目，使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公开内容更为全面，更好地接受社会监督。在政府信息公开工作中，街道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坚持依法公开、真实公正、注重实效、有利监督的四个原则。做到规范程序、主动公开、保证时效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，对属应当主动公开范围的政府信息，做到信息生成后及时予以了公开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40E0E" w:rsidRPr="00340E0E" w:rsidRDefault="00340E0E" w:rsidP="00B440B2">
      <w:pPr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</w:t>
      </w:r>
      <w:r w:rsidRPr="00340E0E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 xml:space="preserve"> （四）助力改革</w:t>
      </w:r>
      <w:r w:rsidR="001D24D9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，便民惠民</w:t>
      </w:r>
      <w:r w:rsidRPr="00340E0E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。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及时在“中国•南安”网上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街道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2017年政务公开工作主要任务分解表。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不断推进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完善“互联网+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政务服务”，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推动政务服务事项办理由实体政</w:t>
      </w:r>
      <w:r w:rsidR="00F379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务大厅向网上办事大厅延伸，逐步实现在线咨询、网上办理等工作事宜。不断</w:t>
      </w:r>
      <w:r w:rsidR="00F37931" w:rsidRPr="00F379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推进扶贫脱贫和社会救助</w:t>
      </w:r>
      <w:r w:rsidR="00F379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、环境保护、教育卫生领域、食品药品安全等领域</w:t>
      </w:r>
      <w:r w:rsidR="00F37931" w:rsidRPr="00F379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信息公开</w:t>
      </w:r>
      <w:r w:rsidR="00F3793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更好推动便民</w:t>
      </w:r>
      <w:r w:rsidRPr="00340E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服务，实现办事全过程公开透明，方便企业和群众办事。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二、主动公开政府信息的情况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（一）主动公开政府信息的数量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</w:t>
      </w:r>
      <w:r w:rsidR="00D81753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7年，我街道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在“中国·南安”政府网站上主动公开政府信息共</w:t>
      </w:r>
      <w:r w:rsidR="0085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69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条，通过审核的</w:t>
      </w:r>
      <w:r w:rsidR="0085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条。</w:t>
      </w:r>
      <w:r w:rsidR="0085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本年度无依申请公开政</w:t>
      </w:r>
      <w:r w:rsidR="0085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府信息。据统计，我街道</w:t>
      </w:r>
      <w:r w:rsidR="00087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2017年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网上专栏页面访问量达</w:t>
      </w:r>
      <w:r w:rsidR="0085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122094人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次。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（二）主动公开政府信息的主要类别情况</w:t>
      </w:r>
    </w:p>
    <w:p w:rsidR="00B440B2" w:rsidRDefault="00970EA5" w:rsidP="00B440B2"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在主动公开的政府信息中，全文电子化的主动公开信息</w:t>
      </w:r>
      <w:r w:rsidR="00751F9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主要有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机构职能类、为民办实事</w:t>
      </w:r>
      <w:r w:rsidR="00751F9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类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、民政扶贫救灾类、城乡建设、环保能源类、科教文体卫生类、安全生产应急管理类等。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（三）政府信息公开的形式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1、南安市人民政府网</w:t>
      </w:r>
      <w:r w:rsidR="00087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信息公开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平台；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 w:rsidR="00647F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政务公开栏、行政村村务公开栏；</w:t>
      </w:r>
    </w:p>
    <w:p w:rsid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</w:t>
      </w:r>
      <w:r w:rsidR="00647F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官方微信公众号平台</w:t>
      </w:r>
      <w:r w:rsidR="00087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82017C" w:rsidRPr="0082017C" w:rsidRDefault="00087F90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楷体_GB2312" w:eastAsia="楷体_GB2312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（四</w:t>
      </w:r>
      <w:r w:rsidR="0082017C" w:rsidRPr="0082017C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）开展政策解读工作情况</w:t>
      </w:r>
    </w:p>
    <w:p w:rsidR="0082017C" w:rsidRPr="0082017C" w:rsidRDefault="0082017C" w:rsidP="00B440B2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1、加强政策性信息公开。扩大行政决策公开的领域和范围，深入推进行政决策过程和结果公开，及时通过政府网站、官方微信</w:t>
      </w:r>
      <w:r w:rsidR="00087F9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平台</w:t>
      </w:r>
      <w:r w:rsidRP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等渠道公开市政府出台的政策规范性文件。</w:t>
      </w:r>
    </w:p>
    <w:p w:rsidR="0082017C" w:rsidRPr="00970EA5" w:rsidRDefault="0082017C" w:rsidP="00B440B2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2、做好社会关切事项回应。建立健全政务舆情收集、研判、处置和回应机制，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设立街道官方新闻发言人，</w:t>
      </w:r>
      <w:r w:rsidRP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及时回应群众反映的较热切期盼的事项。</w:t>
      </w:r>
    </w:p>
    <w:p w:rsidR="00B440B2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  <w:r w:rsidRPr="00970E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三、依申请公开政府信息办理情况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201</w:t>
      </w:r>
      <w:r w:rsidR="00647F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年，</w:t>
      </w:r>
      <w:r w:rsidR="00647F3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未接到书面或其它形式要求公开政府信息的申请。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四、因政府信息公开申请行政复议、提起行政诉讼的情况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  <w:r w:rsid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2017年，街道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未接到因政府信息公开引起的行政复议、诉讼和申诉案件。</w:t>
      </w:r>
    </w:p>
    <w:p w:rsidR="00970EA5" w:rsidRPr="00970EA5" w:rsidRDefault="0082017C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五</w:t>
      </w:r>
      <w:r w:rsidR="00970EA5" w:rsidRPr="00970E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、政府信息公开工作存在的主要问题及改进措施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</w:t>
      </w: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（一）存在的主要问题</w:t>
      </w:r>
    </w:p>
    <w:p w:rsidR="00970EA5" w:rsidRPr="00970EA5" w:rsidRDefault="0082017C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经过政府信息公开实践，街道</w:t>
      </w:r>
      <w:r w:rsidR="00970EA5"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积累了一些工作经验，取得了一定的成效，但也存在一些问题和困难，主要表现在：</w:t>
      </w:r>
    </w:p>
    <w:p w:rsidR="0082017C" w:rsidRDefault="0082017C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是工作开展不平衡，有的科室、部门比较重视，及时报送信息，有的科室（部门）缺乏主动性，责任意识不强；二是工作人员的业务水平有待提高，由于工作人员身兼数职，有时责任意识不强；三是主动公开政府信息内容与公众的需要存在一定差距，信息公开的数量和质量有所不足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（二）具体的解决办法和改进措施</w:t>
      </w:r>
    </w:p>
    <w:p w:rsidR="00B440B2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</w:t>
      </w:r>
      <w:r w:rsid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进一步做好政府信息公开工作，保证信息公开持续、有效开展，下步我街道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将切实做好以下工作：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5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1、进一步加强对政府信息公开工作制度层面的建设。借鉴</w:t>
      </w:r>
      <w:r w:rsidR="0082017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兄弟乡镇（街道）信息公开工作的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先进经验，进一步完</w:t>
      </w: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善政务信息公开制度，形成一套与之相适应的管理制度，促进政务信息公开工作制度化、规范化。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进一步加强对政府信息公开工作功能层面的建设。把巩固已有工作成果与深化创新结合起来，与推进档案信息化工作结合起来，与改善为民服务态度结合起来，发挥信息公开平台和信息资料作用，通过各种形式，及时听取和广泛征求相关单位的意见，不断丰富政务信息公开内容，完善信息公开目录，创新公开形式，力求使公开的信息更贴近公众、方便群众</w:t>
      </w:r>
      <w:r w:rsidR="00B440B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进一步加强对政府信息公开工作保障层面的建设。加强人员业务培训，提高工作能力和业务水平，增强服务意识，努力提供优质、高效、满意的服务。针对不断出现的新情况、新问题、新热点，及时更新信息内容、提高信息质量，使广大公众能获取方便、及时、丰富的服务。</w:t>
      </w:r>
    </w:p>
    <w:p w:rsidR="00970EA5" w:rsidRPr="00970EA5" w:rsidRDefault="0082017C" w:rsidP="00B440B2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六</w:t>
      </w:r>
      <w:r w:rsidR="00970EA5" w:rsidRPr="00970EA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、需要说明的其他事项与附表</w:t>
      </w:r>
    </w:p>
    <w:p w:rsidR="00970EA5" w:rsidRPr="00970EA5" w:rsidRDefault="00970EA5" w:rsidP="00B440B2">
      <w:pPr>
        <w:widowControl/>
        <w:spacing w:before="100" w:beforeAutospacing="1" w:after="100" w:afterAutospacing="1" w:line="560" w:lineRule="exact"/>
        <w:ind w:firstLineChars="196" w:firstLine="63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（一）需要说明的其他事项：无</w:t>
      </w:r>
    </w:p>
    <w:p w:rsidR="00970EA5" w:rsidRDefault="00970EA5" w:rsidP="00B440B2">
      <w:pPr>
        <w:widowControl/>
        <w:spacing w:before="100" w:beforeAutospacing="1" w:after="100" w:afterAutospacing="1" w:line="560" w:lineRule="exact"/>
        <w:ind w:firstLineChars="196" w:firstLine="630"/>
        <w:jc w:val="left"/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</w:pPr>
      <w:r w:rsidRPr="00970EA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（二）附表。</w:t>
      </w:r>
    </w:p>
    <w:p w:rsidR="00B440B2" w:rsidRDefault="00B440B2" w:rsidP="00B440B2">
      <w:pPr>
        <w:widowControl/>
        <w:spacing w:before="100" w:beforeAutospacing="1" w:after="100" w:afterAutospacing="1" w:line="560" w:lineRule="exact"/>
        <w:ind w:firstLineChars="196" w:firstLine="630"/>
        <w:jc w:val="left"/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</w:pPr>
    </w:p>
    <w:p w:rsidR="00B440B2" w:rsidRPr="00970EA5" w:rsidRDefault="00B440B2" w:rsidP="00B440B2">
      <w:pPr>
        <w:widowControl/>
        <w:spacing w:before="100" w:beforeAutospacing="1" w:after="100" w:afterAutospacing="1" w:line="600" w:lineRule="exact"/>
        <w:ind w:firstLineChars="196" w:firstLine="47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120" w:type="dxa"/>
        <w:tblInd w:w="135" w:type="dxa"/>
        <w:tblLayout w:type="fixed"/>
        <w:tblLook w:val="04A0"/>
      </w:tblPr>
      <w:tblGrid>
        <w:gridCol w:w="5397"/>
        <w:gridCol w:w="1117"/>
        <w:gridCol w:w="1303"/>
        <w:gridCol w:w="1303"/>
      </w:tblGrid>
      <w:tr w:rsidR="00970EA5" w:rsidRPr="00970EA5" w:rsidTr="00970EA5">
        <w:trPr>
          <w:trHeight w:val="11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 </w:t>
            </w: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历年</w:t>
            </w:r>
          </w:p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累计</w:t>
            </w:r>
          </w:p>
        </w:tc>
      </w:tr>
      <w:tr w:rsidR="00970EA5" w:rsidRPr="00970EA5" w:rsidTr="00970EA5">
        <w:trPr>
          <w:trHeight w:val="59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82017C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82017C" w:rsidP="0082017C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456</w:t>
            </w:r>
          </w:p>
        </w:tc>
      </w:tr>
      <w:tr w:rsidR="00970EA5" w:rsidRPr="00970EA5" w:rsidTr="00970EA5">
        <w:trPr>
          <w:trHeight w:val="59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250" w:firstLine="8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其中：1．政府网站公开数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82017C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82017C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456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50" w:firstLine="17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2．政府公报公开数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其中：1．当面申请数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00"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2．网上申请数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00"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3．信函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、传真</w:t>
            </w: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其中：1．同意公开答复数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00"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2．同意部分公开答复数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00"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3．不予公开答复数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ind w:firstLineChars="500" w:firstLine="1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4．其他类型答复数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970EA5" w:rsidRPr="00970EA5" w:rsidTr="00970EA5">
        <w:trPr>
          <w:trHeight w:val="6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A5" w:rsidRPr="00970EA5" w:rsidRDefault="00970EA5" w:rsidP="00970EA5">
            <w:pPr>
              <w:widowControl/>
              <w:spacing w:before="100" w:beforeAutospacing="1" w:after="100" w:afterAutospacing="1"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70EA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970EA5">
              <w:rPr>
                <w:rFonts w:ascii="仿宋_GB2312" w:eastAsia="仿宋_GB2312" w:hAnsi="宋体" w:cs="宋体" w:hint="eastAsia"/>
                <w:vanish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6F26A8" w:rsidRPr="00B440B2" w:rsidRDefault="006F26A8" w:rsidP="00B440B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6F26A8" w:rsidRPr="00B440B2" w:rsidSect="00B4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4F" w:rsidRDefault="009F1B4F" w:rsidP="002535F0">
      <w:r>
        <w:separator/>
      </w:r>
    </w:p>
  </w:endnote>
  <w:endnote w:type="continuationSeparator" w:id="1">
    <w:p w:rsidR="009F1B4F" w:rsidRDefault="009F1B4F" w:rsidP="0025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4F" w:rsidRDefault="009F1B4F" w:rsidP="002535F0">
      <w:r>
        <w:separator/>
      </w:r>
    </w:p>
  </w:footnote>
  <w:footnote w:type="continuationSeparator" w:id="1">
    <w:p w:rsidR="009F1B4F" w:rsidRDefault="009F1B4F" w:rsidP="00253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6A8"/>
    <w:rsid w:val="00052DB7"/>
    <w:rsid w:val="00064110"/>
    <w:rsid w:val="00081706"/>
    <w:rsid w:val="00087F90"/>
    <w:rsid w:val="000B0B08"/>
    <w:rsid w:val="00151664"/>
    <w:rsid w:val="001D24D9"/>
    <w:rsid w:val="001E30A9"/>
    <w:rsid w:val="002535F0"/>
    <w:rsid w:val="002E6686"/>
    <w:rsid w:val="003012B9"/>
    <w:rsid w:val="00333800"/>
    <w:rsid w:val="00340E0E"/>
    <w:rsid w:val="00426766"/>
    <w:rsid w:val="004877CD"/>
    <w:rsid w:val="004A674F"/>
    <w:rsid w:val="004E3C3A"/>
    <w:rsid w:val="0057485C"/>
    <w:rsid w:val="00647F3D"/>
    <w:rsid w:val="006F26A8"/>
    <w:rsid w:val="00751F95"/>
    <w:rsid w:val="0082017C"/>
    <w:rsid w:val="00854A00"/>
    <w:rsid w:val="008576DF"/>
    <w:rsid w:val="00970EA5"/>
    <w:rsid w:val="009F1B4F"/>
    <w:rsid w:val="00A140ED"/>
    <w:rsid w:val="00A91A45"/>
    <w:rsid w:val="00AD3411"/>
    <w:rsid w:val="00B024E9"/>
    <w:rsid w:val="00B02B74"/>
    <w:rsid w:val="00B440B2"/>
    <w:rsid w:val="00B446B1"/>
    <w:rsid w:val="00B5090C"/>
    <w:rsid w:val="00B7391D"/>
    <w:rsid w:val="00CF1DE5"/>
    <w:rsid w:val="00D71517"/>
    <w:rsid w:val="00D81753"/>
    <w:rsid w:val="00E43362"/>
    <w:rsid w:val="00EE62E5"/>
    <w:rsid w:val="00F06E49"/>
    <w:rsid w:val="00F22781"/>
    <w:rsid w:val="00F37931"/>
    <w:rsid w:val="00F8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5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35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3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943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907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656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9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519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94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083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0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79294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E4CE-1C04-4A30-AC6E-E3874293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dcterms:created xsi:type="dcterms:W3CDTF">2018-01-08T06:54:00Z</dcterms:created>
  <dcterms:modified xsi:type="dcterms:W3CDTF">2018-03-05T08:02:00Z</dcterms:modified>
</cp:coreProperties>
</file>