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附件5</w:t>
      </w:r>
    </w:p>
    <w:p>
      <w:pPr>
        <w:spacing w:line="580" w:lineRule="exact"/>
        <w:ind w:left="2140" w:leftChars="199" w:hanging="1742" w:hangingChars="396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工贸企业用电安全提醒</w:t>
      </w:r>
    </w:p>
    <w:bookmarkEnd w:id="0"/>
    <w:p>
      <w:pPr>
        <w:spacing w:line="500" w:lineRule="exact"/>
        <w:ind w:left="1352" w:leftChars="199" w:hanging="954" w:hangingChars="396"/>
        <w:jc w:val="center"/>
        <w:rPr>
          <w:rFonts w:ascii="Times New Roman" w:hAnsi="Times New Roman" w:eastAsia="宋体"/>
          <w:b/>
          <w:bCs/>
          <w:sz w:val="24"/>
        </w:rPr>
      </w:pP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1、营业生产结束时，应安全专人负责切断非必要电源；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2、夜间轮值的保安应每2小时对场所进行消防安全巡查，及时发现消除不安全消防隐患；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3、在日常生产过程中，若空气开关保护装置出现跳闸的情况，应安排电工排除故障后方可重新送电，空气开关保护装置每月至少试跳一次；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4、在线路连接中，严禁将铜导线和铝导线直接对接；严禁用铜线、铝线等代替保险丝，保险丝与空气开关的大小应与用电容量相匹配，否则容易造成触电或电气火灾；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5、务必保持用电场所的整洁、干燥；电器通电后发生冒烟、发出烧焦气味或着火时，应立即切断电源，切不可用水或泡沫灭火器灭火；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6、不要用湿手触摸开关、插座和用电器具，开关、插座或用电器具损坏或外壳破损时应及时修理或更换；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7、对无自动控制的电热器具用后要随手关闭电源，以免引发火灾；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8、禁止在车间、仓库内使用电热棒、电暖风、电磁炉等大功率用电设备；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9、场所内灯具应安装不燃材料的保护灯罩，安装的通风、散热风机上附着的可燃残留物应及时清理；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bCs/>
          <w:sz w:val="24"/>
        </w:rPr>
        <w:t>10、应熟悉自己生产现场电源总闸位置，一旦发生火灾等其他电气事故，应第一时间切断电源，避免造成更大的财产损失和人身伤亡事故；</w:t>
      </w:r>
    </w:p>
    <w:p>
      <w:pPr>
        <w:spacing w:line="500" w:lineRule="exact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bCs/>
          <w:sz w:val="24"/>
        </w:rPr>
        <w:t>11、电动车的停放及充电场所应独立设置，与其它部位采取防火隔墙分隔；严禁在</w:t>
      </w:r>
      <w:r>
        <w:rPr>
          <w:rFonts w:ascii="Times New Roman" w:hAnsi="Times New Roman" w:eastAsia="宋体"/>
          <w:color w:val="333333"/>
          <w:sz w:val="24"/>
        </w:rPr>
        <w:t>车间、仓库、</w:t>
      </w:r>
      <w:r>
        <w:rPr>
          <w:rFonts w:ascii="Times New Roman" w:hAnsi="Times New Roman" w:eastAsia="宋体"/>
          <w:sz w:val="24"/>
        </w:rPr>
        <w:t>楼梯间或门厅内</w:t>
      </w:r>
      <w:r>
        <w:rPr>
          <w:rFonts w:ascii="Times New Roman" w:hAnsi="Times New Roman" w:eastAsia="宋体"/>
          <w:color w:val="333333"/>
          <w:sz w:val="24"/>
        </w:rPr>
        <w:t>等区域违规停放电动车及充电，建议安装具备</w:t>
      </w:r>
      <w:r>
        <w:rPr>
          <w:rFonts w:ascii="Times New Roman" w:hAnsi="Times New Roman" w:eastAsia="宋体"/>
          <w:sz w:val="24"/>
        </w:rPr>
        <w:t>定时充电、自动断电等功能智能充电设施。</w:t>
      </w:r>
    </w:p>
    <w:p>
      <w:pPr>
        <w:spacing w:line="560" w:lineRule="exact"/>
        <w:ind w:firstLine="420" w:firstLineChars="200"/>
        <w:rPr>
          <w:rFonts w:ascii="Times New Roman" w:hAnsi="Times New Roman" w:eastAsia="宋体"/>
          <w:sz w:val="21"/>
          <w:szCs w:val="21"/>
        </w:rPr>
        <w:sectPr>
          <w:footerReference r:id="rId3" w:type="default"/>
          <w:footerReference r:id="rId4" w:type="even"/>
          <w:pgSz w:w="11907" w:h="16840"/>
          <w:pgMar w:top="1871" w:right="1531" w:bottom="1701" w:left="1531" w:header="851" w:footer="1418" w:gutter="0"/>
          <w:pgNumType w:fmt="numberInDash" w:start="1"/>
          <w:cols w:space="720" w:num="1"/>
          <w:docGrid w:type="line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napToGrid/>
      <w:ind w:left="200" w:leftChars="100" w:right="200" w:rightChars="100"/>
      <w:jc w:val="both"/>
      <w:rPr>
        <w:rStyle w:val="6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14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A7D0C"/>
    <w:rsid w:val="0A2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宋体"/>
      <w:kern w:val="2"/>
      <w:sz w:val="21"/>
      <w:szCs w:val="21"/>
      <w:lang w:val="en-US" w:eastAsia="zh-CN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"/>
    <w:basedOn w:val="1"/>
    <w:link w:val="4"/>
    <w:uiPriority w:val="0"/>
    <w:pPr>
      <w:spacing w:after="160" w:line="240" w:lineRule="exact"/>
      <w:ind w:firstLine="420" w:firstLineChars="200"/>
    </w:pPr>
    <w:rPr>
      <w:rFonts w:ascii="Times New Roman" w:hAnsi="Times New Roman" w:eastAsia="宋体"/>
      <w:kern w:val="2"/>
      <w:sz w:val="21"/>
      <w:szCs w:val="21"/>
      <w:lang w:val="en-US" w:eastAsia="zh-CN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2019-03-22T09:13:00Z</dcterms:created>
  <dc:creator>琼霞</dc:creator>
  <cp:lastModifiedBy>琼霞</cp:lastModifiedBy>
  <dcterms:modified xsi:type="dcterms:W3CDTF">2019-03-22T09:14:11Z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