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D9" w:rsidRPr="00D061D9" w:rsidRDefault="00D061D9" w:rsidP="00D061D9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  <w:r w:rsidRPr="00D061D9">
        <w:rPr>
          <w:rFonts w:ascii="黑体" w:eastAsia="黑体" w:hAnsi="黑体" w:hint="eastAsia"/>
          <w:sz w:val="28"/>
          <w:szCs w:val="28"/>
        </w:rPr>
        <w:t>附件</w:t>
      </w:r>
      <w:r w:rsidR="00BD7E4F">
        <w:rPr>
          <w:rFonts w:ascii="黑体" w:eastAsia="黑体" w:hAnsi="黑体" w:hint="eastAsia"/>
          <w:sz w:val="28"/>
          <w:szCs w:val="28"/>
        </w:rPr>
        <w:t>2</w:t>
      </w:r>
      <w:r w:rsidRPr="00D061D9">
        <w:rPr>
          <w:rFonts w:ascii="黑体" w:eastAsia="黑体" w:hAnsi="黑体" w:hint="eastAsia"/>
          <w:sz w:val="28"/>
          <w:szCs w:val="28"/>
        </w:rPr>
        <w:t>:</w:t>
      </w:r>
    </w:p>
    <w:p w:rsidR="00BD7E4F" w:rsidRDefault="00BD7E4F" w:rsidP="00B43AA9">
      <w:pPr>
        <w:snapToGrid w:val="0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BD7E4F">
        <w:rPr>
          <w:rFonts w:ascii="方正小标宋简体" w:eastAsia="方正小标宋简体" w:hAnsi="宋体" w:cs="宋体" w:hint="eastAsia"/>
          <w:sz w:val="44"/>
          <w:szCs w:val="44"/>
        </w:rPr>
        <w:t>工作行动任务分解表</w:t>
      </w:r>
    </w:p>
    <w:p w:rsidR="00B43AA9" w:rsidRPr="00BD7E4F" w:rsidRDefault="00B43AA9" w:rsidP="00B43AA9">
      <w:pPr>
        <w:snapToGrid w:val="0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Style w:val="a6"/>
        <w:tblW w:w="0" w:type="auto"/>
        <w:jc w:val="center"/>
        <w:tblLayout w:type="fixed"/>
        <w:tblLook w:val="0000"/>
      </w:tblPr>
      <w:tblGrid>
        <w:gridCol w:w="961"/>
        <w:gridCol w:w="2840"/>
        <w:gridCol w:w="7440"/>
        <w:gridCol w:w="2525"/>
      </w:tblGrid>
      <w:tr w:rsidR="00BD7E4F" w:rsidTr="00CE1727">
        <w:trPr>
          <w:jc w:val="center"/>
        </w:trPr>
        <w:tc>
          <w:tcPr>
            <w:tcW w:w="961" w:type="dxa"/>
            <w:vAlign w:val="center"/>
          </w:tcPr>
          <w:p w:rsidR="00BD7E4F" w:rsidRDefault="00BD7E4F" w:rsidP="00CE1727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840" w:type="dxa"/>
            <w:vAlign w:val="center"/>
          </w:tcPr>
          <w:p w:rsidR="00BD7E4F" w:rsidRDefault="00BD7E4F" w:rsidP="00CE1727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任务计划</w:t>
            </w:r>
          </w:p>
        </w:tc>
        <w:tc>
          <w:tcPr>
            <w:tcW w:w="7440" w:type="dxa"/>
            <w:vAlign w:val="center"/>
          </w:tcPr>
          <w:p w:rsidR="00BD7E4F" w:rsidRDefault="00BD7E4F" w:rsidP="00CE1727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具体要求</w:t>
            </w:r>
          </w:p>
        </w:tc>
        <w:tc>
          <w:tcPr>
            <w:tcW w:w="2525" w:type="dxa"/>
            <w:vAlign w:val="center"/>
          </w:tcPr>
          <w:p w:rsidR="00BD7E4F" w:rsidRDefault="00BD7E4F" w:rsidP="00CE1727">
            <w:pPr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时限要求</w:t>
            </w:r>
          </w:p>
        </w:tc>
      </w:tr>
      <w:tr w:rsidR="00BD7E4F" w:rsidRPr="000F2032" w:rsidTr="00CE1727">
        <w:trPr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镇教育办牵头校园及周边道路交通环境提升行动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加强和规范校车管理，指导各村（居）逐年排查县道及以上公路沿线校园及周边道路安全隐患，并按照“一校一策”，制定并落实标志标线完善、交通乱象整治、上下学高峰期交通组织等交通环境提升行动方案。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按照相应行动方案的要求和时限开展相关工作</w:t>
            </w:r>
          </w:p>
        </w:tc>
      </w:tr>
      <w:tr w:rsidR="00BD7E4F" w:rsidRPr="000F2032" w:rsidTr="00CE1727">
        <w:trPr>
          <w:trHeight w:val="1684"/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镇派出所牵头开展交通文明安全意识提升行动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定期分析研判交通形势，紧盯重点人、车、路和重点违法，加强路面管控，严查严重交通违法。加强警示宣传教育，积极策划和组织文明交通系列宣传报道，推广微博、微信和手机客户端等新媒体作用，组织开展文明交通宣传作品评选活动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长期工作，定期开展</w:t>
            </w:r>
          </w:p>
        </w:tc>
      </w:tr>
      <w:tr w:rsidR="00BD7E4F" w:rsidRPr="000F2032" w:rsidTr="00DC3F7B">
        <w:trPr>
          <w:trHeight w:val="2106"/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镇司法所牵头开展道路交通安全普法行动</w:t>
            </w:r>
          </w:p>
        </w:tc>
        <w:tc>
          <w:tcPr>
            <w:tcW w:w="7440" w:type="dxa"/>
            <w:vAlign w:val="center"/>
          </w:tcPr>
          <w:p w:rsidR="00DC3F7B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深入开展道路交通安全法律法规“六进”活动，让法制观念深入人心，定期到各村（居）开展法制宣传教育，加大对道路交通亡人事故上升的村（居）宣传力度，在全社会营造遵纪守法的良好氛围。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根据各乡镇交通事故情况，逐年制定方案开展宣传活动</w:t>
            </w:r>
          </w:p>
        </w:tc>
      </w:tr>
      <w:tr w:rsidR="00BD7E4F" w:rsidRPr="000F2032" w:rsidTr="00CE1727">
        <w:trPr>
          <w:trHeight w:val="1793"/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镇村镇办负责源头管理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抓好办理施工许可的房屋建筑和各相关项目的渣土车运输源头管理。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长期工作</w:t>
            </w:r>
          </w:p>
        </w:tc>
      </w:tr>
      <w:tr w:rsidR="00BD7E4F" w:rsidRPr="000F2032" w:rsidTr="00CE1727">
        <w:trPr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2840" w:type="dxa"/>
            <w:vAlign w:val="center"/>
          </w:tcPr>
          <w:p w:rsidR="00BD7E4F" w:rsidRPr="000F2032" w:rsidRDefault="00CC37FC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镇路长办、道安办</w:t>
            </w:r>
            <w:r w:rsidR="00BD7E4F" w:rsidRPr="000F2032">
              <w:rPr>
                <w:rFonts w:ascii="仿宋_GB2312" w:eastAsia="仿宋_GB2312" w:hint="eastAsia"/>
                <w:sz w:val="24"/>
              </w:rPr>
              <w:t>牵头开展道路运输安全提升行动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依托省级卫星定位公共服务平台，落实道路运输车辆动态监督管理和定期考核制度，规范违规和异常数据的发现、反馈、处置等闭环流程。加大打击非法营运工作力度。持续开展公路隐患治理，加强日常监管和审核验收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长期工作，定期开展</w:t>
            </w:r>
          </w:p>
        </w:tc>
      </w:tr>
      <w:tr w:rsidR="00BD7E4F" w:rsidRPr="000F2032" w:rsidTr="00CE1727">
        <w:trPr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镇农业服务中心牵头开展“平安农机”示范创建行动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持续开展“平安农机”示范创建活动，指导、督促各村（居）“平安农机”示范村（居）创建。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每年重点创建1个示范乡镇</w:t>
            </w:r>
          </w:p>
        </w:tc>
      </w:tr>
      <w:tr w:rsidR="00BD7E4F" w:rsidRPr="000F2032" w:rsidTr="00CE1727">
        <w:trPr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镇文体站牵头开展旅行社租赁旅游包车治理行动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加强旅行社购买交通服务环节的管理，加大旅游交通安全宣传和教育培训，督促其租赁有资质旅游车辆，为游客提供有效安全保障。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长期工作，定期开展</w:t>
            </w:r>
          </w:p>
        </w:tc>
      </w:tr>
      <w:tr w:rsidR="00BD7E4F" w:rsidRPr="000F2032" w:rsidTr="00CE1727">
        <w:trPr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镇安办牵头开展应急救援提升行动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指导各村（居）开展应急演练和应急处置工作，督促修订完善各类应急预案，提高应急处置应对能力和水平。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32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每年组织开展不少于1次重特大交通应急处置预案综合演练</w:t>
            </w:r>
          </w:p>
        </w:tc>
      </w:tr>
      <w:tr w:rsidR="00BD7E4F" w:rsidRPr="000F2032" w:rsidTr="00CE1727">
        <w:trPr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镇市监所牵头开展车辆经营销售领域监管行动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2019年以电动自行车为重点、2020年以低速电动车为重点、2021年以机动车为重点，部署开展销售领域专项整治行动，严厉打击销售非法改装、拼装以及不符合国家标准等违法违规行为。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根据重点，逐年制定方案开展专项整治</w:t>
            </w:r>
          </w:p>
        </w:tc>
      </w:tr>
      <w:tr w:rsidR="00BD7E4F" w:rsidRPr="000F2032" w:rsidTr="00CE1727">
        <w:trPr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镇村镇办开展渣土车综合监管行动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深化渣土车综合管理，推广使用符合泉州市渣土车专用技术标准的新型车辆，建立泉州市新型渣土车推荐目录，进一步加强渣土车管控平台的监督管理和指导，并定期开展摆摊设点、占道经营、违规安装广告牌匾等影响交通行为专项整治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2019底前制定推广方案，并建立推荐目录，专项整治每月开展不少于2次。</w:t>
            </w:r>
          </w:p>
        </w:tc>
      </w:tr>
      <w:tr w:rsidR="00BD7E4F" w:rsidRPr="000F2032" w:rsidTr="00821BCE">
        <w:trPr>
          <w:trHeight w:val="939"/>
          <w:jc w:val="center"/>
        </w:trPr>
        <w:tc>
          <w:tcPr>
            <w:tcW w:w="961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1</w:t>
            </w:r>
            <w:r w:rsidR="009E2577" w:rsidRPr="000F20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镇广电站牵头开展交通违法行为曝光行动</w:t>
            </w:r>
          </w:p>
        </w:tc>
        <w:tc>
          <w:tcPr>
            <w:tcW w:w="7440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加强道路交通违法行为、不文明行为曝光力度，配合有关部门随队采访治超、严查酒驾醉驾、渣土车等路面执法行动，在镇级宣传开辟曝光专栏。</w:t>
            </w:r>
          </w:p>
        </w:tc>
        <w:tc>
          <w:tcPr>
            <w:tcW w:w="2525" w:type="dxa"/>
            <w:vAlign w:val="center"/>
          </w:tcPr>
          <w:p w:rsidR="00BD7E4F" w:rsidRPr="000F2032" w:rsidRDefault="00BD7E4F" w:rsidP="000F2032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0F2032">
              <w:rPr>
                <w:rFonts w:ascii="仿宋_GB2312" w:eastAsia="仿宋_GB2312" w:hint="eastAsia"/>
                <w:sz w:val="24"/>
              </w:rPr>
              <w:t>长期工作，每星期媒体上曝光不少于2次</w:t>
            </w:r>
          </w:p>
        </w:tc>
      </w:tr>
    </w:tbl>
    <w:p w:rsidR="007558B7" w:rsidRPr="00BD7E4F" w:rsidRDefault="007558B7" w:rsidP="00BD7E4F">
      <w:pPr>
        <w:adjustRightInd w:val="0"/>
        <w:snapToGrid w:val="0"/>
        <w:spacing w:line="580" w:lineRule="exact"/>
        <w:jc w:val="center"/>
      </w:pPr>
    </w:p>
    <w:sectPr w:rsidR="007558B7" w:rsidRPr="00BD7E4F" w:rsidSect="00D061D9">
      <w:pgSz w:w="16838" w:h="11906" w:orient="landscape"/>
      <w:pgMar w:top="1134" w:right="1418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F7" w:rsidRDefault="006977F7" w:rsidP="00CC37FC">
      <w:r>
        <w:separator/>
      </w:r>
    </w:p>
  </w:endnote>
  <w:endnote w:type="continuationSeparator" w:id="1">
    <w:p w:rsidR="006977F7" w:rsidRDefault="006977F7" w:rsidP="00CC3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F7" w:rsidRDefault="006977F7" w:rsidP="00CC37FC">
      <w:r>
        <w:separator/>
      </w:r>
    </w:p>
  </w:footnote>
  <w:footnote w:type="continuationSeparator" w:id="1">
    <w:p w:rsidR="006977F7" w:rsidRDefault="006977F7" w:rsidP="00CC3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D9"/>
    <w:rsid w:val="00045BB6"/>
    <w:rsid w:val="00080361"/>
    <w:rsid w:val="000F2032"/>
    <w:rsid w:val="00155AED"/>
    <w:rsid w:val="001D6E40"/>
    <w:rsid w:val="001F5EDB"/>
    <w:rsid w:val="00253958"/>
    <w:rsid w:val="002866FA"/>
    <w:rsid w:val="003511C0"/>
    <w:rsid w:val="0036205F"/>
    <w:rsid w:val="003A4B37"/>
    <w:rsid w:val="003A5518"/>
    <w:rsid w:val="00501E6A"/>
    <w:rsid w:val="0051198A"/>
    <w:rsid w:val="006977F7"/>
    <w:rsid w:val="007558B7"/>
    <w:rsid w:val="00794CAF"/>
    <w:rsid w:val="007F210F"/>
    <w:rsid w:val="00821BCE"/>
    <w:rsid w:val="008E1F3B"/>
    <w:rsid w:val="009218E1"/>
    <w:rsid w:val="009560FD"/>
    <w:rsid w:val="00986C14"/>
    <w:rsid w:val="009D79A9"/>
    <w:rsid w:val="009E2577"/>
    <w:rsid w:val="00AA3BD9"/>
    <w:rsid w:val="00AF3A8C"/>
    <w:rsid w:val="00B43AA9"/>
    <w:rsid w:val="00BB04F3"/>
    <w:rsid w:val="00BD7E4F"/>
    <w:rsid w:val="00BF5B79"/>
    <w:rsid w:val="00C6534A"/>
    <w:rsid w:val="00CC37FC"/>
    <w:rsid w:val="00CC5FD4"/>
    <w:rsid w:val="00CF53CB"/>
    <w:rsid w:val="00D061D9"/>
    <w:rsid w:val="00DC3F7B"/>
    <w:rsid w:val="00E46F72"/>
    <w:rsid w:val="00E72EE1"/>
    <w:rsid w:val="00F028F0"/>
    <w:rsid w:val="00F11970"/>
    <w:rsid w:val="00F16EC9"/>
    <w:rsid w:val="00F6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560FD"/>
    <w:pPr>
      <w:keepNext/>
      <w:keepLines/>
      <w:spacing w:line="700" w:lineRule="exact"/>
      <w:jc w:val="center"/>
      <w:outlineLvl w:val="0"/>
    </w:pPr>
    <w:rPr>
      <w:rFonts w:eastAsia="方正小标宋简体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60FD"/>
    <w:pPr>
      <w:keepNext/>
      <w:keepLines/>
      <w:spacing w:before="260" w:after="260" w:line="416" w:lineRule="atLeast"/>
      <w:ind w:firstLineChars="200" w:firstLine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60FD"/>
    <w:pPr>
      <w:keepNext/>
      <w:keepLines/>
      <w:spacing w:before="260" w:after="260" w:line="416" w:lineRule="atLeast"/>
      <w:ind w:firstLineChars="200" w:firstLine="200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60FD"/>
    <w:pPr>
      <w:keepNext/>
      <w:keepLines/>
      <w:spacing w:before="280" w:after="290" w:line="376" w:lineRule="atLeast"/>
      <w:ind w:firstLineChars="200" w:firstLine="20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560FD"/>
    <w:pPr>
      <w:keepNext/>
      <w:keepLines/>
      <w:spacing w:before="280" w:after="290" w:line="376" w:lineRule="atLeast"/>
      <w:ind w:firstLineChars="200" w:firstLine="200"/>
      <w:jc w:val="left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6"/>
    </w:pPr>
    <w:rPr>
      <w:rFonts w:asciiTheme="minorHAnsi" w:eastAsiaTheme="minorEastAsia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60FD"/>
    <w:pPr>
      <w:keepNext/>
      <w:keepLines/>
      <w:spacing w:before="240" w:after="64" w:line="320" w:lineRule="atLeast"/>
      <w:ind w:firstLineChars="200" w:firstLine="200"/>
      <w:jc w:val="left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560FD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560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560FD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560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560FD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9560F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9560FD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9560FD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9560FD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9560FD"/>
    <w:pPr>
      <w:spacing w:line="700" w:lineRule="exact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9560FD"/>
    <w:rPr>
      <w:rFonts w:ascii="Times New Roman" w:eastAsia="方正小标宋简体" w:hAnsi="Times New Roman" w:cstheme="majorBidi"/>
      <w:bCs/>
      <w:sz w:val="44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9560FD"/>
    <w:pPr>
      <w:spacing w:before="240" w:after="60" w:line="312" w:lineRule="atLeast"/>
      <w:ind w:firstLineChars="200" w:firstLine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9560F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9560FD"/>
    <w:rPr>
      <w:i/>
      <w:iCs/>
      <w:color w:val="808080" w:themeColor="text1" w:themeTint="7F"/>
    </w:rPr>
  </w:style>
  <w:style w:type="table" w:styleId="a6">
    <w:name w:val="Table Grid"/>
    <w:basedOn w:val="a1"/>
    <w:rsid w:val="00D061D9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CC3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CC37F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CC3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CC37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24</cp:revision>
  <cp:lastPrinted>2019-07-12T00:40:00Z</cp:lastPrinted>
  <dcterms:created xsi:type="dcterms:W3CDTF">2019-07-12T00:40:00Z</dcterms:created>
  <dcterms:modified xsi:type="dcterms:W3CDTF">2019-07-15T03:02:00Z</dcterms:modified>
</cp:coreProperties>
</file>