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仑苍镇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highlight w:val="none"/>
          <w:u w:val="none"/>
        </w:rPr>
        <w:t>安全生产标准化提升专项行动固本强基进展情况月报表（二）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00" w:lineRule="exact"/>
        <w:ind w:left="0" w:leftChars="-233" w:right="-466" w:rightChars="-222" w:hanging="489" w:hangingChars="204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Cs w:val="24"/>
          <w:highlight w:val="none"/>
          <w:u w:val="none"/>
        </w:rPr>
      </w:pPr>
      <w:r>
        <w:rPr>
          <w:rFonts w:hint="default" w:ascii="Times New Roman" w:hAnsi="Times New Roman" w:eastAsia="仿宋" w:cs="Times New Roman"/>
          <w:color w:val="auto"/>
          <w:kern w:val="2"/>
          <w:highlight w:val="none"/>
          <w:u w:val="none"/>
        </w:rPr>
        <w:t>填报单位（盖章）：                               填表人：              联系电话：                       年    月    日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42"/>
        <w:gridCol w:w="542"/>
        <w:gridCol w:w="542"/>
        <w:gridCol w:w="542"/>
        <w:gridCol w:w="436"/>
        <w:gridCol w:w="450"/>
        <w:gridCol w:w="545"/>
        <w:gridCol w:w="518"/>
        <w:gridCol w:w="505"/>
        <w:gridCol w:w="477"/>
        <w:gridCol w:w="464"/>
        <w:gridCol w:w="449"/>
        <w:gridCol w:w="385"/>
        <w:gridCol w:w="385"/>
        <w:gridCol w:w="385"/>
        <w:gridCol w:w="385"/>
        <w:gridCol w:w="385"/>
        <w:gridCol w:w="524"/>
        <w:gridCol w:w="432"/>
        <w:gridCol w:w="433"/>
        <w:gridCol w:w="368"/>
        <w:gridCol w:w="381"/>
        <w:gridCol w:w="410"/>
        <w:gridCol w:w="437"/>
        <w:gridCol w:w="462"/>
        <w:gridCol w:w="354"/>
        <w:gridCol w:w="396"/>
        <w:gridCol w:w="463"/>
        <w:gridCol w:w="408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填报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单位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类型</w:t>
            </w:r>
          </w:p>
        </w:tc>
        <w:tc>
          <w:tcPr>
            <w:tcW w:w="2168" w:type="dxa"/>
            <w:gridSpan w:val="4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企业优化完善“四项规范”（份）</w:t>
            </w:r>
          </w:p>
        </w:tc>
        <w:tc>
          <w:tcPr>
            <w:tcW w:w="4614" w:type="dxa"/>
            <w:gridSpan w:val="10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落实“一企一策”数量</w:t>
            </w:r>
          </w:p>
        </w:tc>
        <w:tc>
          <w:tcPr>
            <w:tcW w:w="6606" w:type="dxa"/>
            <w:gridSpan w:val="1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执法激励约束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8" w:type="dxa"/>
            <w:gridSpan w:val="4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健全三张清单</w:t>
            </w:r>
          </w:p>
        </w:tc>
        <w:tc>
          <w:tcPr>
            <w:tcW w:w="2413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四色安全风险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分级动态监管</w:t>
            </w:r>
          </w:p>
        </w:tc>
        <w:tc>
          <w:tcPr>
            <w:tcW w:w="38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强化5S现场管理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︵家︶</w:t>
            </w:r>
          </w:p>
        </w:tc>
        <w:tc>
          <w:tcPr>
            <w:tcW w:w="38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完善六有可视化警示标识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︵家︶</w:t>
            </w:r>
          </w:p>
        </w:tc>
        <w:tc>
          <w:tcPr>
            <w:tcW w:w="38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17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检查企业︵家次︶</w:t>
            </w:r>
          </w:p>
        </w:tc>
        <w:tc>
          <w:tcPr>
            <w:tcW w:w="38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发现隐患︵条︶</w:t>
            </w:r>
          </w:p>
        </w:tc>
        <w:tc>
          <w:tcPr>
            <w:tcW w:w="38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督促整改隐患︵条︶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重大隐患挂牌督办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罚款</w:t>
            </w:r>
          </w:p>
        </w:tc>
        <w:tc>
          <w:tcPr>
            <w:tcW w:w="41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责令停产停业整顿︵家次︶</w:t>
            </w:r>
          </w:p>
        </w:tc>
        <w:tc>
          <w:tcPr>
            <w:tcW w:w="43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3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暂扣或吊销证照企业︵家次︶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取缔关闭企业︵家次︶</w:t>
            </w:r>
          </w:p>
        </w:tc>
        <w:tc>
          <w:tcPr>
            <w:tcW w:w="35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移送司法机关︵人次︶</w:t>
            </w:r>
          </w:p>
        </w:tc>
        <w:tc>
          <w:tcPr>
            <w:tcW w:w="396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曝光典型案例企业︵家次︶</w:t>
            </w:r>
          </w:p>
        </w:tc>
        <w:tc>
          <w:tcPr>
            <w:tcW w:w="46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约谈警示企业︵家次︶</w:t>
            </w:r>
          </w:p>
        </w:tc>
        <w:tc>
          <w:tcPr>
            <w:tcW w:w="408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激励单位︵家次︶</w:t>
            </w:r>
          </w:p>
        </w:tc>
        <w:tc>
          <w:tcPr>
            <w:tcW w:w="38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约束单位︵家次︶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安全检查清单︵份︶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安全风险管控导则︵份︶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达标细则︵份︶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提升指南︵份︶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企业数量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︵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︶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自查隐患数量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︵条︶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整改隐患数量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︵条︶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企业数量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︵家︶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红色风险企业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︵家︶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橙色风险企业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︵家︶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黄色风险企业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︵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︶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蓝色风险企业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︵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  <w:u w:val="none"/>
              </w:rPr>
              <w:t>︶</w:t>
            </w:r>
          </w:p>
        </w:tc>
        <w:tc>
          <w:tcPr>
            <w:tcW w:w="38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企业数︵家次︶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隐患数︵条︶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整改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数︵条︶</w:t>
            </w:r>
          </w:p>
        </w:tc>
        <w:tc>
          <w:tcPr>
            <w:tcW w:w="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企业数︵家次︶</w:t>
            </w:r>
          </w:p>
        </w:tc>
        <w:tc>
          <w:tcPr>
            <w:tcW w:w="3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金额︵万元︶</w:t>
            </w:r>
          </w:p>
        </w:tc>
        <w:tc>
          <w:tcPr>
            <w:tcW w:w="41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6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3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-2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镇直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单位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村（社区）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300" w:lineRule="exact"/>
        <w:ind w:left="359" w:leftChars="171" w:right="349" w:rightChars="166" w:firstLine="482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highlight w:val="none"/>
          <w:u w:val="none"/>
          <w:lang w:eastAsia="zh-CN"/>
        </w:rPr>
        <w:sectPr>
          <w:pgSz w:w="16838" w:h="11906" w:orient="landscape"/>
          <w:pgMar w:top="1134" w:right="1134" w:bottom="851" w:left="1134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仿宋" w:cs="Times New Roman"/>
          <w:b/>
          <w:color w:val="auto"/>
          <w:sz w:val="24"/>
          <w:highlight w:val="none"/>
          <w:u w:val="none"/>
        </w:rPr>
        <w:t>注：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</w:rPr>
        <w:t>1.各填报单位按照各自所属的单位类型进行填报；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</w:rPr>
        <w:t>.各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eastAsia="zh-CN"/>
        </w:rPr>
        <w:t>村（社区）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</w:rPr>
        <w:t>填报的数据应包含本辖区各行业领域的数据；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</w:rPr>
        <w:t>.落实“一企一策”数量一栏当中除自查隐患数量以及整改隐患数量外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</w:rPr>
        <w:t>各项数据从2021年8月份开始累计填报；落实“一企一策”数量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eastAsia="zh-CN"/>
        </w:rPr>
        <w:t>一栏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</w:rPr>
        <w:t>中自查隐患数量以及整改隐患数量、企业优化完善“四项规范”、执法激励约束等数据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eastAsia="zh-CN"/>
        </w:rPr>
        <w:t>填报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</w:rPr>
        <w:t>2024年1月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eastAsia="zh-CN"/>
        </w:rPr>
        <w:t>以来累计数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</w:rPr>
        <w:t xml:space="preserve">；4. 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</w:rPr>
        <w:t>四色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</w:rPr>
        <w:t>安全风险分级动态监管指的是对企业安全生产状况进行整体评估，按照“红、橙、黄、蓝”确定企业整体安全风险等级；5.表格不应有空白处，若无则应填写0；6.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eastAsia="zh-CN"/>
        </w:rPr>
        <w:t>每月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eastAsia="zh-CN"/>
        </w:rPr>
        <w:t>日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</w:rPr>
        <w:t>前上报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  <w:lang w:eastAsia="zh-CN"/>
        </w:rPr>
        <w:t>本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u w:val="none"/>
        </w:rPr>
        <w:t>月固本强基进展情况</w:t>
      </w:r>
      <w:r>
        <w:rPr>
          <w:rFonts w:hint="eastAsia" w:eastAsia="仿宋" w:cs="Times New Roman"/>
          <w:color w:val="auto"/>
          <w:sz w:val="24"/>
          <w:highlight w:val="none"/>
          <w:u w:val="none"/>
          <w:lang w:eastAsia="zh-CN"/>
        </w:rPr>
        <w:t>。</w:t>
      </w:r>
      <w:bookmarkStart w:id="0" w:name="_GoBack"/>
      <w:bookmarkEnd w:id="0"/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WVlZjM0NTQ2ZWJkZDBkN2U0MzQ2YmIxYWYwMTEifQ=="/>
  </w:docVars>
  <w:rsids>
    <w:rsidRoot w:val="05E84809"/>
    <w:rsid w:val="05E84809"/>
    <w:rsid w:val="34957054"/>
    <w:rsid w:val="427F3327"/>
    <w:rsid w:val="71B82AA1"/>
    <w:rsid w:val="7C7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rFonts w:ascii="Calibri" w:hAnsi="Calibri" w:cs="Calibri"/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Calibri" w:hAnsi="Calibri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2024-02-27T08:45:00Z</dcterms:created>
  <dc:creator>海洋</dc:creator>
  <cp:lastModifiedBy>海洋</cp:lastModifiedBy>
  <dcterms:modified xsi:type="dcterms:W3CDTF">2024-02-27T08:49:15Z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1895BF0BDF944F4B9B945A45698035DB_13</vt:lpwstr>
  </property>
</Properties>
</file>