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仑苍镇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44"/>
          <w:szCs w:val="44"/>
          <w:highlight w:val="none"/>
          <w:u w:val="none"/>
        </w:rPr>
        <w:t>安全生产标准化提升专项行动固本强基进展情况月报表（二）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00" w:lineRule="exact"/>
        <w:ind w:left="0" w:leftChars="-233" w:right="-466" w:rightChars="-222" w:hanging="489" w:hangingChars="204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2"/>
          <w:szCs w:val="24"/>
          <w:highlight w:val="none"/>
          <w:u w:val="none"/>
        </w:rPr>
      </w:pPr>
      <w:r>
        <w:rPr>
          <w:rFonts w:hint="default" w:ascii="Times New Roman" w:hAnsi="Times New Roman" w:eastAsia="仿宋" w:cs="Times New Roman"/>
          <w:color w:val="auto"/>
          <w:kern w:val="2"/>
          <w:highlight w:val="none"/>
          <w:u w:val="none"/>
        </w:rPr>
        <w:t>填报单位（盖章）：                               填表人：              联系电话：                       年    月    日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542"/>
        <w:gridCol w:w="542"/>
        <w:gridCol w:w="542"/>
        <w:gridCol w:w="542"/>
        <w:gridCol w:w="436"/>
        <w:gridCol w:w="450"/>
        <w:gridCol w:w="545"/>
        <w:gridCol w:w="518"/>
        <w:gridCol w:w="505"/>
        <w:gridCol w:w="477"/>
        <w:gridCol w:w="464"/>
        <w:gridCol w:w="449"/>
        <w:gridCol w:w="385"/>
        <w:gridCol w:w="385"/>
        <w:gridCol w:w="385"/>
        <w:gridCol w:w="385"/>
        <w:gridCol w:w="385"/>
        <w:gridCol w:w="524"/>
        <w:gridCol w:w="432"/>
        <w:gridCol w:w="433"/>
        <w:gridCol w:w="368"/>
        <w:gridCol w:w="381"/>
        <w:gridCol w:w="410"/>
        <w:gridCol w:w="437"/>
        <w:gridCol w:w="462"/>
        <w:gridCol w:w="354"/>
        <w:gridCol w:w="396"/>
        <w:gridCol w:w="463"/>
        <w:gridCol w:w="408"/>
        <w:gridCol w:w="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填报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类型</w:t>
            </w:r>
          </w:p>
        </w:tc>
        <w:tc>
          <w:tcPr>
            <w:tcW w:w="2168" w:type="dxa"/>
            <w:gridSpan w:val="4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企业优化完善“四项规范”（份）</w:t>
            </w:r>
          </w:p>
        </w:tc>
        <w:tc>
          <w:tcPr>
            <w:tcW w:w="4614" w:type="dxa"/>
            <w:gridSpan w:val="10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落实“一企一策”数量</w:t>
            </w:r>
          </w:p>
        </w:tc>
        <w:tc>
          <w:tcPr>
            <w:tcW w:w="6606" w:type="dxa"/>
            <w:gridSpan w:val="1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执法激励约束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68" w:type="dxa"/>
            <w:gridSpan w:val="4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健全三张清单</w:t>
            </w:r>
          </w:p>
        </w:tc>
        <w:tc>
          <w:tcPr>
            <w:tcW w:w="2413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四色安全风险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分级动态监管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强化5S现场管理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完善六有可视化警示标识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17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检查企业︵家次︶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发现隐患︵条︶</w:t>
            </w:r>
          </w:p>
        </w:tc>
        <w:tc>
          <w:tcPr>
            <w:tcW w:w="385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督促整改隐患︵条︶</w:t>
            </w: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重大隐患挂牌督办</w:t>
            </w: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罚款</w:t>
            </w:r>
          </w:p>
        </w:tc>
        <w:tc>
          <w:tcPr>
            <w:tcW w:w="41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责令停产停业整顿︵家次︶</w:t>
            </w:r>
          </w:p>
        </w:tc>
        <w:tc>
          <w:tcPr>
            <w:tcW w:w="43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3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暂扣或吊销证照企业︵家次︶</w:t>
            </w:r>
          </w:p>
        </w:tc>
        <w:tc>
          <w:tcPr>
            <w:tcW w:w="46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取缔关闭企业︵家次︶</w:t>
            </w:r>
          </w:p>
        </w:tc>
        <w:tc>
          <w:tcPr>
            <w:tcW w:w="354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移送司法机关︵人次︶</w:t>
            </w:r>
          </w:p>
        </w:tc>
        <w:tc>
          <w:tcPr>
            <w:tcW w:w="396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曝光典型案例企业︵家次︶</w:t>
            </w:r>
          </w:p>
        </w:tc>
        <w:tc>
          <w:tcPr>
            <w:tcW w:w="46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约谈警示企业︵家次︶</w:t>
            </w:r>
          </w:p>
        </w:tc>
        <w:tc>
          <w:tcPr>
            <w:tcW w:w="408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激励单位︵家次︶</w:t>
            </w:r>
          </w:p>
        </w:tc>
        <w:tc>
          <w:tcPr>
            <w:tcW w:w="38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约束单位︵家次︶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jc w:val="distribute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安全检查清单︵份︶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安全风险管控导则︵份︶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达标细则︵份︶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提升指南︵份︶</w:t>
            </w:r>
          </w:p>
        </w:tc>
        <w:tc>
          <w:tcPr>
            <w:tcW w:w="4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︶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自查隐患数量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︵条︶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整改隐患数量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︵条︶</w:t>
            </w:r>
          </w:p>
        </w:tc>
        <w:tc>
          <w:tcPr>
            <w:tcW w:w="5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企业数量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红色风险企业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橙色风险企业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︵家︶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黄色风险企业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︶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蓝色风险企业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︵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highlight w:val="none"/>
                <w:u w:val="none"/>
              </w:rPr>
              <w:t>︶</w:t>
            </w: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5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企业数︵家次︶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隐患数︵条︶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整改</w:t>
            </w: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数︵条︶</w:t>
            </w:r>
          </w:p>
        </w:tc>
        <w:tc>
          <w:tcPr>
            <w:tcW w:w="36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企业数︵家次︶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sz w:val="24"/>
                <w:szCs w:val="24"/>
                <w:highlight w:val="none"/>
                <w:u w:val="none"/>
              </w:rPr>
              <w:t>金额︵万元︶</w:t>
            </w:r>
          </w:p>
        </w:tc>
        <w:tc>
          <w:tcPr>
            <w:tcW w:w="41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54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96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6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8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8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-2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9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镇直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</w:rPr>
              <w:t>单位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9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村（社区）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6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40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 w:val="0"/>
        <w:snapToGrid w:val="0"/>
        <w:spacing w:line="300" w:lineRule="exact"/>
        <w:ind w:left="359" w:leftChars="171" w:right="349" w:rightChars="166" w:firstLine="482" w:firstLineChars="200"/>
        <w:textAlignment w:val="auto"/>
        <w:rPr>
          <w:rFonts w:hint="eastAsia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sectPr>
          <w:pgSz w:w="16838" w:h="11906" w:orient="landscape"/>
          <w:pgMar w:top="1134" w:right="1134" w:bottom="851" w:left="1134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default" w:ascii="Times New Roman" w:hAnsi="Times New Roman" w:eastAsia="仿宋" w:cs="Times New Roman"/>
          <w:b/>
          <w:color w:val="auto"/>
          <w:sz w:val="24"/>
          <w:highlight w:val="none"/>
          <w:u w:val="none"/>
        </w:rPr>
        <w:t>注：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1.各填报单位按照各自所属的单位类型进行填报；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.各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村（社区）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填报的数据应包含本辖区各行业领域的数据；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.落实“一企一策”数量一栏当中除自查隐患数量以及整改隐患数量外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各项数据从2021年8月份开始累计填报；落实“一企一策”数量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一栏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中自查隐患数量以及整改隐患数量、企业优化完善“四项规范”、执法激励约束等数据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填报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2024年1月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以来累计数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 xml:space="preserve">；4. 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四色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安全风险分级动态监管指的是对企业安全生产状况进行整体评估，按照“红、橙、黄、蓝”确定企业整体安全风险等级；5.表格不应有空白处，若无则应填写0；6.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每月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val="en-US" w:eastAsia="zh-CN"/>
        </w:rPr>
        <w:t>28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前上报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  <w:lang w:eastAsia="zh-CN"/>
        </w:rPr>
        <w:t>本</w:t>
      </w:r>
      <w:r>
        <w:rPr>
          <w:rFonts w:hint="default" w:ascii="Times New Roman" w:hAnsi="Times New Roman" w:eastAsia="仿宋" w:cs="Times New Roman"/>
          <w:color w:val="auto"/>
          <w:sz w:val="24"/>
          <w:highlight w:val="none"/>
          <w:u w:val="none"/>
        </w:rPr>
        <w:t>月固本强基进展情况</w:t>
      </w:r>
      <w:r>
        <w:rPr>
          <w:rFonts w:hint="eastAsia" w:eastAsia="仿宋" w:cs="Times New Roman"/>
          <w:color w:val="auto"/>
          <w:sz w:val="24"/>
          <w:highlight w:val="none"/>
          <w:u w:val="none"/>
          <w:lang w:eastAsia="zh-CN"/>
        </w:rPr>
        <w:t>。</w:t>
      </w:r>
      <w:bookmarkStart w:id="0" w:name="_GoBack"/>
      <w:bookmarkEnd w:id="0"/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ZWVlZjM0NTQ2ZWJkZDBkN2U0MzQ2YmIxYWYwMTEifQ=="/>
  </w:docVars>
  <w:rsids>
    <w:rsidRoot w:val="05E84809"/>
    <w:rsid w:val="05E84809"/>
    <w:rsid w:val="34957054"/>
    <w:rsid w:val="427F3327"/>
    <w:rsid w:val="71B82AA1"/>
    <w:rsid w:val="7C7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Calibri" w:hAnsi="Calibri" w:cs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2024-02-27T08:45:00Z</dcterms:created>
  <dc:creator>海洋</dc:creator>
  <cp:lastModifiedBy>海洋</cp:lastModifiedBy>
  <dcterms:modified xsi:type="dcterms:W3CDTF">2024-02-27T08:49:15Z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1895BF0BDF944F4B9B945A45698035DB_13</vt:lpwstr>
  </property>
</Properties>
</file>