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bCs/>
          <w:spacing w:val="3"/>
          <w:sz w:val="32"/>
          <w:szCs w:val="32"/>
        </w:rPr>
      </w:pPr>
      <w:r>
        <w:rPr>
          <w:rFonts w:hint="eastAsia" w:ascii="黑体" w:hAnsi="黑体" w:eastAsia="黑体" w:cs="黑体"/>
          <w:bCs/>
          <w:spacing w:val="3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tbl>
      <w:tblPr>
        <w:tblStyle w:val="2"/>
        <w:tblW w:w="134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613"/>
        <w:gridCol w:w="1255"/>
        <w:gridCol w:w="1255"/>
        <w:gridCol w:w="696"/>
        <w:gridCol w:w="1460"/>
        <w:gridCol w:w="1145"/>
        <w:gridCol w:w="766"/>
        <w:gridCol w:w="755"/>
        <w:gridCol w:w="755"/>
        <w:gridCol w:w="1896"/>
        <w:gridCol w:w="1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4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Times New Roman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/>
                <w:kern w:val="0"/>
                <w:sz w:val="44"/>
                <w:szCs w:val="44"/>
              </w:rPr>
              <w:t>“三合一”场所消防安全百日会战行动汇总表（ 月  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44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各村（社区）主干签名：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单位（场所）名称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所属行业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合用场所类型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厂房面积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法人/经营者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住宿面积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住宿人数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整治进度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检查人员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沿街商铺/厂房/仓库/出租屋/住宅/其他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**镇**路**门牌号等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(具体问题及整改情况)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会战期间，共排查发现“三合一”场所    家，其中生产性场所     家、经营性场所     家，已完成整改    家，整改率    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备注：1.上报时需经各村主干及主要领导审签，首页扫描档及电子档一并报送。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2.本表仅填写本次大会战期间排查发现的“三合一”场所，地址必须填写详细。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3.10月30日报送排查摸底情况，11月份起每周三更新上报整治进度。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填表人：                    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F0EE1"/>
    <w:rsid w:val="741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2019-11-13T07:34:00Z</dcterms:created>
  <dc:creator>就这样</dc:creator>
  <cp:lastModifiedBy>就这样</cp:lastModifiedBy>
  <dcterms:modified xsi:type="dcterms:W3CDTF">2019-11-13T07:35:24Z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