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D1" w:rsidRDefault="007648D1" w:rsidP="007648D1">
      <w:pPr>
        <w:pStyle w:val="a5"/>
        <w:adjustRightInd w:val="0"/>
        <w:snapToGrid w:val="0"/>
        <w:spacing w:after="0" w:line="520" w:lineRule="exact"/>
        <w:ind w:leftChars="0" w:left="0"/>
        <w:rPr>
          <w:rStyle w:val="unnamed11"/>
          <w:rFonts w:ascii="黑体" w:eastAsia="黑体" w:hAnsi="黑体" w:cs="宋体" w:hint="default"/>
          <w:bCs/>
          <w:sz w:val="32"/>
          <w:szCs w:val="32"/>
        </w:rPr>
      </w:pPr>
      <w:r>
        <w:rPr>
          <w:rStyle w:val="unnamed11"/>
          <w:rFonts w:ascii="黑体" w:eastAsia="黑体" w:hAnsi="黑体" w:cs="宋体" w:hint="default"/>
          <w:bCs/>
          <w:sz w:val="32"/>
          <w:szCs w:val="32"/>
        </w:rPr>
        <w:t>附件2</w:t>
      </w:r>
      <w:bookmarkStart w:id="0" w:name="_GoBack"/>
      <w:bookmarkEnd w:id="0"/>
    </w:p>
    <w:p w:rsidR="007648D1" w:rsidRPr="000C3355" w:rsidRDefault="007648D1" w:rsidP="007648D1"/>
    <w:p w:rsidR="007648D1" w:rsidRPr="00613C98" w:rsidRDefault="007648D1" w:rsidP="007648D1">
      <w:pPr>
        <w:pStyle w:val="a5"/>
        <w:adjustRightInd w:val="0"/>
        <w:snapToGrid w:val="0"/>
        <w:spacing w:after="0" w:line="520" w:lineRule="exact"/>
        <w:ind w:leftChars="0" w:left="0"/>
        <w:jc w:val="center"/>
        <w:rPr>
          <w:rStyle w:val="unnamed11"/>
          <w:rFonts w:ascii="方正小标宋简体" w:eastAsia="方正小标宋简体" w:hint="default"/>
          <w:b/>
          <w:bCs/>
          <w:sz w:val="44"/>
          <w:szCs w:val="44"/>
        </w:rPr>
      </w:pPr>
      <w:r w:rsidRPr="00613C98">
        <w:rPr>
          <w:rStyle w:val="unnamed11"/>
          <w:rFonts w:ascii="方正小标宋简体" w:eastAsia="方正小标宋简体" w:hint="default"/>
          <w:b/>
          <w:bCs/>
          <w:sz w:val="44"/>
          <w:szCs w:val="44"/>
        </w:rPr>
        <w:t xml:space="preserve">南安市工程造价咨询企业管理规定 </w:t>
      </w:r>
    </w:p>
    <w:p w:rsidR="007648D1" w:rsidRDefault="007648D1" w:rsidP="007648D1">
      <w:pPr>
        <w:adjustRightInd w:val="0"/>
        <w:snapToGrid w:val="0"/>
        <w:spacing w:line="520" w:lineRule="exact"/>
        <w:rPr>
          <w:rStyle w:val="unnamed11"/>
          <w:rFonts w:hint="default"/>
          <w:bCs/>
          <w:sz w:val="32"/>
          <w:szCs w:val="32"/>
        </w:rPr>
      </w:pPr>
      <w:r>
        <w:rPr>
          <w:rStyle w:val="unnamed11"/>
          <w:rFonts w:hint="default"/>
          <w:bCs/>
          <w:sz w:val="32"/>
          <w:szCs w:val="32"/>
        </w:rPr>
        <w:t xml:space="preserve">                  </w:t>
      </w:r>
    </w:p>
    <w:p w:rsidR="007648D1" w:rsidRDefault="007648D1" w:rsidP="007648D1">
      <w:pPr>
        <w:adjustRightInd w:val="0"/>
        <w:snapToGrid w:val="0"/>
        <w:spacing w:line="520" w:lineRule="exact"/>
        <w:ind w:firstLineChars="199" w:firstLine="637"/>
        <w:rPr>
          <w:rStyle w:val="unnamed11"/>
          <w:rFonts w:ascii="仿宋_GB2312" w:eastAsia="仿宋_GB2312" w:hint="default"/>
          <w:bCs/>
          <w:sz w:val="32"/>
          <w:szCs w:val="32"/>
        </w:rPr>
      </w:pPr>
      <w:r>
        <w:rPr>
          <w:rStyle w:val="unnamed11"/>
          <w:rFonts w:ascii="黑体" w:eastAsia="黑体" w:hAnsi="黑体" w:hint="default"/>
          <w:bCs/>
          <w:sz w:val="32"/>
          <w:szCs w:val="32"/>
        </w:rPr>
        <w:t>一、总则</w:t>
      </w:r>
    </w:p>
    <w:p w:rsidR="007648D1" w:rsidRPr="00444527" w:rsidRDefault="007648D1" w:rsidP="007648D1">
      <w:pPr>
        <w:spacing w:line="480" w:lineRule="exact"/>
        <w:ind w:firstLineChars="200" w:firstLine="640"/>
        <w:rPr>
          <w:rFonts w:ascii="方正仿宋简体" w:eastAsia="方正仿宋简体" w:hint="eastAsia"/>
          <w:sz w:val="32"/>
          <w:szCs w:val="32"/>
          <w:shd w:val="clear" w:color="auto" w:fill="FFFFFF"/>
        </w:rPr>
      </w:pPr>
      <w:r w:rsidRPr="00444527">
        <w:rPr>
          <w:rFonts w:ascii="方正仿宋简体" w:eastAsia="方正仿宋简体"/>
          <w:sz w:val="32"/>
          <w:szCs w:val="32"/>
          <w:shd w:val="clear" w:color="auto" w:fill="FFFFFF"/>
        </w:rPr>
        <w:t>（一）为了加强全市工程造价咨询企业的管理</w:t>
      </w:r>
      <w:r w:rsidRPr="00444527">
        <w:rPr>
          <w:rFonts w:ascii="方正仿宋简体" w:eastAsia="方正仿宋简体" w:hint="eastAsia"/>
          <w:sz w:val="32"/>
          <w:szCs w:val="32"/>
          <w:shd w:val="clear" w:color="auto" w:fill="FFFFFF"/>
        </w:rPr>
        <w:t>，提高工程造价咨询服务质量，维护建设市场秩序和社会公共利益，根据《工程造价咨询企业管理办法》（建设部第149号令）、《福建省市场中介组织管理办法》(省政府令第116号)、《福建省建设工程造价管理办法》(省政府令第164号)，结合本市实际，制定本规定。</w:t>
      </w:r>
    </w:p>
    <w:p w:rsidR="007648D1" w:rsidRPr="00613C98" w:rsidRDefault="007648D1" w:rsidP="007648D1">
      <w:pPr>
        <w:spacing w:line="480" w:lineRule="exact"/>
        <w:ind w:firstLineChars="200" w:firstLine="640"/>
        <w:rPr>
          <w:rFonts w:ascii="方正仿宋简体" w:eastAsia="方正仿宋简体" w:hint="eastAsia"/>
          <w:sz w:val="32"/>
          <w:szCs w:val="32"/>
          <w:shd w:val="clear" w:color="auto" w:fill="FFFFFF"/>
        </w:rPr>
      </w:pPr>
      <w:r w:rsidRPr="00AE765A">
        <w:rPr>
          <w:rFonts w:ascii="方正仿宋简体" w:eastAsia="方正仿宋简体"/>
          <w:sz w:val="32"/>
          <w:szCs w:val="32"/>
          <w:shd w:val="clear" w:color="auto" w:fill="FFFFFF"/>
        </w:rPr>
        <w:t>（二）在</w:t>
      </w:r>
      <w:r w:rsidRPr="00613C98">
        <w:rPr>
          <w:rFonts w:ascii="方正仿宋简体" w:eastAsia="方正仿宋简体" w:hint="eastAsia"/>
          <w:sz w:val="32"/>
          <w:szCs w:val="32"/>
          <w:shd w:val="clear" w:color="auto" w:fill="FFFFFF"/>
        </w:rPr>
        <w:t>南安市行政区域内从事工程造价咨询活动的工程造价咨询企业，应当遵守本规定。</w:t>
      </w:r>
    </w:p>
    <w:p w:rsidR="007648D1" w:rsidRPr="00613C98" w:rsidRDefault="007648D1" w:rsidP="007648D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（三）本规定所称工程造价咨询企业管理，包括建立信息登记制度、市场行为监管、成果文件检查、信用综合评价等工作。</w:t>
      </w:r>
    </w:p>
    <w:p w:rsidR="007648D1" w:rsidRPr="00AE765A" w:rsidRDefault="007648D1" w:rsidP="007648D1">
      <w:pPr>
        <w:adjustRightInd w:val="0"/>
        <w:snapToGrid w:val="0"/>
        <w:spacing w:line="520" w:lineRule="exact"/>
        <w:ind w:firstLineChars="199" w:firstLine="637"/>
        <w:rPr>
          <w:rStyle w:val="unnamed11"/>
          <w:rFonts w:ascii="黑体" w:eastAsia="黑体" w:hAnsi="黑体" w:hint="default"/>
          <w:bCs/>
          <w:sz w:val="32"/>
          <w:szCs w:val="32"/>
        </w:rPr>
      </w:pPr>
      <w:r w:rsidRPr="00AE765A">
        <w:rPr>
          <w:rStyle w:val="unnamed11"/>
          <w:rFonts w:ascii="黑体" w:eastAsia="黑体" w:hAnsi="黑体" w:hint="default"/>
          <w:bCs/>
          <w:sz w:val="32"/>
          <w:szCs w:val="32"/>
        </w:rPr>
        <w:t>二、企业信息登记与公开</w:t>
      </w:r>
    </w:p>
    <w:p w:rsidR="007648D1" w:rsidRPr="00613C98" w:rsidRDefault="007648D1" w:rsidP="007648D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（四）在南安地区承接工程造价咨询业务的企业（以下统称“工程造价咨询企业”）应根据《关于做好工程造价咨询企业有关信息登记事项的通知》（</w:t>
      </w:r>
      <w:proofErr w:type="gramStart"/>
      <w:r w:rsidRPr="00613C98">
        <w:rPr>
          <w:rFonts w:ascii="方正仿宋简体" w:eastAsia="方正仿宋简体" w:hint="eastAsia"/>
          <w:sz w:val="32"/>
          <w:szCs w:val="32"/>
          <w:shd w:val="clear" w:color="auto" w:fill="FFFFFF"/>
        </w:rPr>
        <w:t>闽建筑</w:t>
      </w:r>
      <w:proofErr w:type="gramEnd"/>
      <w:r w:rsidRPr="00613C98">
        <w:rPr>
          <w:rFonts w:ascii="方正仿宋简体" w:eastAsia="方正仿宋简体" w:hint="eastAsia"/>
          <w:sz w:val="32"/>
          <w:szCs w:val="32"/>
          <w:shd w:val="clear" w:color="auto" w:fill="FFFFFF"/>
        </w:rPr>
        <w:t>1号）通过福建省工程造价成果文件信息登记系统登记工程造价咨询合同（包括全过程造价咨询合同，咨询服务内容含造价咨询的招标代理合同、全过程工程咨询合同）和工程造价成果文件信息等。</w:t>
      </w:r>
    </w:p>
    <w:p w:rsidR="007648D1" w:rsidRPr="00613C98" w:rsidRDefault="007648D1" w:rsidP="007648D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sz w:val="32"/>
          <w:szCs w:val="32"/>
          <w:shd w:val="clear" w:color="auto" w:fill="FFFFFF"/>
        </w:rPr>
        <w:t>（五）</w:t>
      </w:r>
      <w:r w:rsidRPr="00613C98">
        <w:rPr>
          <w:rFonts w:ascii="方正仿宋简体" w:eastAsia="方正仿宋简体" w:hint="eastAsia"/>
          <w:sz w:val="32"/>
          <w:szCs w:val="32"/>
          <w:shd w:val="clear" w:color="auto" w:fill="FFFFFF"/>
        </w:rPr>
        <w:t>工程造价咨询企业须在经营场所明示企业营业执照及企业资质证书、执业守则、办事程序、服务承诺、限时办结、一次性告知、服务项目、收费标准和监督电话等内容。</w:t>
      </w:r>
    </w:p>
    <w:p w:rsidR="007648D1" w:rsidRDefault="007648D1" w:rsidP="007648D1">
      <w:pPr>
        <w:adjustRightInd w:val="0"/>
        <w:snapToGrid w:val="0"/>
        <w:spacing w:line="520" w:lineRule="exact"/>
        <w:ind w:firstLineChars="199" w:firstLine="637"/>
        <w:rPr>
          <w:rFonts w:ascii="仿宋_GB2312" w:eastAsia="仿宋_GB2312" w:hint="eastAsia"/>
          <w:sz w:val="32"/>
          <w:szCs w:val="32"/>
        </w:rPr>
      </w:pPr>
      <w:r>
        <w:rPr>
          <w:rFonts w:ascii="黑体" w:eastAsia="黑体" w:hAnsi="黑体" w:hint="eastAsia"/>
          <w:sz w:val="32"/>
          <w:szCs w:val="32"/>
        </w:rPr>
        <w:t>三、日常行为检查</w:t>
      </w:r>
    </w:p>
    <w:p w:rsidR="007648D1" w:rsidRPr="00613C98" w:rsidRDefault="007648D1" w:rsidP="007648D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lastRenderedPageBreak/>
        <w:t>（六）依据《泉州</w:t>
      </w:r>
      <w:r w:rsidRPr="00613C98">
        <w:rPr>
          <w:rFonts w:ascii="方正仿宋简体" w:eastAsia="方正仿宋简体"/>
          <w:sz w:val="32"/>
          <w:szCs w:val="32"/>
          <w:shd w:val="clear" w:color="auto" w:fill="FFFFFF"/>
        </w:rPr>
        <w:t>市工程造价咨询企业管理规定</w:t>
      </w:r>
      <w:r w:rsidRPr="00613C98">
        <w:rPr>
          <w:rFonts w:ascii="方正仿宋简体" w:eastAsia="方正仿宋简体" w:hint="eastAsia"/>
          <w:sz w:val="32"/>
          <w:szCs w:val="32"/>
          <w:shd w:val="clear" w:color="auto" w:fill="FFFFFF"/>
        </w:rPr>
        <w:t>》配合泉州市住房和城乡建设局对工程造价咨询企业日常执业行为开展“双随机</w:t>
      </w:r>
      <w:proofErr w:type="gramStart"/>
      <w:r w:rsidRPr="00613C98">
        <w:rPr>
          <w:rFonts w:ascii="方正仿宋简体" w:eastAsia="方正仿宋简体" w:hint="eastAsia"/>
          <w:sz w:val="32"/>
          <w:szCs w:val="32"/>
          <w:shd w:val="clear" w:color="auto" w:fill="FFFFFF"/>
        </w:rPr>
        <w:t>一</w:t>
      </w:r>
      <w:proofErr w:type="gramEnd"/>
      <w:r w:rsidRPr="00613C98">
        <w:rPr>
          <w:rFonts w:ascii="方正仿宋简体" w:eastAsia="方正仿宋简体" w:hint="eastAsia"/>
          <w:sz w:val="32"/>
          <w:szCs w:val="32"/>
          <w:shd w:val="clear" w:color="auto" w:fill="FFFFFF"/>
        </w:rPr>
        <w:t>公开” 检查，确保检查结果的真实、客观、公正。</w:t>
      </w:r>
    </w:p>
    <w:p w:rsidR="007648D1" w:rsidRPr="00613C98" w:rsidRDefault="007648D1" w:rsidP="007648D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（七）每年对在南安市承接项目的</w:t>
      </w:r>
      <w:r w:rsidRPr="00613C98">
        <w:rPr>
          <w:rFonts w:ascii="方正仿宋简体" w:eastAsia="方正仿宋简体"/>
          <w:sz w:val="32"/>
          <w:szCs w:val="32"/>
          <w:shd w:val="clear" w:color="auto" w:fill="FFFFFF"/>
        </w:rPr>
        <w:t>工程造价咨询企业</w:t>
      </w:r>
      <w:r w:rsidRPr="00613C98">
        <w:rPr>
          <w:rFonts w:ascii="方正仿宋简体" w:eastAsia="方正仿宋简体" w:hint="eastAsia"/>
          <w:sz w:val="32"/>
          <w:szCs w:val="32"/>
          <w:shd w:val="clear" w:color="auto" w:fill="FFFFFF"/>
        </w:rPr>
        <w:t>成果文件开展随机检查。</w:t>
      </w:r>
    </w:p>
    <w:p w:rsidR="007648D1" w:rsidRPr="000C3355" w:rsidRDefault="007648D1" w:rsidP="007648D1">
      <w:pPr>
        <w:adjustRightInd w:val="0"/>
        <w:snapToGrid w:val="0"/>
        <w:spacing w:line="520" w:lineRule="exact"/>
        <w:ind w:firstLineChars="199" w:firstLine="637"/>
        <w:rPr>
          <w:rFonts w:ascii="仿宋_GB2312" w:eastAsia="仿宋_GB2312" w:hint="eastAsia"/>
          <w:sz w:val="32"/>
          <w:szCs w:val="32"/>
        </w:rPr>
      </w:pPr>
      <w:r w:rsidRPr="000C3355">
        <w:rPr>
          <w:rFonts w:ascii="黑体" w:eastAsia="黑体" w:hAnsi="黑体" w:hint="eastAsia"/>
          <w:sz w:val="32"/>
          <w:szCs w:val="32"/>
        </w:rPr>
        <w:t>四、信用综合评价</w:t>
      </w:r>
    </w:p>
    <w:p w:rsidR="007648D1" w:rsidRPr="00613C98" w:rsidRDefault="007648D1" w:rsidP="007648D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（八）配合泉州市造价站</w:t>
      </w:r>
      <w:r w:rsidRPr="00613C98">
        <w:rPr>
          <w:rFonts w:ascii="方正仿宋简体" w:eastAsia="方正仿宋简体"/>
          <w:sz w:val="32"/>
          <w:szCs w:val="32"/>
          <w:shd w:val="clear" w:color="auto" w:fill="FFFFFF"/>
        </w:rPr>
        <w:t>开展</w:t>
      </w:r>
      <w:r w:rsidRPr="00613C98">
        <w:rPr>
          <w:rFonts w:ascii="方正仿宋简体" w:eastAsia="方正仿宋简体" w:hint="eastAsia"/>
          <w:sz w:val="32"/>
          <w:szCs w:val="32"/>
          <w:shd w:val="clear" w:color="auto" w:fill="FFFFFF"/>
        </w:rPr>
        <w:t>工程造价咨询企业信用综合评价</w:t>
      </w:r>
      <w:r w:rsidRPr="00613C98">
        <w:rPr>
          <w:rFonts w:ascii="方正仿宋简体" w:eastAsia="方正仿宋简体"/>
          <w:sz w:val="32"/>
          <w:szCs w:val="32"/>
          <w:shd w:val="clear" w:color="auto" w:fill="FFFFFF"/>
        </w:rPr>
        <w:t>，</w:t>
      </w:r>
      <w:r w:rsidRPr="00613C98">
        <w:rPr>
          <w:rFonts w:ascii="方正仿宋简体" w:eastAsia="方正仿宋简体" w:hint="eastAsia"/>
          <w:sz w:val="32"/>
          <w:szCs w:val="32"/>
          <w:shd w:val="clear" w:color="auto" w:fill="FFFFFF"/>
        </w:rPr>
        <w:t>依据本规定和信用综合评价标准，对参评造价咨询企业在本市从事工程造价咨询活动的日常执业行为和成果文件质量进行综合评价，并</w:t>
      </w:r>
      <w:r w:rsidRPr="00613C98">
        <w:rPr>
          <w:rFonts w:ascii="方正仿宋简体" w:eastAsia="方正仿宋简体"/>
          <w:sz w:val="32"/>
          <w:szCs w:val="32"/>
          <w:shd w:val="clear" w:color="auto" w:fill="FFFFFF"/>
        </w:rPr>
        <w:t>进行综合量化评分。</w:t>
      </w:r>
    </w:p>
    <w:p w:rsidR="007648D1" w:rsidRPr="00613C98" w:rsidRDefault="007648D1" w:rsidP="007648D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（九）</w:t>
      </w:r>
      <w:r w:rsidRPr="00613C98">
        <w:rPr>
          <w:rFonts w:ascii="方正仿宋简体" w:eastAsia="方正仿宋简体"/>
          <w:sz w:val="32"/>
          <w:szCs w:val="32"/>
          <w:shd w:val="clear" w:color="auto" w:fill="FFFFFF"/>
        </w:rPr>
        <w:t>工程造价咨询企业信用综合评价得</w:t>
      </w:r>
      <w:r w:rsidRPr="00613C98">
        <w:rPr>
          <w:rFonts w:ascii="方正仿宋简体" w:eastAsia="方正仿宋简体" w:hint="eastAsia"/>
          <w:sz w:val="32"/>
          <w:szCs w:val="32"/>
          <w:shd w:val="clear" w:color="auto" w:fill="FFFFFF"/>
        </w:rPr>
        <w:t>分由省造价总站实施评价和市造价站实施评价两部分的评价分组成，分别占总权重的30%和70%。省造价总站实施评价的评价</w:t>
      </w:r>
      <w:proofErr w:type="gramStart"/>
      <w:r w:rsidRPr="00613C98">
        <w:rPr>
          <w:rFonts w:ascii="方正仿宋简体" w:eastAsia="方正仿宋简体" w:hint="eastAsia"/>
          <w:sz w:val="32"/>
          <w:szCs w:val="32"/>
          <w:shd w:val="clear" w:color="auto" w:fill="FFFFFF"/>
        </w:rPr>
        <w:t>分按照</w:t>
      </w:r>
      <w:proofErr w:type="gramEnd"/>
      <w:r w:rsidRPr="00613C98">
        <w:rPr>
          <w:rFonts w:ascii="方正仿宋简体" w:eastAsia="方正仿宋简体" w:hint="eastAsia"/>
          <w:sz w:val="32"/>
          <w:szCs w:val="32"/>
          <w:shd w:val="clear" w:color="auto" w:fill="FFFFFF"/>
        </w:rPr>
        <w:t>评价的时间节点直接从福建省造价咨询企业信用综合评价</w:t>
      </w:r>
      <w:proofErr w:type="gramStart"/>
      <w:r w:rsidRPr="00613C98">
        <w:rPr>
          <w:rFonts w:ascii="方正仿宋简体" w:eastAsia="方正仿宋简体" w:hint="eastAsia"/>
          <w:sz w:val="32"/>
          <w:szCs w:val="32"/>
          <w:shd w:val="clear" w:color="auto" w:fill="FFFFFF"/>
        </w:rPr>
        <w:t>系统计取</w:t>
      </w:r>
      <w:proofErr w:type="gramEnd"/>
      <w:r w:rsidRPr="00613C98">
        <w:rPr>
          <w:rFonts w:ascii="方正仿宋简体" w:eastAsia="方正仿宋简体" w:hint="eastAsia"/>
          <w:sz w:val="32"/>
          <w:szCs w:val="32"/>
          <w:shd w:val="clear" w:color="auto" w:fill="FFFFFF"/>
        </w:rPr>
        <w:t>（若</w:t>
      </w:r>
      <w:proofErr w:type="gramStart"/>
      <w:r w:rsidRPr="00613C98">
        <w:rPr>
          <w:rFonts w:ascii="方正仿宋简体" w:eastAsia="方正仿宋简体" w:hint="eastAsia"/>
          <w:sz w:val="32"/>
          <w:szCs w:val="32"/>
          <w:shd w:val="clear" w:color="auto" w:fill="FFFFFF"/>
        </w:rPr>
        <w:t>无评价分暂</w:t>
      </w:r>
      <w:proofErr w:type="gramEnd"/>
      <w:r w:rsidRPr="00613C98">
        <w:rPr>
          <w:rFonts w:ascii="方正仿宋简体" w:eastAsia="方正仿宋简体" w:hint="eastAsia"/>
          <w:sz w:val="32"/>
          <w:szCs w:val="32"/>
          <w:shd w:val="clear" w:color="auto" w:fill="FFFFFF"/>
        </w:rPr>
        <w:t>不计取，不占权重）。</w:t>
      </w:r>
    </w:p>
    <w:p w:rsidR="007648D1" w:rsidRPr="00613C98" w:rsidRDefault="007648D1" w:rsidP="007648D1">
      <w:pPr>
        <w:spacing w:line="480" w:lineRule="exact"/>
        <w:ind w:firstLineChars="200" w:firstLine="640"/>
        <w:rPr>
          <w:rStyle w:val="unnamed11"/>
          <w:rFonts w:ascii="方正仿宋简体" w:eastAsia="方正仿宋简体" w:hint="default"/>
          <w:sz w:val="32"/>
          <w:szCs w:val="32"/>
          <w:shd w:val="clear" w:color="auto" w:fill="FFFFFF"/>
        </w:rPr>
      </w:pPr>
      <w:r w:rsidRPr="00613C98">
        <w:rPr>
          <w:rFonts w:ascii="方正仿宋简体" w:eastAsia="方正仿宋简体" w:hint="eastAsia"/>
          <w:sz w:val="32"/>
          <w:szCs w:val="32"/>
          <w:shd w:val="clear" w:color="auto" w:fill="FFFFFF"/>
        </w:rPr>
        <w:t>（十）泉州市住房和城乡建设局</w:t>
      </w:r>
      <w:r w:rsidRPr="00613C98">
        <w:rPr>
          <w:rFonts w:ascii="方正仿宋简体" w:eastAsia="方正仿宋简体"/>
          <w:sz w:val="32"/>
          <w:szCs w:val="32"/>
          <w:shd w:val="clear" w:color="auto" w:fill="FFFFFF"/>
        </w:rPr>
        <w:t>将对信用综合评价较差的</w:t>
      </w:r>
      <w:r w:rsidRPr="00613C98">
        <w:rPr>
          <w:rFonts w:ascii="方正仿宋简体" w:eastAsia="方正仿宋简体" w:hint="eastAsia"/>
          <w:sz w:val="32"/>
          <w:szCs w:val="32"/>
          <w:shd w:val="clear" w:color="auto" w:fill="FFFFFF"/>
        </w:rPr>
        <w:t>工程造价咨询企业在泉州市住房和城乡建设网“信用管理平台”、泉州市建设工程造价信息网、《泉州工程造价管理》上发布，并在本市主流媒体进行通报。信用评价结果作为主管部门实行差异化监督管理的依据。</w:t>
      </w:r>
    </w:p>
    <w:p w:rsidR="007648D1" w:rsidRDefault="007648D1" w:rsidP="007648D1">
      <w:pPr>
        <w:widowControl/>
        <w:tabs>
          <w:tab w:val="left" w:pos="800"/>
        </w:tabs>
        <w:snapToGrid w:val="0"/>
        <w:spacing w:line="520" w:lineRule="exact"/>
        <w:ind w:firstLineChars="199" w:firstLine="637"/>
        <w:rPr>
          <w:rStyle w:val="unnamed11"/>
          <w:rFonts w:ascii="仿宋_GB2312" w:eastAsia="仿宋_GB2312" w:hAnsi="仿宋" w:hint="default"/>
          <w:bCs/>
          <w:sz w:val="32"/>
          <w:szCs w:val="32"/>
        </w:rPr>
      </w:pPr>
      <w:r w:rsidRPr="00787BCC">
        <w:rPr>
          <w:rStyle w:val="unnamed11"/>
          <w:rFonts w:ascii="黑体" w:eastAsia="黑体" w:hAnsi="黑体" w:hint="default"/>
          <w:bCs/>
          <w:sz w:val="32"/>
          <w:szCs w:val="32"/>
        </w:rPr>
        <w:t>五、奖惩机制</w:t>
      </w:r>
    </w:p>
    <w:p w:rsidR="007648D1" w:rsidRPr="00613C98" w:rsidRDefault="007648D1" w:rsidP="007648D1">
      <w:pPr>
        <w:spacing w:line="480" w:lineRule="exact"/>
        <w:ind w:firstLineChars="200" w:firstLine="640"/>
        <w:rPr>
          <w:rFonts w:ascii="方正仿宋简体" w:eastAsia="方正仿宋简体"/>
          <w:sz w:val="32"/>
          <w:szCs w:val="32"/>
          <w:shd w:val="clear" w:color="auto" w:fill="FFFFFF"/>
        </w:rPr>
      </w:pPr>
      <w:r w:rsidRPr="00613C98">
        <w:rPr>
          <w:rFonts w:ascii="方正仿宋简体" w:eastAsia="方正仿宋简体" w:hint="eastAsia"/>
          <w:sz w:val="32"/>
          <w:szCs w:val="32"/>
          <w:shd w:val="clear" w:color="auto" w:fill="FFFFFF"/>
        </w:rPr>
        <w:t>（十一）对存在以下情形的造价咨询企业和个人，</w:t>
      </w:r>
      <w:r w:rsidRPr="00613C98">
        <w:rPr>
          <w:rFonts w:ascii="方正仿宋简体" w:eastAsia="方正仿宋简体"/>
          <w:sz w:val="32"/>
          <w:szCs w:val="32"/>
          <w:shd w:val="clear" w:color="auto" w:fill="FFFFFF"/>
        </w:rPr>
        <w:t>上报泉州市住建局，</w:t>
      </w:r>
      <w:r w:rsidRPr="00613C98">
        <w:rPr>
          <w:rFonts w:ascii="方正仿宋简体" w:eastAsia="方正仿宋简体" w:hint="eastAsia"/>
          <w:sz w:val="32"/>
          <w:szCs w:val="32"/>
          <w:shd w:val="clear" w:color="auto" w:fill="FFFFFF"/>
        </w:rPr>
        <w:t>并向社会公布。视情节严重程度，3～6个月内不能在南安市承接新的相关业务，一年内不得参加县级及以上建设行政主管部门组织的各项荣誉评选，并列为重点监督检查对象，实行差异化管理，增加监督检查频次。对直接的责任人</w:t>
      </w:r>
      <w:r w:rsidRPr="00613C98">
        <w:rPr>
          <w:rFonts w:ascii="方正仿宋简体" w:eastAsia="方正仿宋简体"/>
          <w:sz w:val="32"/>
          <w:szCs w:val="32"/>
          <w:shd w:val="clear" w:color="auto" w:fill="FFFFFF"/>
        </w:rPr>
        <w:t>给予警告，记入不良行为记录。</w:t>
      </w:r>
    </w:p>
    <w:p w:rsidR="007648D1" w:rsidRPr="00613C98" w:rsidRDefault="007648D1" w:rsidP="007648D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lastRenderedPageBreak/>
        <w:t>1.在“信用管理平台”提交虚假资料或故意隐瞒有关情况，对信用评价结果产生较大影响的；</w:t>
      </w:r>
    </w:p>
    <w:p w:rsidR="007648D1" w:rsidRPr="00613C98" w:rsidRDefault="007648D1" w:rsidP="007648D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2．未按照规定提供信用档案信息或不及时办理监管平台信息变更的，或未按相关规定办理备案，或不接受、不配合当地监管部门依法、依规管理的，经各地住建行政主管部门责令限期改正，逾期仍不改正的；</w:t>
      </w:r>
    </w:p>
    <w:p w:rsidR="007648D1" w:rsidRPr="00613C98" w:rsidRDefault="007648D1" w:rsidP="007648D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3．在咨询业务质量专项检查中，被抽查的项目成果文件因违反计价规则，致使工程造价误差绝对值超过工程总造价的3%，成果文件质量低劣的；</w:t>
      </w:r>
    </w:p>
    <w:p w:rsidR="007648D1" w:rsidRPr="00613C98" w:rsidRDefault="007648D1" w:rsidP="007648D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4．违反《工程造价咨询企业管理办法》（建设部令第149号） 、《注册造价工程师管理办法》（建设部令第150号）、《福建省建设工程造价管理办法》（省政府令第164号）的规定受到各</w:t>
      </w:r>
      <w:proofErr w:type="gramStart"/>
      <w:r w:rsidRPr="00613C98">
        <w:rPr>
          <w:rFonts w:ascii="方正仿宋简体" w:eastAsia="方正仿宋简体" w:hint="eastAsia"/>
          <w:sz w:val="32"/>
          <w:szCs w:val="32"/>
          <w:shd w:val="clear" w:color="auto" w:fill="FFFFFF"/>
        </w:rPr>
        <w:t>属地住建主管</w:t>
      </w:r>
      <w:proofErr w:type="gramEnd"/>
      <w:r w:rsidRPr="00613C98">
        <w:rPr>
          <w:rFonts w:ascii="方正仿宋简体" w:eastAsia="方正仿宋简体" w:hint="eastAsia"/>
          <w:sz w:val="32"/>
          <w:szCs w:val="32"/>
          <w:shd w:val="clear" w:color="auto" w:fill="FFFFFF"/>
        </w:rPr>
        <w:t>部门行政处罚的；</w:t>
      </w:r>
    </w:p>
    <w:p w:rsidR="007648D1" w:rsidRPr="00613C98" w:rsidRDefault="007648D1" w:rsidP="007648D1">
      <w:pPr>
        <w:widowControl/>
        <w:shd w:val="clear" w:color="auto" w:fill="FFFFFF"/>
        <w:spacing w:line="540" w:lineRule="atLeast"/>
        <w:ind w:firstLine="629"/>
        <w:jc w:val="left"/>
        <w:rPr>
          <w:rFonts w:ascii="黑体" w:eastAsia="黑体" w:hAnsi="黑体" w:cs="宋体" w:hint="eastAsia"/>
          <w:color w:val="333333"/>
          <w:kern w:val="0"/>
          <w:sz w:val="32"/>
          <w:szCs w:val="32"/>
        </w:rPr>
      </w:pPr>
      <w:r w:rsidRPr="00613C98">
        <w:rPr>
          <w:rFonts w:ascii="黑体" w:eastAsia="黑体" w:hAnsi="黑体" w:cs="宋体" w:hint="eastAsia"/>
          <w:color w:val="333333"/>
          <w:kern w:val="0"/>
          <w:sz w:val="32"/>
          <w:szCs w:val="32"/>
        </w:rPr>
        <w:t>六、附则</w:t>
      </w:r>
    </w:p>
    <w:p w:rsidR="007648D1" w:rsidRPr="00613C98" w:rsidRDefault="007648D1" w:rsidP="007648D1">
      <w:pPr>
        <w:spacing w:line="480" w:lineRule="exact"/>
        <w:ind w:firstLineChars="200" w:firstLine="640"/>
        <w:rPr>
          <w:rFonts w:ascii="方正仿宋简体" w:eastAsia="方正仿宋简体" w:hint="eastAsia"/>
          <w:sz w:val="32"/>
          <w:szCs w:val="32"/>
          <w:shd w:val="clear" w:color="auto" w:fill="FFFFFF"/>
        </w:rPr>
      </w:pPr>
      <w:r w:rsidRPr="00613C98">
        <w:rPr>
          <w:rFonts w:ascii="方正仿宋简体" w:eastAsia="方正仿宋简体" w:hint="eastAsia"/>
          <w:sz w:val="32"/>
          <w:szCs w:val="32"/>
          <w:shd w:val="clear" w:color="auto" w:fill="FFFFFF"/>
        </w:rPr>
        <w:t>（十二）本规定自2021年6 月1日起施行，由南安市住房和城乡建设局负责解释。</w:t>
      </w:r>
      <w:r>
        <w:rPr>
          <w:rFonts w:ascii="方正仿宋简体" w:eastAsia="方正仿宋简体" w:hint="eastAsia"/>
          <w:sz w:val="32"/>
          <w:szCs w:val="32"/>
          <w:shd w:val="clear" w:color="auto" w:fill="FFFFFF"/>
        </w:rPr>
        <w:t>法律法规另有规定的从其规定。</w:t>
      </w:r>
    </w:p>
    <w:p w:rsidR="00B850BD" w:rsidRPr="007648D1" w:rsidRDefault="00B850BD"/>
    <w:sectPr w:rsidR="00B850BD" w:rsidRPr="007648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8D1" w:rsidRDefault="007648D1" w:rsidP="007648D1">
      <w:r>
        <w:separator/>
      </w:r>
    </w:p>
  </w:endnote>
  <w:endnote w:type="continuationSeparator" w:id="0">
    <w:p w:rsidR="007648D1" w:rsidRDefault="007648D1" w:rsidP="0076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8D1" w:rsidRDefault="007648D1" w:rsidP="007648D1">
      <w:r>
        <w:separator/>
      </w:r>
    </w:p>
  </w:footnote>
  <w:footnote w:type="continuationSeparator" w:id="0">
    <w:p w:rsidR="007648D1" w:rsidRDefault="007648D1" w:rsidP="00764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0E"/>
    <w:rsid w:val="007648D1"/>
    <w:rsid w:val="00B850BD"/>
    <w:rsid w:val="00F1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48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48D1"/>
    <w:rPr>
      <w:sz w:val="18"/>
      <w:szCs w:val="18"/>
    </w:rPr>
  </w:style>
  <w:style w:type="paragraph" w:styleId="a4">
    <w:name w:val="footer"/>
    <w:basedOn w:val="a"/>
    <w:link w:val="Char0"/>
    <w:uiPriority w:val="99"/>
    <w:unhideWhenUsed/>
    <w:rsid w:val="007648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48D1"/>
    <w:rPr>
      <w:sz w:val="18"/>
      <w:szCs w:val="18"/>
    </w:rPr>
  </w:style>
  <w:style w:type="character" w:customStyle="1" w:styleId="unnamed11">
    <w:name w:val="unnamed11"/>
    <w:qFormat/>
    <w:rsid w:val="007648D1"/>
    <w:rPr>
      <w:rFonts w:ascii="宋体" w:eastAsia="宋体" w:hAnsi="宋体" w:hint="eastAsia"/>
      <w:sz w:val="21"/>
      <w:szCs w:val="21"/>
    </w:rPr>
  </w:style>
  <w:style w:type="character" w:customStyle="1" w:styleId="article">
    <w:name w:val="article"/>
    <w:basedOn w:val="a0"/>
    <w:rsid w:val="007648D1"/>
  </w:style>
  <w:style w:type="character" w:customStyle="1" w:styleId="Char1">
    <w:name w:val="正文文本缩进 Char"/>
    <w:link w:val="a5"/>
    <w:qFormat/>
    <w:rsid w:val="007648D1"/>
    <w:rPr>
      <w:rFonts w:eastAsia="Times New Roman"/>
      <w:szCs w:val="24"/>
    </w:rPr>
  </w:style>
  <w:style w:type="paragraph" w:styleId="a5">
    <w:name w:val="Body Text Indent"/>
    <w:next w:val="a"/>
    <w:link w:val="Char1"/>
    <w:unhideWhenUsed/>
    <w:qFormat/>
    <w:rsid w:val="007648D1"/>
    <w:pPr>
      <w:widowControl w:val="0"/>
      <w:spacing w:after="120"/>
      <w:ind w:leftChars="200" w:left="200"/>
      <w:jc w:val="both"/>
    </w:pPr>
    <w:rPr>
      <w:rFonts w:eastAsia="Times New Roman"/>
      <w:szCs w:val="24"/>
    </w:rPr>
  </w:style>
  <w:style w:type="character" w:customStyle="1" w:styleId="Char10">
    <w:name w:val="正文文本缩进 Char1"/>
    <w:basedOn w:val="a0"/>
    <w:uiPriority w:val="99"/>
    <w:semiHidden/>
    <w:rsid w:val="007648D1"/>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48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48D1"/>
    <w:rPr>
      <w:sz w:val="18"/>
      <w:szCs w:val="18"/>
    </w:rPr>
  </w:style>
  <w:style w:type="paragraph" w:styleId="a4">
    <w:name w:val="footer"/>
    <w:basedOn w:val="a"/>
    <w:link w:val="Char0"/>
    <w:uiPriority w:val="99"/>
    <w:unhideWhenUsed/>
    <w:rsid w:val="007648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48D1"/>
    <w:rPr>
      <w:sz w:val="18"/>
      <w:szCs w:val="18"/>
    </w:rPr>
  </w:style>
  <w:style w:type="character" w:customStyle="1" w:styleId="unnamed11">
    <w:name w:val="unnamed11"/>
    <w:qFormat/>
    <w:rsid w:val="007648D1"/>
    <w:rPr>
      <w:rFonts w:ascii="宋体" w:eastAsia="宋体" w:hAnsi="宋体" w:hint="eastAsia"/>
      <w:sz w:val="21"/>
      <w:szCs w:val="21"/>
    </w:rPr>
  </w:style>
  <w:style w:type="character" w:customStyle="1" w:styleId="article">
    <w:name w:val="article"/>
    <w:basedOn w:val="a0"/>
    <w:rsid w:val="007648D1"/>
  </w:style>
  <w:style w:type="character" w:customStyle="1" w:styleId="Char1">
    <w:name w:val="正文文本缩进 Char"/>
    <w:link w:val="a5"/>
    <w:qFormat/>
    <w:rsid w:val="007648D1"/>
    <w:rPr>
      <w:rFonts w:eastAsia="Times New Roman"/>
      <w:szCs w:val="24"/>
    </w:rPr>
  </w:style>
  <w:style w:type="paragraph" w:styleId="a5">
    <w:name w:val="Body Text Indent"/>
    <w:next w:val="a"/>
    <w:link w:val="Char1"/>
    <w:unhideWhenUsed/>
    <w:qFormat/>
    <w:rsid w:val="007648D1"/>
    <w:pPr>
      <w:widowControl w:val="0"/>
      <w:spacing w:after="120"/>
      <w:ind w:leftChars="200" w:left="200"/>
      <w:jc w:val="both"/>
    </w:pPr>
    <w:rPr>
      <w:rFonts w:eastAsia="Times New Roman"/>
      <w:szCs w:val="24"/>
    </w:rPr>
  </w:style>
  <w:style w:type="character" w:customStyle="1" w:styleId="Char10">
    <w:name w:val="正文文本缩进 Char1"/>
    <w:basedOn w:val="a0"/>
    <w:uiPriority w:val="99"/>
    <w:semiHidden/>
    <w:rsid w:val="007648D1"/>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228</Words>
  <Characters>1303</Characters>
  <Application>Microsoft Office Word</Application>
  <DocSecurity>0</DocSecurity>
  <Lines>10</Lines>
  <Paragraphs>3</Paragraphs>
  <ScaleCrop>false</ScaleCrop>
  <Company>P R C</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2021-06-03T02:38:00Z</dcterms:created>
  <dcterms:modified xsi:type="dcterms:W3CDTF">2021-06-03T02:38:00Z</dcterms:modified>
</cp:coreProperties>
</file>