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eastAsia="zh-CN"/>
        </w:rPr>
        <w:t>医疗卫生机构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传染病防治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国家随机监督抽查计划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24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24"/>
          <w:highlight w:val="none"/>
        </w:rPr>
        <w:t>监督检查对象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shd w:val="clear" w:color="auto" w:fill="auto"/>
          <w:lang w:val="en-US" w:eastAsia="zh-CN"/>
        </w:rPr>
        <w:t>国家随机监督抽查到的医疗机构、疾病预防控制机构和采供血机构。一级及以上医院、疾病预防控制机构和采供血机构应当全部纳入综合评价范围，结合实际提升未定级医疗机构综合评价比例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4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Times New Roman"/>
          <w:color w:val="auto"/>
          <w:sz w:val="32"/>
          <w:szCs w:val="24"/>
          <w:highlight w:val="none"/>
        </w:rPr>
      </w:pPr>
      <w:r>
        <w:rPr>
          <w:rFonts w:hint="eastAsia" w:ascii="楷体" w:hAnsi="楷体" w:eastAsia="楷体" w:cs="Times New Roman"/>
          <w:color w:val="auto"/>
          <w:sz w:val="32"/>
          <w:szCs w:val="24"/>
          <w:highlight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24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24"/>
          <w:highlight w:val="none"/>
        </w:rPr>
        <w:t>监督检查内容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Times New Roman"/>
          <w:color w:val="auto"/>
          <w:sz w:val="32"/>
          <w:szCs w:val="24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24"/>
          <w:highlight w:val="none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  <w:highlight w:val="none"/>
        </w:rPr>
        <w:t>预防接种管理情况。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接种单位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  <w:t>和人员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资质情况；接种疫苗公示情况；接种前告知、询问受种者或监护人有关情况；执行“三查七对一验证”情况；疫苗的接收、购进、储存、配送、供应、接种和处置记录情况。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  <w:highlight w:val="none"/>
        </w:rPr>
        <w:t>传染病疫情报告情况。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建立传染病疫情报告工作制度情况；开展疫情报告管理自查情况；传染病疫情登记、报告卡填写情况；是否存在瞒报、缓报、谎报传染病疫情情况。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highlight w:val="none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  <w:highlight w:val="none"/>
        </w:rPr>
        <w:t>传染病疫情控制情况。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建立预检、分诊制度情况；按规定为传染病病人、疑似病人提供诊疗情况；消毒处理传染病病原体污染的场所、物品、污水和医疗废物情况；依法履行传染病监测职责情况；发现传染病疫情时，采取传染病控制措施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highlight w:val="none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  <w:highlight w:val="none"/>
        </w:rPr>
        <w:t>消毒隔离措施落实情况。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建立消毒管理组织、制度情况；开展消毒与灭菌效果监测情况；消毒隔离知识培训情况；消毒产品进货检查验收情况；医疗器械一人一用一消毒或灭菌情况。二级以上医院以口腔科（诊疗中心）、血液透析和消毒供应中心为检查重点，无相关科室的，可根据情况自行选择重点科室。一级医院和基层医疗机构以医院口腔科或口腔诊所、美容医院、血液透析中心为检查重点，医院如无口腔科，可根据情况自行选择重点科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Times New Roman"/>
          <w:color w:val="auto"/>
          <w:sz w:val="32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highlight w:val="none"/>
          <w:lang w:eastAsia="zh-CN"/>
        </w:rPr>
        <w:t>（五）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  <w:highlight w:val="none"/>
        </w:rPr>
        <w:t>医疗废物处置。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医疗废物实行分类收集情况；使用专用包装物及容器情况；医疗废物暂时贮存设施建立情况；医疗废物交接、运送、暂存及处置情况。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Times New Roman"/>
          <w:color w:val="auto"/>
          <w:sz w:val="32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  <w:highlight w:val="none"/>
          <w:lang w:eastAsia="zh-CN"/>
        </w:rPr>
        <w:t>（六）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  <w:highlight w:val="none"/>
        </w:rPr>
        <w:t>二级病原微生物实验室生物安全管理。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 xml:space="preserve">二级实验室备案情况；从事实验活动的人员培训、考核情况；实验档案建立情况；实验结束将菌（毒）种或样本销毁或者送交保藏机构保藏情况。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24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24"/>
          <w:highlight w:val="none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（一）要高度重视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  <w:t>医疗卫生机构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传染病防治国家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  <w:t>随机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监督抽查工作，结合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  <w:t>常态化疫情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制定本辖区工作实施方案并组织实施。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  <w:t>医疗卫生机构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传染病防治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  <w:t>国家随机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监督抽查工作要与医疗卫生机构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  <w:t>传染病防治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分类监督综合评价工作相结合，抽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  <w:t>到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的单位采取分类监督综合评价方式进行检查。同时，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  <w:t>要加大新型冠状病毒感染疫情信息报告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的监督检查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  <w:t>力度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  <w:t>对发现未履行法定职责的单位或个人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，依法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  <w:t>依规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严肃查处。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市卫生监督所要切实加强上报数据信息的审核，保证数据信息项目齐全、质量可靠，请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年11月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医疗卫生机构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传染病防治国家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随机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监督抽查工作任务和数据填报工作。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市卫生监督所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请于2023年6月10日、11月10日前将本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地区医疗卫生机构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传染病防治国家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随机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监督抽查工作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阶段性工作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和全年工作总结报送泉州市卫生计生执法支队。</w:t>
      </w:r>
    </w:p>
    <w:p>
      <w:pPr>
        <w:keepNext w:val="0"/>
        <w:keepLines w:val="0"/>
        <w:pageBreakBefore w:val="0"/>
        <w:widowControl w:val="0"/>
        <w:tabs>
          <w:tab w:val="left" w:pos="1843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843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附表：1.202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  <w:t>医疗卫生机构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传染病防治国家随机监督</w:t>
      </w:r>
    </w:p>
    <w:p>
      <w:pPr>
        <w:keepNext w:val="0"/>
        <w:keepLines w:val="0"/>
        <w:pageBreakBefore w:val="0"/>
        <w:widowControl w:val="0"/>
        <w:tabs>
          <w:tab w:val="left" w:pos="1843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>抽查汇总表</w:t>
      </w:r>
    </w:p>
    <w:p>
      <w:pPr>
        <w:keepNext w:val="0"/>
        <w:keepLines w:val="0"/>
        <w:pageBreakBefore w:val="0"/>
        <w:widowControl w:val="0"/>
        <w:tabs>
          <w:tab w:val="left" w:pos="1843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  <w:t xml:space="preserve">      2.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  <w:t>年医疗卫生机构传染病防治国家随机监督</w:t>
      </w:r>
    </w:p>
    <w:p>
      <w:pPr>
        <w:keepNext w:val="0"/>
        <w:keepLines w:val="0"/>
        <w:pageBreakBefore w:val="0"/>
        <w:widowControl w:val="0"/>
        <w:tabs>
          <w:tab w:val="left" w:pos="1843"/>
          <w:tab w:val="left" w:pos="2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  <w:lang w:eastAsia="zh-CN"/>
        </w:rPr>
        <w:t>抽查案件查处汇总表</w:t>
      </w:r>
    </w:p>
    <w:p>
      <w:pPr>
        <w:spacing w:beforeLines="0" w:afterLines="0" w:line="580" w:lineRule="exact"/>
        <w:ind w:left="1050" w:leftChars="500" w:firstLine="320" w:firstLineChars="100"/>
        <w:jc w:val="left"/>
        <w:rPr>
          <w:rFonts w:hint="eastAsia" w:ascii="仿宋" w:hAnsi="仿宋" w:eastAsia="仿宋" w:cs="仿宋"/>
          <w:color w:val="auto"/>
          <w:sz w:val="32"/>
          <w:szCs w:val="24"/>
          <w:highlight w:val="none"/>
        </w:rPr>
        <w:sectPr>
          <w:headerReference r:id="rId3" w:type="default"/>
          <w:footerReference r:id="rId4" w:type="default"/>
          <w:pgSz w:w="11906" w:h="16838" w:orient="landscape"/>
          <w:pgMar w:top="1644" w:right="1531" w:bottom="1417" w:left="1587" w:header="851" w:footer="992" w:gutter="0"/>
          <w:lnNumType w:countBy="0" w:distance="360"/>
          <w:pgNumType w:fmt="decimal" w:start="3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24"/>
          <w:highlight w:val="non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黑体" w:hAnsi="宋体" w:eastAsia="黑体" w:cs="Times New Roman"/>
          <w:color w:val="auto"/>
          <w:kern w:val="0"/>
          <w:sz w:val="36"/>
          <w:szCs w:val="24"/>
          <w:highlight w:val="none"/>
        </w:rPr>
      </w:pPr>
      <w:r>
        <w:rPr>
          <w:rFonts w:hint="eastAsia" w:ascii="黑体" w:hAnsi="宋体" w:eastAsia="黑体" w:cs="Times New Roman"/>
          <w:color w:val="auto"/>
          <w:kern w:val="0"/>
          <w:sz w:val="32"/>
          <w:szCs w:val="24"/>
          <w:highlight w:val="none"/>
        </w:rPr>
        <w:t xml:space="preserve">附表1 </w:t>
      </w:r>
      <w:r>
        <w:rPr>
          <w:rFonts w:hint="eastAsia" w:ascii="黑体" w:hAnsi="宋体" w:eastAsia="黑体" w:cs="Times New Roman"/>
          <w:color w:val="auto"/>
          <w:kern w:val="0"/>
          <w:sz w:val="36"/>
          <w:szCs w:val="24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  <w:highlight w:val="none"/>
          <w:lang w:eastAsia="zh-CN"/>
        </w:rPr>
        <w:t>医疗卫生机构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  <w:highlight w:val="none"/>
        </w:rPr>
        <w:t>传染病防治国家随机监督抽查汇总表</w:t>
      </w:r>
      <w:r>
        <w:rPr>
          <w:rFonts w:hint="eastAsia" w:ascii="仿宋_GB2312" w:hAnsi="仿宋_GB2312" w:eastAsia="仿宋_GB2312" w:cs="仿宋_GB2312"/>
          <w:color w:val="auto"/>
          <w:sz w:val="21"/>
          <w:szCs w:val="24"/>
          <w:highlight w:val="none"/>
        </w:rPr>
        <w:t xml:space="preserve">  </w:t>
      </w:r>
      <w:r>
        <w:rPr>
          <w:rFonts w:hint="eastAsia" w:ascii="宋体" w:hAnsi="宋体" w:eastAsia="宋体" w:cs="Times New Roman"/>
          <w:color w:val="auto"/>
          <w:sz w:val="21"/>
          <w:szCs w:val="24"/>
          <w:highlight w:val="none"/>
        </w:rPr>
        <w:t xml:space="preserve">       </w:t>
      </w:r>
    </w:p>
    <w:tbl>
      <w:tblPr>
        <w:tblStyle w:val="4"/>
        <w:tblpPr w:leftFromText="180" w:rightFromText="180" w:vertAnchor="text" w:horzAnchor="page" w:tblpX="484" w:tblpY="34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245"/>
        <w:gridCol w:w="583"/>
        <w:gridCol w:w="620"/>
        <w:gridCol w:w="320"/>
        <w:gridCol w:w="520"/>
        <w:gridCol w:w="320"/>
        <w:gridCol w:w="700"/>
        <w:gridCol w:w="240"/>
        <w:gridCol w:w="620"/>
        <w:gridCol w:w="620"/>
        <w:gridCol w:w="320"/>
        <w:gridCol w:w="520"/>
        <w:gridCol w:w="320"/>
        <w:gridCol w:w="620"/>
        <w:gridCol w:w="320"/>
        <w:gridCol w:w="620"/>
        <w:gridCol w:w="620"/>
        <w:gridCol w:w="320"/>
        <w:gridCol w:w="520"/>
        <w:gridCol w:w="320"/>
        <w:gridCol w:w="620"/>
        <w:gridCol w:w="320"/>
        <w:gridCol w:w="620"/>
        <w:gridCol w:w="620"/>
        <w:gridCol w:w="320"/>
        <w:gridCol w:w="520"/>
        <w:gridCol w:w="320"/>
        <w:gridCol w:w="620"/>
        <w:gridCol w:w="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1332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监督评价结果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7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监督类别</w:t>
            </w:r>
          </w:p>
        </w:tc>
        <w:tc>
          <w:tcPr>
            <w:tcW w:w="33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</w:t>
            </w:r>
          </w:p>
        </w:tc>
        <w:tc>
          <w:tcPr>
            <w:tcW w:w="3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综合管理</w:t>
            </w:r>
          </w:p>
        </w:tc>
        <w:tc>
          <w:tcPr>
            <w:tcW w:w="3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预防接种管理</w:t>
            </w:r>
          </w:p>
        </w:tc>
        <w:tc>
          <w:tcPr>
            <w:tcW w:w="3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法定传染病报告管理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评价单位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合格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监督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评价单位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优秀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合格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监督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评价单位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优秀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合格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监督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评价单位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优秀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合格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7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合计（家）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单位数（家）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单位数(家）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单位数（家）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合计（家）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单位数（家）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单位数(家）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单位数（家）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合计（家）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单位数（家）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单位数(家）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单位数（家）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合计（家）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单位数（家）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单位数(家）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单位数（家）</w:t>
            </w:r>
          </w:p>
        </w:tc>
        <w:tc>
          <w:tcPr>
            <w:tcW w:w="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7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总计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医疗机构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小计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三级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二级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一级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基层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（其中诊所）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疾控机构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采供血机构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  <w:t>/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  <w:t>/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  <w:t>/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  <w:t>/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  <w:t>/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  <w:t>/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  <w:t>/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1470" w:firstLineChars="700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4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24"/>
          <w:highlight w:val="none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kern w:val="0"/>
          <w:sz w:val="44"/>
          <w:szCs w:val="24"/>
          <w:highlight w:val="none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kern w:val="0"/>
          <w:sz w:val="44"/>
          <w:szCs w:val="2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kern w:val="0"/>
          <w:sz w:val="44"/>
          <w:szCs w:val="2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kern w:val="0"/>
          <w:sz w:val="44"/>
          <w:szCs w:val="2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kern w:val="0"/>
          <w:sz w:val="44"/>
          <w:szCs w:val="24"/>
          <w:highlight w:val="none"/>
          <w:lang w:eastAsia="zh-CN"/>
        </w:rPr>
        <w:t>医疗卫生机构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w w:val="100"/>
          <w:kern w:val="0"/>
          <w:sz w:val="44"/>
          <w:szCs w:val="24"/>
          <w:highlight w:val="none"/>
        </w:rPr>
        <w:t>传染病防治国家随机监督抽查汇总表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  <w:highlight w:val="none"/>
          <w:lang w:eastAsia="zh-CN"/>
        </w:rPr>
        <w:t>（续）</w:t>
      </w:r>
    </w:p>
    <w:tbl>
      <w:tblPr>
        <w:tblStyle w:val="4"/>
        <w:tblpPr w:leftFromText="180" w:rightFromText="180" w:vertAnchor="text" w:horzAnchor="page" w:tblpX="574" w:tblpY="68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1185"/>
        <w:gridCol w:w="598"/>
        <w:gridCol w:w="620"/>
        <w:gridCol w:w="320"/>
        <w:gridCol w:w="520"/>
        <w:gridCol w:w="320"/>
        <w:gridCol w:w="620"/>
        <w:gridCol w:w="320"/>
        <w:gridCol w:w="620"/>
        <w:gridCol w:w="620"/>
        <w:gridCol w:w="320"/>
        <w:gridCol w:w="520"/>
        <w:gridCol w:w="320"/>
        <w:gridCol w:w="620"/>
        <w:gridCol w:w="320"/>
        <w:gridCol w:w="620"/>
        <w:gridCol w:w="620"/>
        <w:gridCol w:w="320"/>
        <w:gridCol w:w="520"/>
        <w:gridCol w:w="320"/>
        <w:gridCol w:w="620"/>
        <w:gridCol w:w="320"/>
        <w:gridCol w:w="620"/>
        <w:gridCol w:w="620"/>
        <w:gridCol w:w="320"/>
        <w:gridCol w:w="520"/>
        <w:gridCol w:w="320"/>
        <w:gridCol w:w="620"/>
        <w:gridCol w:w="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6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监督类别</w:t>
            </w:r>
          </w:p>
        </w:tc>
        <w:tc>
          <w:tcPr>
            <w:tcW w:w="13338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监督评价结果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3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传染病疫情控制</w:t>
            </w:r>
          </w:p>
        </w:tc>
        <w:tc>
          <w:tcPr>
            <w:tcW w:w="3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消毒隔离制度执行情况</w:t>
            </w:r>
          </w:p>
        </w:tc>
        <w:tc>
          <w:tcPr>
            <w:tcW w:w="3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医疗废物处置</w:t>
            </w:r>
          </w:p>
        </w:tc>
        <w:tc>
          <w:tcPr>
            <w:tcW w:w="33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病原微生物实验室生物安全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评价单位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优秀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合格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监督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评价单位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该项优秀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合格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重点监督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评价单位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优秀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该项合格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监督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评价单位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优秀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该项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合格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649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合计（家）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单位数（家）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单位数(家）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单位数（家）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合计（家）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单位数（家）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单位数(家）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单位数（家）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合计（家）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单位数（家）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单位数(家）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单位数（家）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合计（家）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单位数（家）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单位数(家）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单位数（家）</w:t>
            </w: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4"/>
                <w:highlight w:val="none"/>
              </w:rPr>
              <w:t>百分率(%)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总计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医疗机构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小计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三级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二级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一级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基层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（其中诊所）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疾控机构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  <w:t>采供血机构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  <w:tc>
          <w:tcPr>
            <w:tcW w:w="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highlight w:val="none"/>
              </w:rPr>
            </w:pPr>
          </w:p>
        </w:tc>
      </w:tr>
    </w:tbl>
    <w:p>
      <w:pPr>
        <w:spacing w:before="313" w:beforeLines="100"/>
        <w:ind w:firstLine="1680" w:firstLineChars="800"/>
        <w:rPr>
          <w:rFonts w:hint="eastAsia" w:ascii="仿宋_GB2312" w:hAnsi="仿宋_GB2312" w:eastAsia="仿宋_GB2312" w:cs="仿宋_GB2312"/>
          <w:color w:val="auto"/>
          <w:sz w:val="21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4"/>
          <w:highlight w:val="none"/>
        </w:rPr>
        <w:t xml:space="preserve"> 填表人：　      　　　　 联系电话：                   填表日期：              审核人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4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2" w:afterLines="100"/>
        <w:jc w:val="left"/>
        <w:textAlignment w:val="auto"/>
        <w:rPr>
          <w:rFonts w:hint="eastAsia" w:ascii="黑体" w:hAnsi="黑体" w:eastAsia="黑体" w:cs="Times New Roman"/>
          <w:color w:val="auto"/>
          <w:sz w:val="32"/>
          <w:szCs w:val="24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24"/>
          <w:highlight w:val="none"/>
        </w:rPr>
        <w:t xml:space="preserve">附表2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  <w:highlight w:val="none"/>
          <w:lang w:eastAsia="zh-CN"/>
        </w:rPr>
        <w:t>医疗卫生机构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4"/>
          <w:highlight w:val="none"/>
        </w:rPr>
        <w:t>传染病防治国家随机监督抽查案件查处汇总表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21"/>
          <w:szCs w:val="24"/>
          <w:highlight w:val="none"/>
        </w:rPr>
      </w:pPr>
      <w:r>
        <w:rPr>
          <w:rFonts w:hint="eastAsia" w:ascii="仿宋" w:hAnsi="仿宋" w:eastAsia="仿宋" w:cs="Times New Roman"/>
          <w:color w:val="auto"/>
          <w:sz w:val="21"/>
          <w:szCs w:val="24"/>
          <w:highlight w:val="non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1"/>
          <w:szCs w:val="24"/>
          <w:highlight w:val="none"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4"/>
        <w:gridCol w:w="1312"/>
        <w:gridCol w:w="1225"/>
        <w:gridCol w:w="1027"/>
        <w:gridCol w:w="606"/>
        <w:gridCol w:w="1052"/>
        <w:gridCol w:w="750"/>
        <w:gridCol w:w="750"/>
        <w:gridCol w:w="767"/>
        <w:gridCol w:w="1027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  <w:t>监督对象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  <w:t>辖区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  <w:t>机构数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  <w:t>检查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  <w:t>机构数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  <w:t>发现违法行为机构数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  <w:t>案件数</w:t>
            </w:r>
          </w:p>
        </w:tc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  <w:t>行政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  <w:t>处分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  <w:t>人员数</w:t>
            </w:r>
          </w:p>
        </w:tc>
        <w:tc>
          <w:tcPr>
            <w:tcW w:w="40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  <w:t>行政处罚单位数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  <w:t>吊证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  <w:t>（家）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  <w:t>警告（家）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  <w:t>罚款（家）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  <w:t>罚款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  <w:t>金额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  <w:t>（万元）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4"/>
                <w:highlight w:val="none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  <w:t>三级医院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  <w:t>二级医院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  <w:t>一级医院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5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  <w:t>基层医疗机构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  <w:t>（其中诊所）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5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  <w:t>疾控机构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  <w:t>采供血机构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  <w:t>合计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  <w:sz w:val="21"/>
                <w:szCs w:val="24"/>
                <w:highlight w:val="none"/>
              </w:rPr>
            </w:pPr>
          </w:p>
        </w:tc>
      </w:tr>
    </w:tbl>
    <w:p>
      <w:pPr>
        <w:ind w:firstLine="420" w:firstLineChars="200"/>
        <w:rPr>
          <w:rFonts w:hint="eastAsia" w:ascii="仿宋_GB2312" w:hAnsi="仿宋_GB2312" w:eastAsia="仿宋_GB2312" w:cs="仿宋_GB2312"/>
          <w:color w:val="auto"/>
          <w:sz w:val="21"/>
          <w:szCs w:val="24"/>
          <w:highlight w:val="none"/>
        </w:rPr>
      </w:pPr>
    </w:p>
    <w:p>
      <w:pPr>
        <w:ind w:firstLine="420" w:firstLineChars="200"/>
      </w:pPr>
      <w:r>
        <w:rPr>
          <w:rFonts w:hint="eastAsia" w:ascii="仿宋_GB2312" w:hAnsi="仿宋_GB2312" w:eastAsia="仿宋_GB2312" w:cs="仿宋_GB2312"/>
          <w:color w:val="auto"/>
          <w:sz w:val="21"/>
          <w:szCs w:val="24"/>
          <w:highlight w:val="none"/>
        </w:rPr>
        <w:t xml:space="preserve"> 填表单位（盖章）：                     填表人：　      　　　　 联系电话：                   填表日期： </w:t>
      </w:r>
    </w:p>
    <w:sectPr>
      <w:headerReference r:id="rId5" w:type="default"/>
      <w:footerReference r:id="rId6" w:type="default"/>
      <w:pgSz w:w="16838" w:h="11906" w:orient="landscape"/>
      <w:pgMar w:top="1587" w:right="1644" w:bottom="1531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jc w:val="left"/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ascii="Times New Roman" w:hAnsi="Times New Roman" w:cs="Times New Roman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default" w:ascii="Times New Roman" w:hAnsi="Times New Roman" w:cs="Times New Roman"/>
        <w:sz w:val="18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default" w:ascii="Times New Roman" w:hAnsi="Times New Roman" w:cs="Times New Roman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TdjYTNjYjJkZDZlMDgyMTQ2YmM2NDM4OTU5YzMifQ=="/>
  </w:docVars>
  <w:rsids>
    <w:rsidRoot w:val="501E051E"/>
    <w:rsid w:val="4EDC64C3"/>
    <w:rsid w:val="501E051E"/>
    <w:rsid w:val="5ADA1C4D"/>
    <w:rsid w:val="62F96F8E"/>
    <w:rsid w:val="73BA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1935</Words>
  <Characters>2016</Characters>
  <Lines>0</Lines>
  <Paragraphs>0</Paragraphs>
  <TotalTime>12</TotalTime>
  <ScaleCrop>false</ScaleCrop>
  <LinksUpToDate>false</LinksUpToDate>
  <CharactersWithSpaces>2195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2023-05-30T08:38:00Z</dcterms:created>
  <dc:creator>大丸子</dc:creator>
  <cp:lastModifiedBy>Administrator</cp:lastModifiedBy>
  <cp:lastPrinted>2023-05-30T08:49:00Z</cp:lastPrinted>
  <dcterms:modified xsi:type="dcterms:W3CDTF">2023-05-31T00:04:30Z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D6E4167152914DC0A74E395EF18AF697_11</vt:lpwstr>
  </property>
</Properties>
</file>