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bookmarkStart w:id="0" w:name="标题"/>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南卫</w:t>
      </w:r>
      <w:r>
        <w:rPr>
          <w:rFonts w:hint="eastAsia" w:ascii="仿宋_GB2312" w:hAnsi="宋体" w:eastAsia="仿宋_GB2312" w:cs="仿宋_GB2312"/>
          <w:color w:val="auto"/>
          <w:kern w:val="0"/>
          <w:sz w:val="32"/>
          <w:szCs w:val="32"/>
          <w:lang w:val="en-US" w:eastAsia="zh-CN" w:bidi="ar"/>
        </w:rPr>
        <w:t>〔2021〕122号</w:t>
      </w: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p>
    <w:p>
      <w:pPr>
        <w:adjustRightInd w:val="0"/>
        <w:snapToGrid w:val="0"/>
        <w:spacing w:line="640" w:lineRule="exact"/>
        <w:jc w:val="center"/>
        <w:rPr>
          <w:rFonts w:eastAsia="方正小标宋简体"/>
          <w:color w:val="auto"/>
          <w:sz w:val="44"/>
          <w:szCs w:val="44"/>
        </w:rPr>
      </w:pPr>
      <w:r>
        <w:rPr>
          <w:rFonts w:hint="eastAsia" w:eastAsia="方正小标宋简体"/>
          <w:color w:val="auto"/>
          <w:sz w:val="44"/>
          <w:szCs w:val="44"/>
        </w:rPr>
        <w:t>南安市卫生健康局关于</w:t>
      </w:r>
      <w:r>
        <w:rPr>
          <w:rFonts w:eastAsia="方正小标宋简体"/>
          <w:color w:val="auto"/>
          <w:sz w:val="44"/>
          <w:szCs w:val="44"/>
        </w:rPr>
        <w:t>做好202</w:t>
      </w:r>
      <w:r>
        <w:rPr>
          <w:rFonts w:hint="eastAsia" w:eastAsia="方正小标宋简体"/>
          <w:color w:val="auto"/>
          <w:sz w:val="44"/>
          <w:szCs w:val="44"/>
        </w:rPr>
        <w:t>1</w:t>
      </w:r>
      <w:r>
        <w:rPr>
          <w:rFonts w:eastAsia="方正小标宋简体"/>
          <w:color w:val="auto"/>
          <w:sz w:val="44"/>
          <w:szCs w:val="44"/>
        </w:rPr>
        <w:t>年</w:t>
      </w:r>
    </w:p>
    <w:p>
      <w:pPr>
        <w:adjustRightInd w:val="0"/>
        <w:snapToGrid w:val="0"/>
        <w:spacing w:line="640" w:lineRule="exact"/>
        <w:jc w:val="center"/>
        <w:rPr>
          <w:rFonts w:eastAsia="方正小标宋简体"/>
          <w:color w:val="auto"/>
          <w:sz w:val="44"/>
          <w:szCs w:val="44"/>
        </w:rPr>
      </w:pPr>
      <w:r>
        <w:rPr>
          <w:rFonts w:eastAsia="方正小标宋简体"/>
          <w:color w:val="auto"/>
          <w:sz w:val="44"/>
          <w:szCs w:val="44"/>
        </w:rPr>
        <w:t>妇幼公共卫生服务工作的通知</w:t>
      </w:r>
      <w:bookmarkEnd w:id="0"/>
    </w:p>
    <w:p>
      <w:pPr>
        <w:adjustRightInd w:val="0"/>
        <w:snapToGrid w:val="0"/>
        <w:spacing w:line="640" w:lineRule="exact"/>
        <w:rPr>
          <w:color w:val="auto"/>
        </w:rPr>
      </w:pPr>
    </w:p>
    <w:p>
      <w:pPr>
        <w:adjustRightInd w:val="0"/>
        <w:spacing w:line="6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各乡镇（街道）卫生院（社区卫生服务中心），市直医疗卫生单位</w:t>
      </w:r>
      <w:r>
        <w:rPr>
          <w:rFonts w:hint="eastAsia" w:ascii="仿宋_GB2312" w:hAnsi="仿宋_GB2312" w:eastAsia="仿宋_GB2312" w:cs="仿宋_GB2312"/>
          <w:color w:val="auto"/>
          <w:sz w:val="32"/>
          <w:szCs w:val="32"/>
          <w:shd w:val="clear" w:color="auto" w:fill="FFFFFF"/>
        </w:rPr>
        <w:t>：</w:t>
      </w:r>
    </w:p>
    <w:p>
      <w:pPr>
        <w:spacing w:line="640" w:lineRule="exact"/>
        <w:ind w:firstLine="632" w:firstLineChars="200"/>
        <w:rPr>
          <w:rFonts w:hint="eastAsia" w:ascii="仿宋_GB2312" w:hAnsi="仿宋_GB2312" w:eastAsia="仿宋_GB2312" w:cs="仿宋_GB2312"/>
          <w:color w:val="auto"/>
          <w:kern w:val="0"/>
          <w:sz w:val="32"/>
          <w:szCs w:val="32"/>
        </w:rPr>
      </w:pPr>
      <w:bookmarkStart w:id="1" w:name="正文"/>
      <w:r>
        <w:rPr>
          <w:rFonts w:hint="eastAsia" w:ascii="仿宋_GB2312" w:hAnsi="仿宋_GB2312" w:eastAsia="仿宋_GB2312" w:cs="仿宋_GB2312"/>
          <w:color w:val="auto"/>
          <w:kern w:val="0"/>
          <w:sz w:val="32"/>
          <w:szCs w:val="32"/>
        </w:rPr>
        <w:t>为做好2021年妇幼公共卫生服务工作，现将有关事项通知如下：</w:t>
      </w:r>
    </w:p>
    <w:p>
      <w:pPr>
        <w:spacing w:line="640" w:lineRule="exact"/>
        <w:ind w:firstLine="632"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一、工作内容</w:t>
      </w:r>
    </w:p>
    <w:p>
      <w:pPr>
        <w:spacing w:line="640" w:lineRule="exact"/>
        <w:ind w:firstLine="64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1.妇幼基本公共卫生服务项目。</w:t>
      </w:r>
      <w:r>
        <w:rPr>
          <w:rFonts w:hint="eastAsia" w:ascii="仿宋_GB2312" w:hAnsi="仿宋_GB2312" w:eastAsia="仿宋_GB2312" w:cs="仿宋_GB2312"/>
          <w:color w:val="auto"/>
          <w:kern w:val="0"/>
          <w:sz w:val="32"/>
          <w:szCs w:val="32"/>
        </w:rPr>
        <w:t>继续开展增补叶酸预防神经管缺陷、免费孕前健康检查、地中海贫血防控、免费产前筛查诊断、妇女“两癌”检查、基本避孕服务及新生儿疾病筛查等7项妇幼基本公共卫生服务项目。</w:t>
      </w:r>
      <w:r>
        <w:rPr>
          <w:rFonts w:hint="eastAsia" w:ascii="仿宋_GB2312" w:hAnsi="仿宋_GB2312" w:eastAsia="仿宋_GB2312" w:cs="仿宋_GB2312"/>
          <w:color w:val="auto"/>
          <w:kern w:val="0"/>
          <w:sz w:val="32"/>
          <w:szCs w:val="32"/>
          <w:lang w:eastAsia="zh-CN"/>
        </w:rPr>
        <w:t>任务数</w:t>
      </w:r>
      <w:r>
        <w:rPr>
          <w:rFonts w:hint="eastAsia" w:ascii="仿宋_GB2312" w:hAnsi="仿宋_GB2312" w:eastAsia="仿宋_GB2312" w:cs="仿宋_GB2312"/>
          <w:color w:val="auto"/>
          <w:kern w:val="0"/>
          <w:sz w:val="32"/>
          <w:szCs w:val="32"/>
        </w:rPr>
        <w:t>及服务对象详见附件1，绩效评价标准详见附件2。</w:t>
      </w:r>
    </w:p>
    <w:p>
      <w:pPr>
        <w:spacing w:line="640" w:lineRule="exact"/>
        <w:ind w:firstLine="64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2.预防艾滋病、梅毒和乙肝母婴传播工作。</w:t>
      </w:r>
      <w:r>
        <w:rPr>
          <w:rFonts w:hint="eastAsia" w:ascii="仿宋_GB2312" w:hAnsi="仿宋_GB2312" w:eastAsia="仿宋_GB2312" w:cs="仿宋_GB2312"/>
          <w:color w:val="auto"/>
          <w:kern w:val="0"/>
          <w:sz w:val="32"/>
          <w:szCs w:val="32"/>
        </w:rPr>
        <w:t>继续按照国家卫生健康委《预防艾滋病、梅毒和乙肝母婴传播工作规范(2020年版)》及省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泉州市</w:t>
      </w:r>
      <w:r>
        <w:rPr>
          <w:rFonts w:hint="eastAsia" w:ascii="仿宋_GB2312" w:hAnsi="仿宋_GB2312" w:eastAsia="仿宋_GB2312" w:cs="仿宋_GB2312"/>
          <w:color w:val="auto"/>
          <w:kern w:val="0"/>
          <w:sz w:val="32"/>
          <w:szCs w:val="32"/>
        </w:rPr>
        <w:t>卫健委相关文件要求统筹推进各项工作。重点落实孕产妇免费HI</w:t>
      </w:r>
      <w:r>
        <w:rPr>
          <w:rFonts w:hint="eastAsia" w:ascii="仿宋_GB2312" w:hAnsi="仿宋_GB2312" w:eastAsia="仿宋_GB2312" w:cs="仿宋_GB2312"/>
          <w:color w:val="auto"/>
          <w:kern w:val="0"/>
          <w:sz w:val="32"/>
          <w:szCs w:val="32"/>
          <w:lang w:val="en-US" w:eastAsia="zh-CN"/>
        </w:rPr>
        <w:t>V</w:t>
      </w:r>
      <w:r>
        <w:rPr>
          <w:rFonts w:hint="eastAsia" w:ascii="仿宋_GB2312" w:hAnsi="仿宋_GB2312" w:eastAsia="仿宋_GB2312" w:cs="仿宋_GB2312"/>
          <w:color w:val="auto"/>
          <w:kern w:val="0"/>
          <w:sz w:val="32"/>
          <w:szCs w:val="32"/>
        </w:rPr>
        <w:t>初筛、免费梅毒螺旋体血清学试验及免费乙肝“两对半”定性检测，提高孕早期检测率，做好阳性孕产妇及儿童相关</w:t>
      </w:r>
      <w:r>
        <w:rPr>
          <w:rFonts w:hint="eastAsia" w:ascii="仿宋_GB2312" w:hAnsi="仿宋_GB2312" w:eastAsia="仿宋_GB2312" w:cs="仿宋_GB2312"/>
          <w:color w:val="auto"/>
          <w:sz w:val="32"/>
          <w:szCs w:val="32"/>
        </w:rPr>
        <w:t>干预及管理。</w:t>
      </w:r>
    </w:p>
    <w:p>
      <w:pPr>
        <w:spacing w:line="640" w:lineRule="exact"/>
        <w:ind w:firstLine="64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0"/>
          <w:sz w:val="32"/>
          <w:szCs w:val="32"/>
        </w:rPr>
        <w:t>3.基本避孕服务项目管理。</w:t>
      </w:r>
      <w:r>
        <w:rPr>
          <w:rFonts w:hint="eastAsia" w:ascii="仿宋_GB2312" w:hAnsi="仿宋_GB2312" w:eastAsia="仿宋_GB2312" w:cs="仿宋_GB2312"/>
          <w:color w:val="auto"/>
          <w:sz w:val="32"/>
          <w:szCs w:val="32"/>
        </w:rPr>
        <w:t>根据《基本避孕服务项目管理工作规范》，要切实提高免费基本避孕药具的机构发放比，特别是乡镇卫生院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社区卫生服务中心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、村卫生</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val="en-US" w:eastAsia="zh-CN"/>
        </w:rPr>
        <w:t>）、社区卫生服务站</w:t>
      </w:r>
      <w:r>
        <w:rPr>
          <w:rFonts w:hint="eastAsia" w:ascii="仿宋_GB2312" w:hAnsi="仿宋_GB2312" w:eastAsia="仿宋_GB2312" w:cs="仿宋_GB2312"/>
          <w:color w:val="auto"/>
          <w:sz w:val="32"/>
          <w:szCs w:val="32"/>
        </w:rPr>
        <w:t>，要在机构内醒目位置做好政策宣传，充分告知群众,提高发放覆盖率。重点要大力推广免费基本避孕药具扫码领取、自助发放机领取、线上申请领取，实现精准发放。</w:t>
      </w:r>
    </w:p>
    <w:p>
      <w:pPr>
        <w:tabs>
          <w:tab w:val="left" w:pos="474"/>
        </w:tabs>
        <w:spacing w:line="640" w:lineRule="exact"/>
        <w:ind w:firstLine="632"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二、工作重点</w:t>
      </w:r>
    </w:p>
    <w:p>
      <w:pPr>
        <w:spacing w:line="640" w:lineRule="exact"/>
        <w:ind w:firstLine="632"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1.扩大服务范围，提高服务成效。</w:t>
      </w:r>
      <w:r>
        <w:rPr>
          <w:rFonts w:hint="eastAsia" w:ascii="仿宋_GB2312" w:hAnsi="仿宋_GB2312" w:eastAsia="仿宋_GB2312" w:cs="仿宋_GB2312"/>
          <w:color w:val="auto"/>
          <w:kern w:val="0"/>
          <w:sz w:val="32"/>
          <w:szCs w:val="32"/>
        </w:rPr>
        <w:t>一是符合免费产前筛查诊断项目的孕妇可在全省范围内就近享受1次免费产前筛查服务。二是加强乳腺癌、宫颈癌患者的结局追踪。</w:t>
      </w:r>
      <w:r>
        <w:rPr>
          <w:rFonts w:hint="eastAsia" w:ascii="仿宋_GB2312" w:hAnsi="仿宋_GB2312" w:eastAsia="仿宋_GB2312" w:cs="仿宋_GB2312"/>
          <w:color w:val="auto"/>
          <w:sz w:val="32"/>
          <w:szCs w:val="32"/>
          <w:shd w:val="clear" w:color="auto" w:fill="FFFFFF"/>
          <w:lang w:eastAsia="zh-CN"/>
        </w:rPr>
        <w:t>对于</w:t>
      </w:r>
      <w:r>
        <w:rPr>
          <w:rFonts w:hint="eastAsia" w:ascii="仿宋_GB2312" w:hAnsi="仿宋_GB2312" w:eastAsia="仿宋_GB2312" w:cs="仿宋_GB2312"/>
          <w:color w:val="auto"/>
          <w:kern w:val="0"/>
          <w:sz w:val="32"/>
          <w:szCs w:val="32"/>
        </w:rPr>
        <w:t>筛查过程中发现的癌症病人，要采取形式多样的帮扶形式。</w:t>
      </w:r>
      <w:r>
        <w:rPr>
          <w:rFonts w:hint="eastAsia" w:ascii="仿宋_GB2312" w:hAnsi="仿宋_GB2312" w:eastAsia="仿宋_GB2312" w:cs="仿宋_GB2312"/>
          <w:color w:val="auto"/>
          <w:kern w:val="0"/>
          <w:sz w:val="32"/>
          <w:szCs w:val="32"/>
          <w:highlight w:val="none"/>
        </w:rPr>
        <w:t>各</w:t>
      </w:r>
      <w:r>
        <w:rPr>
          <w:rFonts w:hint="eastAsia" w:ascii="仿宋_GB2312" w:hAnsi="仿宋_GB2312" w:eastAsia="仿宋_GB2312" w:cs="仿宋_GB2312"/>
          <w:color w:val="auto"/>
          <w:kern w:val="0"/>
          <w:sz w:val="32"/>
          <w:szCs w:val="32"/>
          <w:highlight w:val="none"/>
          <w:lang w:eastAsia="zh-CN"/>
        </w:rPr>
        <w:t>医疗卫生单位</w:t>
      </w:r>
      <w:r>
        <w:rPr>
          <w:rFonts w:hint="eastAsia" w:ascii="仿宋_GB2312" w:hAnsi="仿宋_GB2312" w:eastAsia="仿宋_GB2312" w:cs="仿宋_GB2312"/>
          <w:color w:val="auto"/>
          <w:kern w:val="0"/>
          <w:sz w:val="32"/>
          <w:szCs w:val="32"/>
          <w:highlight w:val="none"/>
          <w:lang w:val="en-US" w:eastAsia="zh-CN"/>
        </w:rPr>
        <w:t>要</w:t>
      </w:r>
      <w:r>
        <w:rPr>
          <w:rFonts w:hint="eastAsia" w:ascii="仿宋_GB2312" w:hAnsi="仿宋_GB2312" w:eastAsia="仿宋_GB2312" w:cs="仿宋_GB2312"/>
          <w:color w:val="auto"/>
          <w:kern w:val="0"/>
          <w:sz w:val="32"/>
          <w:szCs w:val="32"/>
          <w:highlight w:val="none"/>
        </w:rPr>
        <w:t>积极为筛查过程中发现的癌症患者在治疗上提供必要的援助，如</w:t>
      </w:r>
      <w:r>
        <w:rPr>
          <w:rFonts w:hint="eastAsia" w:ascii="仿宋_GB2312" w:hAnsi="仿宋_GB2312" w:eastAsia="仿宋_GB2312" w:cs="仿宋_GB2312"/>
          <w:color w:val="auto"/>
          <w:kern w:val="0"/>
          <w:sz w:val="32"/>
          <w:szCs w:val="32"/>
          <w:highlight w:val="none"/>
          <w:lang w:val="en-US" w:eastAsia="zh-CN"/>
        </w:rPr>
        <w:t>协助通过当地政府联系民政、慈善等部门、机构对符合救助政策的对象</w:t>
      </w:r>
      <w:r>
        <w:rPr>
          <w:rFonts w:hint="eastAsia" w:ascii="仿宋_GB2312" w:hAnsi="仿宋_GB2312" w:eastAsia="仿宋_GB2312" w:cs="仿宋_GB2312"/>
          <w:color w:val="auto"/>
          <w:kern w:val="0"/>
          <w:sz w:val="32"/>
          <w:szCs w:val="32"/>
          <w:highlight w:val="none"/>
        </w:rPr>
        <w:t>在治疗费用上给予适当的补助。</w:t>
      </w:r>
      <w:r>
        <w:rPr>
          <w:rFonts w:hint="eastAsia" w:ascii="仿宋_GB2312" w:hAnsi="仿宋_GB2312" w:eastAsia="仿宋_GB2312" w:cs="仿宋_GB2312"/>
          <w:color w:val="auto"/>
          <w:kern w:val="0"/>
          <w:sz w:val="32"/>
          <w:szCs w:val="32"/>
        </w:rPr>
        <w:t>减少困难群众因害怕治疗费用昂贵无法承担，而拒绝筛查、或延误治疗导致死亡。</w:t>
      </w:r>
    </w:p>
    <w:p>
      <w:pPr>
        <w:spacing w:line="640" w:lineRule="exact"/>
        <w:ind w:firstLine="64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2.加强业务质控，提高服务质量。</w:t>
      </w:r>
      <w:r>
        <w:rPr>
          <w:rFonts w:hint="eastAsia" w:ascii="仿宋_GB2312" w:hAnsi="仿宋_GB2312" w:eastAsia="仿宋_GB2312" w:cs="仿宋_GB2312"/>
          <w:color w:val="auto"/>
          <w:kern w:val="0"/>
          <w:sz w:val="32"/>
          <w:szCs w:val="32"/>
        </w:rPr>
        <w:t>市妇幼保健</w:t>
      </w:r>
      <w:r>
        <w:rPr>
          <w:rFonts w:hint="eastAsia" w:ascii="仿宋_GB2312" w:hAnsi="仿宋_GB2312" w:eastAsia="仿宋_GB2312" w:cs="仿宋_GB2312"/>
          <w:color w:val="auto"/>
          <w:kern w:val="0"/>
          <w:sz w:val="32"/>
          <w:szCs w:val="32"/>
          <w:lang w:eastAsia="zh-CN"/>
        </w:rPr>
        <w:t>院要</w:t>
      </w:r>
      <w:r>
        <w:rPr>
          <w:rFonts w:hint="eastAsia" w:ascii="仿宋_GB2312" w:hAnsi="仿宋_GB2312" w:eastAsia="仿宋_GB2312" w:cs="仿宋_GB2312"/>
          <w:color w:val="auto"/>
          <w:kern w:val="0"/>
          <w:sz w:val="32"/>
          <w:szCs w:val="32"/>
        </w:rPr>
        <w:t>加强对各医疗卫生单位</w:t>
      </w:r>
      <w:r>
        <w:rPr>
          <w:rFonts w:hint="eastAsia" w:ascii="仿宋_GB2312" w:hAnsi="仿宋_GB2312" w:eastAsia="仿宋_GB2312" w:cs="仿宋_GB2312"/>
          <w:color w:val="auto"/>
          <w:kern w:val="0"/>
          <w:sz w:val="32"/>
          <w:szCs w:val="32"/>
          <w:lang w:eastAsia="zh-CN"/>
        </w:rPr>
        <w:t>妇幼保健工作</w:t>
      </w:r>
      <w:r>
        <w:rPr>
          <w:rFonts w:hint="eastAsia" w:ascii="仿宋_GB2312" w:hAnsi="仿宋_GB2312" w:eastAsia="仿宋_GB2312" w:cs="仿宋_GB2312"/>
          <w:color w:val="auto"/>
          <w:kern w:val="0"/>
          <w:sz w:val="32"/>
          <w:szCs w:val="32"/>
        </w:rPr>
        <w:t>的日常监管与指导，定期开展业务培训与质控工作，不断提高服务质量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要积极参加省级临床检验中心开展的其余项目的室间质评，并提高参评项目合格率。2021年起，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两癌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项目省级管理单位(省妇幼保健院)将牵头开展全省HPV检测室间质评及阳性标本实验室间比对，并抽取部分机构对两癌检查结果进行现场复核。</w:t>
      </w:r>
    </w:p>
    <w:p>
      <w:pPr>
        <w:spacing w:line="640" w:lineRule="exact"/>
        <w:ind w:firstLine="64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3.加强信息系统应用，做好日常监管。</w:t>
      </w:r>
      <w:r>
        <w:rPr>
          <w:rFonts w:hint="eastAsia" w:ascii="仿宋_GB2312" w:hAnsi="仿宋_GB2312" w:eastAsia="仿宋_GB2312" w:cs="仿宋_GB2312"/>
          <w:b w:val="0"/>
          <w:bCs w:val="0"/>
          <w:color w:val="auto"/>
          <w:kern w:val="0"/>
          <w:sz w:val="32"/>
          <w:szCs w:val="32"/>
          <w:highlight w:val="none"/>
          <w:lang w:val="en-US" w:eastAsia="zh-CN"/>
        </w:rPr>
        <w:t>市妇幼保健院要</w:t>
      </w:r>
      <w:r>
        <w:rPr>
          <w:rFonts w:hint="eastAsia" w:ascii="仿宋_GB2312" w:hAnsi="仿宋_GB2312" w:eastAsia="仿宋_GB2312" w:cs="仿宋_GB2312"/>
          <w:color w:val="auto"/>
          <w:kern w:val="0"/>
          <w:sz w:val="32"/>
          <w:szCs w:val="32"/>
        </w:rPr>
        <w:t>重视项目信息系统的日常应用与完善，定期、主动地通过信息系统掌握项目进展情况，督促项目管理单位逐步建立项目数据采集的日常监测和质控分析体系，加强数据的应用分析，及时、客观地评估项目实施效果，发现问题及时梳理原因并指导相关机构整改到位。通过信息系统不断提高项目数据录入的及时性、完整性与准确性，避免因信息录入不及时导致的异地二次免费，以及影响对阳性及确诊对象的</w:t>
      </w:r>
      <w:r>
        <w:rPr>
          <w:rFonts w:hint="eastAsia" w:ascii="仿宋_GB2312" w:hAnsi="仿宋_GB2312" w:eastAsia="仿宋_GB2312" w:cs="仿宋_GB2312"/>
          <w:color w:val="auto"/>
          <w:kern w:val="0"/>
          <w:sz w:val="32"/>
          <w:szCs w:val="32"/>
          <w:lang w:val="en-US" w:eastAsia="zh-CN"/>
        </w:rPr>
        <w:t>追</w:t>
      </w:r>
      <w:r>
        <w:rPr>
          <w:rFonts w:hint="eastAsia" w:ascii="仿宋_GB2312" w:hAnsi="仿宋_GB2312" w:eastAsia="仿宋_GB2312" w:cs="仿宋_GB2312"/>
          <w:color w:val="auto"/>
          <w:kern w:val="0"/>
          <w:sz w:val="32"/>
          <w:szCs w:val="32"/>
        </w:rPr>
        <w:t>踪管理。</w:t>
      </w:r>
    </w:p>
    <w:p>
      <w:pPr>
        <w:spacing w:line="640" w:lineRule="exact"/>
        <w:ind w:firstLine="632"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三、其他事项</w:t>
      </w:r>
    </w:p>
    <w:p>
      <w:pPr>
        <w:spacing w:line="640" w:lineRule="exact"/>
        <w:ind w:firstLine="632"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1.强化组织保障，规范资金使用。</w:t>
      </w:r>
      <w:r>
        <w:rPr>
          <w:rFonts w:hint="eastAsia" w:ascii="仿宋_GB2312" w:hAnsi="仿宋_GB2312" w:eastAsia="仿宋_GB2312" w:cs="仿宋_GB2312"/>
          <w:b w:val="0"/>
          <w:bCs w:val="0"/>
          <w:color w:val="auto"/>
          <w:kern w:val="0"/>
          <w:sz w:val="32"/>
          <w:szCs w:val="32"/>
        </w:rPr>
        <w:t>市</w:t>
      </w:r>
      <w:r>
        <w:rPr>
          <w:rFonts w:hint="eastAsia" w:ascii="仿宋_GB2312" w:hAnsi="仿宋_GB2312" w:eastAsia="仿宋_GB2312" w:cs="仿宋_GB2312"/>
          <w:color w:val="auto"/>
          <w:kern w:val="0"/>
          <w:sz w:val="32"/>
          <w:szCs w:val="32"/>
        </w:rPr>
        <w:t>卫健局</w:t>
      </w:r>
      <w:r>
        <w:rPr>
          <w:rFonts w:hint="eastAsia" w:ascii="仿宋_GB2312" w:hAnsi="仿宋_GB2312" w:eastAsia="仿宋_GB2312" w:cs="仿宋_GB2312"/>
          <w:color w:val="auto"/>
          <w:kern w:val="0"/>
          <w:sz w:val="32"/>
          <w:szCs w:val="32"/>
          <w:lang w:val="en-US" w:eastAsia="zh-CN"/>
        </w:rPr>
        <w:t>将</w:t>
      </w:r>
      <w:r>
        <w:rPr>
          <w:rFonts w:hint="eastAsia" w:ascii="仿宋_GB2312" w:hAnsi="仿宋_GB2312" w:eastAsia="仿宋_GB2312" w:cs="仿宋_GB2312"/>
          <w:color w:val="auto"/>
          <w:kern w:val="0"/>
          <w:sz w:val="32"/>
          <w:szCs w:val="32"/>
        </w:rPr>
        <w:t>加强对项目各个环节的组织领导，逐级明确各项目工作任务到具体责任人，精准落实工作规范各项要求，并强化监管力度，确保项目实施进度。</w:t>
      </w:r>
      <w:r>
        <w:rPr>
          <w:rFonts w:hint="eastAsia" w:ascii="仿宋_GB2312" w:hAnsi="仿宋_GB2312" w:eastAsia="仿宋_GB2312" w:cs="仿宋_GB2312"/>
          <w:color w:val="auto"/>
          <w:kern w:val="0"/>
          <w:sz w:val="32"/>
          <w:szCs w:val="32"/>
          <w:lang w:val="en-US" w:eastAsia="zh-CN"/>
        </w:rPr>
        <w:t>各项目单位</w:t>
      </w:r>
      <w:r>
        <w:rPr>
          <w:rFonts w:hint="eastAsia" w:ascii="仿宋_GB2312" w:hAnsi="仿宋_GB2312" w:eastAsia="仿宋_GB2312" w:cs="仿宋_GB2312"/>
          <w:color w:val="auto"/>
          <w:kern w:val="0"/>
          <w:sz w:val="32"/>
          <w:szCs w:val="32"/>
        </w:rPr>
        <w:t>要规范资金使用，妇幼基本公共卫生服务所需资金主要由省级财政保障，不足部分由县级财政承担。2021年度，省级将采用信息系统数据进行地中海贫血防控、免费产前筛诊断、妇女“两癌”检</w:t>
      </w:r>
      <w:r>
        <w:rPr>
          <w:rFonts w:hint="eastAsia" w:ascii="仿宋_GB2312" w:hAnsi="仿宋_GB2312" w:eastAsia="仿宋_GB2312" w:cs="仿宋_GB2312"/>
          <w:color w:val="auto"/>
          <w:kern w:val="0"/>
          <w:sz w:val="32"/>
          <w:szCs w:val="32"/>
          <w:lang w:val="en-US" w:eastAsia="zh-CN"/>
        </w:rPr>
        <w:t>查</w:t>
      </w:r>
      <w:r>
        <w:rPr>
          <w:rFonts w:hint="eastAsia" w:ascii="仿宋_GB2312" w:hAnsi="仿宋_GB2312" w:eastAsia="仿宋_GB2312" w:cs="仿宋_GB2312"/>
          <w:color w:val="auto"/>
          <w:kern w:val="0"/>
          <w:sz w:val="32"/>
          <w:szCs w:val="32"/>
        </w:rPr>
        <w:t>及新生儿遗传代谢性疾病与先天性心脏病免费筛</w:t>
      </w:r>
      <w:r>
        <w:rPr>
          <w:rFonts w:hint="eastAsia" w:ascii="仿宋_GB2312" w:hAnsi="仿宋_GB2312" w:eastAsia="仿宋_GB2312" w:cs="仿宋_GB2312"/>
          <w:color w:val="auto"/>
          <w:kern w:val="0"/>
          <w:sz w:val="32"/>
          <w:szCs w:val="32"/>
          <w:lang w:val="en-US" w:eastAsia="zh-CN"/>
        </w:rPr>
        <w:t>查</w:t>
      </w:r>
      <w:r>
        <w:rPr>
          <w:rFonts w:hint="eastAsia" w:ascii="仿宋_GB2312" w:hAnsi="仿宋_GB2312" w:eastAsia="仿宋_GB2312" w:cs="仿宋_GB2312"/>
          <w:color w:val="auto"/>
          <w:kern w:val="0"/>
          <w:sz w:val="32"/>
          <w:szCs w:val="32"/>
        </w:rPr>
        <w:t>等项目的资金结算与绩效评价。</w:t>
      </w:r>
    </w:p>
    <w:p>
      <w:pPr>
        <w:spacing w:line="640" w:lineRule="exact"/>
        <w:ind w:firstLine="64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2.确保项目实施效果。</w:t>
      </w:r>
      <w:r>
        <w:rPr>
          <w:rFonts w:hint="eastAsia" w:ascii="仿宋_GB2312" w:hAnsi="仿宋_GB2312" w:eastAsia="仿宋_GB2312" w:cs="仿宋_GB2312"/>
          <w:color w:val="auto"/>
          <w:kern w:val="0"/>
          <w:sz w:val="32"/>
          <w:szCs w:val="32"/>
        </w:rPr>
        <w:t>市妇幼保健院</w:t>
      </w:r>
      <w:r>
        <w:rPr>
          <w:rFonts w:hint="eastAsia" w:ascii="仿宋_GB2312" w:hAnsi="仿宋_GB2312" w:eastAsia="仿宋_GB2312" w:cs="仿宋_GB2312"/>
          <w:color w:val="auto"/>
          <w:kern w:val="0"/>
          <w:sz w:val="32"/>
          <w:szCs w:val="32"/>
          <w:lang w:val="en-US" w:eastAsia="zh-CN"/>
        </w:rPr>
        <w:t>要做好项目进展汇总和工作总结，并</w:t>
      </w:r>
      <w:r>
        <w:rPr>
          <w:rFonts w:hint="eastAsia" w:ascii="仿宋_GB2312" w:hAnsi="仿宋_GB2312" w:eastAsia="仿宋_GB2312" w:cs="仿宋_GB2312"/>
          <w:color w:val="auto"/>
          <w:kern w:val="0"/>
          <w:sz w:val="32"/>
          <w:szCs w:val="32"/>
        </w:rPr>
        <w:t>于7月15日、10月15日前</w:t>
      </w:r>
      <w:r>
        <w:rPr>
          <w:rFonts w:hint="eastAsia" w:ascii="仿宋_GB2312" w:hAnsi="仿宋_GB2312" w:eastAsia="仿宋_GB2312" w:cs="仿宋_GB2312"/>
          <w:color w:val="auto"/>
          <w:kern w:val="0"/>
          <w:sz w:val="32"/>
          <w:szCs w:val="32"/>
          <w:lang w:eastAsia="zh-CN"/>
        </w:rPr>
        <w:t>分别</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rPr>
        <w:t>报送2021年第二、三季度工作进度，2022年1月1</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日前报送2021年度项目总结报告，内容突出存在问题及改进建议等。</w:t>
      </w:r>
    </w:p>
    <w:bookmarkEnd w:id="1"/>
    <w:p>
      <w:pPr>
        <w:spacing w:line="640" w:lineRule="exact"/>
        <w:ind w:firstLine="632" w:firstLineChars="200"/>
        <w:rPr>
          <w:rFonts w:hint="eastAsia" w:ascii="仿宋_GB2312" w:hAnsi="仿宋_GB2312" w:eastAsia="仿宋_GB2312" w:cs="仿宋_GB2312"/>
          <w:color w:val="auto"/>
          <w:sz w:val="32"/>
          <w:szCs w:val="32"/>
        </w:rPr>
      </w:pPr>
    </w:p>
    <w:p>
      <w:pPr>
        <w:spacing w:line="64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附件：1.南安市2021年部分妇幼基本公共卫生服务项目</w:t>
      </w:r>
    </w:p>
    <w:p>
      <w:pPr>
        <w:spacing w:line="640" w:lineRule="exact"/>
        <w:ind w:firstLine="1896" w:firstLineChars="6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预估目标人数及服务对象</w:t>
      </w:r>
    </w:p>
    <w:p>
      <w:pPr>
        <w:spacing w:line="640" w:lineRule="exact"/>
        <w:ind w:left="1328" w:leftChars="645" w:firstLine="316"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2.2021年妇幼基本公共卫生服务项目绩效评价标准</w:t>
      </w:r>
    </w:p>
    <w:p>
      <w:pPr>
        <w:tabs>
          <w:tab w:val="left" w:pos="7513"/>
        </w:tabs>
        <w:adjustRightInd w:val="0"/>
        <w:spacing w:line="640" w:lineRule="exact"/>
        <w:ind w:right="412" w:rightChars="200"/>
        <w:jc w:val="both"/>
        <w:rPr>
          <w:rFonts w:hint="eastAsia" w:ascii="仿宋_GB2312" w:hAnsi="仿宋_GB2312" w:eastAsia="仿宋_GB2312" w:cs="仿宋_GB2312"/>
          <w:color w:val="auto"/>
          <w:sz w:val="32"/>
          <w:szCs w:val="32"/>
        </w:rPr>
      </w:pPr>
    </w:p>
    <w:p>
      <w:pPr>
        <w:pStyle w:val="2"/>
        <w:rPr>
          <w:rFonts w:hint="eastAsia"/>
        </w:rPr>
      </w:pPr>
    </w:p>
    <w:p>
      <w:pPr>
        <w:tabs>
          <w:tab w:val="left" w:pos="7513"/>
        </w:tabs>
        <w:adjustRightInd w:val="0"/>
        <w:spacing w:line="640" w:lineRule="exact"/>
        <w:ind w:right="412" w:rightChars="200"/>
        <w:jc w:val="right"/>
        <w:rPr>
          <w:rFonts w:hint="eastAsia" w:ascii="仿宋_GB2312" w:hAnsi="仿宋_GB2312" w:eastAsia="仿宋_GB2312" w:cs="仿宋_GB2312"/>
          <w:color w:val="auto"/>
          <w:sz w:val="32"/>
          <w:szCs w:val="32"/>
        </w:rPr>
      </w:pPr>
      <w:bookmarkStart w:id="2" w:name="qy"/>
      <w:bookmarkStart w:id="3" w:name="年"/>
      <w:r>
        <w:rPr>
          <w:rFonts w:hint="eastAsia" w:ascii="仿宋_GB2312" w:hAnsi="仿宋_GB2312" w:eastAsia="仿宋_GB2312" w:cs="仿宋_GB2312"/>
          <w:color w:val="auto"/>
          <w:sz w:val="32"/>
          <w:szCs w:val="32"/>
        </w:rPr>
        <w:t>南安市卫生健康局</w:t>
      </w:r>
    </w:p>
    <w:p>
      <w:pPr>
        <w:tabs>
          <w:tab w:val="left" w:pos="7513"/>
        </w:tabs>
        <w:adjustRightInd w:val="0"/>
        <w:spacing w:line="640" w:lineRule="exact"/>
        <w:ind w:right="412" w:right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bookmarkEnd w:id="2"/>
      <w:r>
        <w:rPr>
          <w:rFonts w:hint="eastAsia" w:ascii="仿宋_GB2312" w:hAnsi="仿宋_GB2312" w:eastAsia="仿宋_GB2312" w:cs="仿宋_GB2312"/>
          <w:color w:val="auto"/>
          <w:sz w:val="32"/>
          <w:szCs w:val="32"/>
        </w:rPr>
        <w:t>1年</w:t>
      </w:r>
      <w:bookmarkEnd w:id="3"/>
      <w:bookmarkStart w:id="4" w:name="月"/>
      <w:r>
        <w:rPr>
          <w:rFonts w:hint="eastAsia" w:ascii="仿宋_GB2312" w:hAnsi="仿宋_GB2312" w:eastAsia="仿宋_GB2312" w:cs="仿宋_GB2312"/>
          <w:color w:val="auto"/>
          <w:sz w:val="32"/>
          <w:szCs w:val="32"/>
        </w:rPr>
        <w:t>7月</w:t>
      </w:r>
      <w:bookmarkEnd w:id="4"/>
      <w:bookmarkStart w:id="5" w:name="日"/>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bookmarkEnd w:id="5"/>
    </w:p>
    <w:p>
      <w:pPr>
        <w:tabs>
          <w:tab w:val="left" w:pos="7513"/>
        </w:tabs>
        <w:adjustRightInd w:val="0"/>
        <w:spacing w:line="640" w:lineRule="exact"/>
        <w:ind w:right="412" w:rightChars="200" w:firstLine="632"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此件主动公开</w:t>
      </w:r>
      <w:r>
        <w:rPr>
          <w:rFonts w:hint="eastAsia" w:ascii="仿宋_GB2312" w:hAnsi="仿宋_GB2312" w:eastAsia="仿宋_GB2312" w:cs="仿宋_GB2312"/>
          <w:color w:val="auto"/>
          <w:sz w:val="32"/>
          <w:szCs w:val="32"/>
          <w:lang w:eastAsia="zh-CN"/>
        </w:rPr>
        <w:t>）</w:t>
      </w: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tabs>
          <w:tab w:val="left" w:pos="7513"/>
        </w:tabs>
        <w:adjustRightInd w:val="0"/>
        <w:spacing w:line="540" w:lineRule="exact"/>
        <w:ind w:right="412" w:rightChars="200"/>
        <w:rPr>
          <w:rFonts w:hint="eastAsia" w:ascii="黑体" w:hAnsi="黑体" w:eastAsia="黑体" w:cs="黑体"/>
          <w:color w:val="auto"/>
          <w:kern w:val="0"/>
          <w:sz w:val="32"/>
          <w:szCs w:val="32"/>
        </w:rPr>
      </w:pPr>
      <w:bookmarkStart w:id="6" w:name="_GoBack"/>
      <w:bookmarkEnd w:id="6"/>
      <w:r>
        <w:rPr>
          <w:rFonts w:hint="eastAsia" w:ascii="黑体" w:hAnsi="黑体" w:eastAsia="黑体" w:cs="黑体"/>
          <w:color w:val="auto"/>
          <w:kern w:val="0"/>
          <w:sz w:val="32"/>
          <w:szCs w:val="32"/>
        </w:rPr>
        <w:t>附件1</w:t>
      </w:r>
    </w:p>
    <w:p>
      <w:pPr>
        <w:tabs>
          <w:tab w:val="left" w:pos="7513"/>
        </w:tabs>
        <w:adjustRightInd w:val="0"/>
        <w:spacing w:line="540" w:lineRule="exact"/>
        <w:ind w:right="412" w:rightChars="200"/>
        <w:jc w:val="center"/>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南安市2021年部分妇幼基本公共卫生服务项目任务数</w:t>
      </w:r>
    </w:p>
    <w:tbl>
      <w:tblPr>
        <w:tblStyle w:val="8"/>
        <w:tblW w:w="9278" w:type="dxa"/>
        <w:jc w:val="center"/>
        <w:tblLayout w:type="fixed"/>
        <w:tblCellMar>
          <w:top w:w="0" w:type="dxa"/>
          <w:left w:w="0" w:type="dxa"/>
          <w:bottom w:w="0" w:type="dxa"/>
          <w:right w:w="0" w:type="dxa"/>
        </w:tblCellMar>
      </w:tblPr>
      <w:tblGrid>
        <w:gridCol w:w="1309"/>
        <w:gridCol w:w="1260"/>
        <w:gridCol w:w="1215"/>
        <w:gridCol w:w="1305"/>
        <w:gridCol w:w="1575"/>
        <w:gridCol w:w="1219"/>
        <w:gridCol w:w="1395"/>
      </w:tblGrid>
      <w:tr>
        <w:tblPrEx>
          <w:tblCellMar>
            <w:top w:w="0" w:type="dxa"/>
            <w:left w:w="0" w:type="dxa"/>
            <w:bottom w:w="0" w:type="dxa"/>
            <w:right w:w="0" w:type="dxa"/>
          </w:tblCellMar>
        </w:tblPrEx>
        <w:trPr>
          <w:trHeight w:val="579"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单位</w:t>
            </w:r>
          </w:p>
        </w:tc>
        <w:tc>
          <w:tcPr>
            <w:tcW w:w="2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“两癌”检查项目</w:t>
            </w:r>
          </w:p>
        </w:tc>
        <w:tc>
          <w:tcPr>
            <w:tcW w:w="13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地中海贫血任务数（对）</w:t>
            </w:r>
          </w:p>
        </w:tc>
        <w:tc>
          <w:tcPr>
            <w:tcW w:w="15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孕前优生健康检查任务数（人次）</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4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产前筛查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增补叶酸预防神经管缺陷</w:t>
            </w:r>
          </w:p>
        </w:tc>
      </w:tr>
      <w:tr>
        <w:tblPrEx>
          <w:tblCellMar>
            <w:top w:w="0" w:type="dxa"/>
            <w:left w:w="0" w:type="dxa"/>
            <w:bottom w:w="0" w:type="dxa"/>
            <w:right w:w="0" w:type="dxa"/>
          </w:tblCellMar>
        </w:tblPrEx>
        <w:trPr>
          <w:trHeight w:val="369"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1"/>
                <w:szCs w:val="21"/>
                <w:highlight w:val="none"/>
              </w:rPr>
            </w:pPr>
          </w:p>
        </w:tc>
        <w:tc>
          <w:tcPr>
            <w:tcW w:w="2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0"/>
                <w:szCs w:val="20"/>
                <w:highlight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0"/>
                <w:szCs w:val="20"/>
                <w:highlight w:val="none"/>
              </w:rPr>
            </w:pPr>
          </w:p>
        </w:tc>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0"/>
                <w:szCs w:val="20"/>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auto"/>
                <w:sz w:val="20"/>
                <w:szCs w:val="20"/>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835"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南安市</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宫颈癌</w:t>
            </w:r>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highlight w:val="none"/>
              </w:rPr>
              <w:t>检查人数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乳腺癌</w:t>
            </w:r>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highlight w:val="none"/>
              </w:rPr>
              <w:t>检查人数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地中海贫血任务数（对）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孕前优生健康检查任务数（人次）</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血清学筛查人数</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8500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2100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5000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3</w:t>
            </w:r>
            <w:r>
              <w:rPr>
                <w:rFonts w:hint="eastAsia" w:ascii="仿宋_GB2312" w:hAnsi="仿宋_GB2312" w:eastAsia="仿宋_GB2312" w:cs="仿宋_GB2312"/>
                <w:b/>
                <w:color w:val="auto"/>
                <w:kern w:val="0"/>
                <w:sz w:val="20"/>
                <w:szCs w:val="20"/>
                <w:highlight w:val="none"/>
                <w:lang w:val="en-US" w:eastAsia="zh-CN"/>
              </w:rPr>
              <w:t>1</w:t>
            </w:r>
            <w:r>
              <w:rPr>
                <w:rFonts w:hint="eastAsia" w:ascii="仿宋_GB2312" w:hAnsi="仿宋_GB2312" w:eastAsia="仿宋_GB2312" w:cs="仿宋_GB2312"/>
                <w:b/>
                <w:color w:val="auto"/>
                <w:kern w:val="0"/>
                <w:sz w:val="20"/>
                <w:szCs w:val="20"/>
                <w:highlight w:val="none"/>
              </w:rPr>
              <w:t>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7500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溪美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274</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柳城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92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220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美林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250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360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省新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159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260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康美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184</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250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洪濑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276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rPr>
              <w:t>2</w:t>
            </w:r>
            <w:r>
              <w:rPr>
                <w:rFonts w:hint="eastAsia" w:ascii="仿宋_GB2312" w:hAnsi="仿宋_GB2312" w:eastAsia="仿宋_GB2312" w:cs="仿宋_GB2312"/>
                <w:color w:val="auto"/>
                <w:kern w:val="0"/>
                <w:sz w:val="20"/>
                <w:szCs w:val="20"/>
                <w:highlight w:val="none"/>
                <w:lang w:val="en-US" w:eastAsia="zh-CN"/>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洪梅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173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丰州</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146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230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霞美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91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216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官桥</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142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339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500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水头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155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369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250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550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石井</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239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420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金淘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265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320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诗山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118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281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380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蓬华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码头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95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226</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330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梅山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85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202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360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罗东</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79</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189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乐峰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53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125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九都</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55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仑苍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154</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280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英都</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81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192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280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翔云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91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东田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169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280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眉山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78</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向阳</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49</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100</w:t>
            </w: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妇幼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rPr>
              <w:t>5</w:t>
            </w:r>
            <w:r>
              <w:rPr>
                <w:rFonts w:hint="eastAsia" w:ascii="仿宋_GB2312" w:hAnsi="仿宋_GB2312" w:eastAsia="仿宋_GB2312" w:cs="仿宋_GB2312"/>
                <w:color w:val="auto"/>
                <w:kern w:val="0"/>
                <w:sz w:val="20"/>
                <w:szCs w:val="20"/>
                <w:highlight w:val="none"/>
                <w:lang w:val="en-US" w:eastAsia="zh-CN"/>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市医院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rPr>
              <w:t>5</w:t>
            </w:r>
            <w:r>
              <w:rPr>
                <w:rFonts w:hint="eastAsia" w:ascii="仿宋_GB2312" w:hAnsi="仿宋_GB2312" w:eastAsia="仿宋_GB2312" w:cs="仿宋_GB2312"/>
                <w:color w:val="auto"/>
                <w:kern w:val="0"/>
                <w:sz w:val="20"/>
                <w:szCs w:val="20"/>
                <w:highlight w:val="none"/>
                <w:lang w:val="en-US" w:eastAsia="zh-CN"/>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283"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中医院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kern w:val="0"/>
                <w:sz w:val="20"/>
                <w:szCs w:val="20"/>
                <w:highlight w:val="none"/>
              </w:rPr>
              <w:t>5</w:t>
            </w:r>
            <w:r>
              <w:rPr>
                <w:rFonts w:hint="eastAsia" w:ascii="仿宋_GB2312" w:hAnsi="仿宋_GB2312" w:eastAsia="仿宋_GB2312" w:cs="仿宋_GB2312"/>
                <w:color w:val="auto"/>
                <w:kern w:val="0"/>
                <w:sz w:val="20"/>
                <w:szCs w:val="20"/>
                <w:highlight w:val="none"/>
                <w:lang w:val="en-US" w:eastAsia="zh-CN"/>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307"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光前医院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380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285"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滨海医院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75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170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rPr>
            </w:pPr>
          </w:p>
        </w:tc>
      </w:tr>
      <w:tr>
        <w:tblPrEx>
          <w:tblCellMar>
            <w:top w:w="0" w:type="dxa"/>
            <w:left w:w="0" w:type="dxa"/>
            <w:bottom w:w="0" w:type="dxa"/>
            <w:right w:w="0" w:type="dxa"/>
          </w:tblCellMar>
        </w:tblPrEx>
        <w:trPr>
          <w:trHeight w:val="920" w:hRule="exac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服务对象</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35-64岁城乡居民医保妇女</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参与婚前医学检查和孕前优检的夫妇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符合生育政策计划怀孕夫妇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城乡居民医保孕妇</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备孕的城乡居民医保妇女</w:t>
            </w:r>
          </w:p>
        </w:tc>
      </w:tr>
    </w:tbl>
    <w:p>
      <w:pPr>
        <w:spacing w:line="300" w:lineRule="exact"/>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sectPr>
          <w:headerReference r:id="rId3" w:type="default"/>
          <w:footerReference r:id="rId4" w:type="default"/>
          <w:footerReference r:id="rId5" w:type="even"/>
          <w:pgSz w:w="11906" w:h="16838"/>
          <w:pgMar w:top="1644" w:right="1531" w:bottom="1417" w:left="1588" w:header="851" w:footer="1077" w:gutter="0"/>
          <w:paperSrc/>
          <w:cols w:space="0" w:num="1"/>
          <w:rtlGutter w:val="0"/>
          <w:docGrid w:type="linesAndChars" w:linePitch="579" w:charSpace="-849"/>
        </w:sect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tbl>
      <w:tblPr>
        <w:tblStyle w:val="8"/>
        <w:tblpPr w:leftFromText="180" w:rightFromText="180" w:vertAnchor="text" w:horzAnchor="page" w:tblpX="1731" w:tblpY="549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40" w:type="dxa"/>
            <w:noWrap w:val="0"/>
            <w:vAlign w:val="top"/>
          </w:tcPr>
          <w:p>
            <w:pPr>
              <w:tabs>
                <w:tab w:val="left" w:pos="7513"/>
              </w:tabs>
              <w:adjustRightInd w:val="0"/>
              <w:spacing w:line="540" w:lineRule="exact"/>
              <w:ind w:right="412" w:rightChars="200" w:firstLine="276"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抄送:各乡镇（街道）社会事务办。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4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276" w:firstLineChars="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南安市卫生健康局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2021年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日印发</w:t>
            </w:r>
          </w:p>
        </w:tc>
      </w:tr>
    </w:tbl>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p>
      <w:pPr>
        <w:pStyle w:val="2"/>
        <w:rPr>
          <w:rFonts w:hint="eastAsia" w:ascii="仿宋_GB2312" w:hAnsi="仿宋_GB2312" w:eastAsia="仿宋_GB2312" w:cs="仿宋_GB2312"/>
          <w:color w:val="auto"/>
          <w:kern w:val="0"/>
          <w:sz w:val="31"/>
          <w:szCs w:val="31"/>
        </w:rPr>
      </w:pPr>
    </w:p>
    <w:sectPr>
      <w:footerReference r:id="rId6" w:type="default"/>
      <w:pgSz w:w="11906" w:h="16838"/>
      <w:pgMar w:top="1644" w:right="1531" w:bottom="1417" w:left="1588" w:header="851" w:footer="107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58"/>
  <w:drawingGridVerticalSpacing w:val="57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33"/>
    <w:rsid w:val="00002B72"/>
    <w:rsid w:val="0003125B"/>
    <w:rsid w:val="00045032"/>
    <w:rsid w:val="00062A1F"/>
    <w:rsid w:val="000678CD"/>
    <w:rsid w:val="00070CB2"/>
    <w:rsid w:val="00074DFE"/>
    <w:rsid w:val="00082242"/>
    <w:rsid w:val="00086A54"/>
    <w:rsid w:val="000A1F4D"/>
    <w:rsid w:val="000A2403"/>
    <w:rsid w:val="000A250D"/>
    <w:rsid w:val="000B30D0"/>
    <w:rsid w:val="000D41D8"/>
    <w:rsid w:val="000E50B2"/>
    <w:rsid w:val="000E64CC"/>
    <w:rsid w:val="000F0F07"/>
    <w:rsid w:val="000F50E0"/>
    <w:rsid w:val="000F5E33"/>
    <w:rsid w:val="0010393D"/>
    <w:rsid w:val="00110E60"/>
    <w:rsid w:val="001137DA"/>
    <w:rsid w:val="00114539"/>
    <w:rsid w:val="001211A6"/>
    <w:rsid w:val="00121906"/>
    <w:rsid w:val="001221FD"/>
    <w:rsid w:val="001245A3"/>
    <w:rsid w:val="001272E4"/>
    <w:rsid w:val="001312EC"/>
    <w:rsid w:val="001447B1"/>
    <w:rsid w:val="00152D51"/>
    <w:rsid w:val="00164641"/>
    <w:rsid w:val="001650E5"/>
    <w:rsid w:val="00167485"/>
    <w:rsid w:val="00185E6B"/>
    <w:rsid w:val="00194A76"/>
    <w:rsid w:val="00195BB6"/>
    <w:rsid w:val="00195D9C"/>
    <w:rsid w:val="001B785D"/>
    <w:rsid w:val="001C02C1"/>
    <w:rsid w:val="001C2340"/>
    <w:rsid w:val="001C4F79"/>
    <w:rsid w:val="001D0867"/>
    <w:rsid w:val="001D36D6"/>
    <w:rsid w:val="001E1260"/>
    <w:rsid w:val="001E15A8"/>
    <w:rsid w:val="001E1743"/>
    <w:rsid w:val="001E5126"/>
    <w:rsid w:val="001E64ED"/>
    <w:rsid w:val="001E673A"/>
    <w:rsid w:val="001F3553"/>
    <w:rsid w:val="001F379F"/>
    <w:rsid w:val="001F674C"/>
    <w:rsid w:val="001F7B25"/>
    <w:rsid w:val="00210C73"/>
    <w:rsid w:val="002111E5"/>
    <w:rsid w:val="002258EB"/>
    <w:rsid w:val="00233291"/>
    <w:rsid w:val="002337CA"/>
    <w:rsid w:val="0023611F"/>
    <w:rsid w:val="00250125"/>
    <w:rsid w:val="002653DD"/>
    <w:rsid w:val="0028590D"/>
    <w:rsid w:val="0029058B"/>
    <w:rsid w:val="002A0F29"/>
    <w:rsid w:val="002A5AE8"/>
    <w:rsid w:val="002B44C5"/>
    <w:rsid w:val="002C318A"/>
    <w:rsid w:val="002C4EE7"/>
    <w:rsid w:val="002D1A29"/>
    <w:rsid w:val="002D6E73"/>
    <w:rsid w:val="002F2A3F"/>
    <w:rsid w:val="002F6A9A"/>
    <w:rsid w:val="003350E7"/>
    <w:rsid w:val="00336827"/>
    <w:rsid w:val="003404FF"/>
    <w:rsid w:val="00345DE7"/>
    <w:rsid w:val="00346FD8"/>
    <w:rsid w:val="00374311"/>
    <w:rsid w:val="0038311E"/>
    <w:rsid w:val="00387FD5"/>
    <w:rsid w:val="003931F8"/>
    <w:rsid w:val="00394E65"/>
    <w:rsid w:val="0039545D"/>
    <w:rsid w:val="00395CAA"/>
    <w:rsid w:val="003A4820"/>
    <w:rsid w:val="003B439F"/>
    <w:rsid w:val="003C2680"/>
    <w:rsid w:val="003D1F02"/>
    <w:rsid w:val="003D33AA"/>
    <w:rsid w:val="003D4D19"/>
    <w:rsid w:val="003E114C"/>
    <w:rsid w:val="003E31FC"/>
    <w:rsid w:val="003E3700"/>
    <w:rsid w:val="003E500C"/>
    <w:rsid w:val="003E5948"/>
    <w:rsid w:val="003E72F0"/>
    <w:rsid w:val="003F01BF"/>
    <w:rsid w:val="004164B3"/>
    <w:rsid w:val="00425DCB"/>
    <w:rsid w:val="00442B0F"/>
    <w:rsid w:val="00444A8E"/>
    <w:rsid w:val="00450FF2"/>
    <w:rsid w:val="00454415"/>
    <w:rsid w:val="004606A5"/>
    <w:rsid w:val="00461780"/>
    <w:rsid w:val="00462F6E"/>
    <w:rsid w:val="00464699"/>
    <w:rsid w:val="00474DFA"/>
    <w:rsid w:val="00481FBF"/>
    <w:rsid w:val="00483709"/>
    <w:rsid w:val="00493449"/>
    <w:rsid w:val="00494AB9"/>
    <w:rsid w:val="004974BA"/>
    <w:rsid w:val="004A1616"/>
    <w:rsid w:val="004A2A9A"/>
    <w:rsid w:val="004A64F1"/>
    <w:rsid w:val="004B76FE"/>
    <w:rsid w:val="004C17E5"/>
    <w:rsid w:val="004D7D8B"/>
    <w:rsid w:val="004E73CD"/>
    <w:rsid w:val="004F177E"/>
    <w:rsid w:val="004F5842"/>
    <w:rsid w:val="005050B6"/>
    <w:rsid w:val="005065DB"/>
    <w:rsid w:val="0052146E"/>
    <w:rsid w:val="005273C9"/>
    <w:rsid w:val="005349E4"/>
    <w:rsid w:val="00543399"/>
    <w:rsid w:val="00545838"/>
    <w:rsid w:val="0054705F"/>
    <w:rsid w:val="00566004"/>
    <w:rsid w:val="0057173E"/>
    <w:rsid w:val="0057350A"/>
    <w:rsid w:val="0057495F"/>
    <w:rsid w:val="00574991"/>
    <w:rsid w:val="005751D9"/>
    <w:rsid w:val="0058747F"/>
    <w:rsid w:val="00590577"/>
    <w:rsid w:val="00591D1F"/>
    <w:rsid w:val="005922C3"/>
    <w:rsid w:val="005B73EC"/>
    <w:rsid w:val="005C4670"/>
    <w:rsid w:val="005D7FDF"/>
    <w:rsid w:val="005E2A65"/>
    <w:rsid w:val="005E3B8E"/>
    <w:rsid w:val="00622A14"/>
    <w:rsid w:val="006306B3"/>
    <w:rsid w:val="006346C5"/>
    <w:rsid w:val="00634E89"/>
    <w:rsid w:val="00651EEF"/>
    <w:rsid w:val="00652F5B"/>
    <w:rsid w:val="00665DE7"/>
    <w:rsid w:val="00681A36"/>
    <w:rsid w:val="00682906"/>
    <w:rsid w:val="006923D2"/>
    <w:rsid w:val="00695D42"/>
    <w:rsid w:val="006A4FE5"/>
    <w:rsid w:val="006A509E"/>
    <w:rsid w:val="006A5966"/>
    <w:rsid w:val="006B47DA"/>
    <w:rsid w:val="006C35E4"/>
    <w:rsid w:val="006C680E"/>
    <w:rsid w:val="006D029B"/>
    <w:rsid w:val="006D33C5"/>
    <w:rsid w:val="006D6E7E"/>
    <w:rsid w:val="006D7249"/>
    <w:rsid w:val="006E0382"/>
    <w:rsid w:val="006E2546"/>
    <w:rsid w:val="006E4021"/>
    <w:rsid w:val="006E6405"/>
    <w:rsid w:val="007055FE"/>
    <w:rsid w:val="00705EA7"/>
    <w:rsid w:val="007312CF"/>
    <w:rsid w:val="00737902"/>
    <w:rsid w:val="0074050D"/>
    <w:rsid w:val="00754351"/>
    <w:rsid w:val="0076174E"/>
    <w:rsid w:val="007709E0"/>
    <w:rsid w:val="007710A5"/>
    <w:rsid w:val="0077387F"/>
    <w:rsid w:val="00782B1B"/>
    <w:rsid w:val="00786B9D"/>
    <w:rsid w:val="00791F12"/>
    <w:rsid w:val="00796B61"/>
    <w:rsid w:val="007A4C58"/>
    <w:rsid w:val="007A55D9"/>
    <w:rsid w:val="007B6073"/>
    <w:rsid w:val="007B70E8"/>
    <w:rsid w:val="007C3B7A"/>
    <w:rsid w:val="007D2AED"/>
    <w:rsid w:val="007D31B7"/>
    <w:rsid w:val="007D6C23"/>
    <w:rsid w:val="007E619D"/>
    <w:rsid w:val="007E6D53"/>
    <w:rsid w:val="007F1061"/>
    <w:rsid w:val="00803815"/>
    <w:rsid w:val="00811DC8"/>
    <w:rsid w:val="00833CA9"/>
    <w:rsid w:val="00836259"/>
    <w:rsid w:val="00847B3F"/>
    <w:rsid w:val="00852BE3"/>
    <w:rsid w:val="008602D5"/>
    <w:rsid w:val="008617B6"/>
    <w:rsid w:val="00862675"/>
    <w:rsid w:val="00864161"/>
    <w:rsid w:val="008741B5"/>
    <w:rsid w:val="0087617A"/>
    <w:rsid w:val="008949E5"/>
    <w:rsid w:val="008A3BB5"/>
    <w:rsid w:val="008A6E48"/>
    <w:rsid w:val="008B5EDF"/>
    <w:rsid w:val="008C04C6"/>
    <w:rsid w:val="00900953"/>
    <w:rsid w:val="00933814"/>
    <w:rsid w:val="00952F37"/>
    <w:rsid w:val="0095398A"/>
    <w:rsid w:val="00960156"/>
    <w:rsid w:val="0097562C"/>
    <w:rsid w:val="00980B98"/>
    <w:rsid w:val="009B11C5"/>
    <w:rsid w:val="009B47AE"/>
    <w:rsid w:val="009C694E"/>
    <w:rsid w:val="009D0D2C"/>
    <w:rsid w:val="009D1B64"/>
    <w:rsid w:val="009D27A4"/>
    <w:rsid w:val="009D5453"/>
    <w:rsid w:val="009E07BC"/>
    <w:rsid w:val="009F0D00"/>
    <w:rsid w:val="009F4433"/>
    <w:rsid w:val="009F6A74"/>
    <w:rsid w:val="00A0376D"/>
    <w:rsid w:val="00A048C6"/>
    <w:rsid w:val="00A10FDD"/>
    <w:rsid w:val="00A120F8"/>
    <w:rsid w:val="00A24581"/>
    <w:rsid w:val="00A362AB"/>
    <w:rsid w:val="00A371E8"/>
    <w:rsid w:val="00A37498"/>
    <w:rsid w:val="00A71408"/>
    <w:rsid w:val="00A816D7"/>
    <w:rsid w:val="00A87050"/>
    <w:rsid w:val="00A96915"/>
    <w:rsid w:val="00AA5AEC"/>
    <w:rsid w:val="00AB05F6"/>
    <w:rsid w:val="00AF0A48"/>
    <w:rsid w:val="00AF40CE"/>
    <w:rsid w:val="00B00410"/>
    <w:rsid w:val="00B03213"/>
    <w:rsid w:val="00B12504"/>
    <w:rsid w:val="00B33B4B"/>
    <w:rsid w:val="00B33D63"/>
    <w:rsid w:val="00B449F7"/>
    <w:rsid w:val="00B45C17"/>
    <w:rsid w:val="00B547D7"/>
    <w:rsid w:val="00B62330"/>
    <w:rsid w:val="00B70F15"/>
    <w:rsid w:val="00B72348"/>
    <w:rsid w:val="00B872C5"/>
    <w:rsid w:val="00B93D69"/>
    <w:rsid w:val="00BA3145"/>
    <w:rsid w:val="00BA79CF"/>
    <w:rsid w:val="00BB5632"/>
    <w:rsid w:val="00BC1CA0"/>
    <w:rsid w:val="00BC22AD"/>
    <w:rsid w:val="00BC4D0F"/>
    <w:rsid w:val="00BC6178"/>
    <w:rsid w:val="00BD2B5C"/>
    <w:rsid w:val="00BD79A6"/>
    <w:rsid w:val="00BE05A8"/>
    <w:rsid w:val="00BF00A8"/>
    <w:rsid w:val="00BF035C"/>
    <w:rsid w:val="00BF296F"/>
    <w:rsid w:val="00BF63D5"/>
    <w:rsid w:val="00BF6E0C"/>
    <w:rsid w:val="00C035D6"/>
    <w:rsid w:val="00C07115"/>
    <w:rsid w:val="00C17707"/>
    <w:rsid w:val="00C25033"/>
    <w:rsid w:val="00C420BC"/>
    <w:rsid w:val="00C53051"/>
    <w:rsid w:val="00C674EC"/>
    <w:rsid w:val="00C727B5"/>
    <w:rsid w:val="00C737B6"/>
    <w:rsid w:val="00C80709"/>
    <w:rsid w:val="00C80A77"/>
    <w:rsid w:val="00C85CC0"/>
    <w:rsid w:val="00C930DF"/>
    <w:rsid w:val="00C94B1C"/>
    <w:rsid w:val="00CA270F"/>
    <w:rsid w:val="00CB2BF6"/>
    <w:rsid w:val="00CB55C3"/>
    <w:rsid w:val="00CB6656"/>
    <w:rsid w:val="00CE79F6"/>
    <w:rsid w:val="00CF4625"/>
    <w:rsid w:val="00D11239"/>
    <w:rsid w:val="00D14777"/>
    <w:rsid w:val="00D14D60"/>
    <w:rsid w:val="00D23706"/>
    <w:rsid w:val="00D25F59"/>
    <w:rsid w:val="00D26FA8"/>
    <w:rsid w:val="00D27188"/>
    <w:rsid w:val="00D27C64"/>
    <w:rsid w:val="00D415BD"/>
    <w:rsid w:val="00D41A44"/>
    <w:rsid w:val="00D41DA1"/>
    <w:rsid w:val="00D45757"/>
    <w:rsid w:val="00D54AD0"/>
    <w:rsid w:val="00D552B6"/>
    <w:rsid w:val="00D57F2A"/>
    <w:rsid w:val="00D66E53"/>
    <w:rsid w:val="00D67BFE"/>
    <w:rsid w:val="00D70B8F"/>
    <w:rsid w:val="00D73DE4"/>
    <w:rsid w:val="00D73E30"/>
    <w:rsid w:val="00D8663D"/>
    <w:rsid w:val="00DB7D44"/>
    <w:rsid w:val="00DC26A5"/>
    <w:rsid w:val="00DE0A6E"/>
    <w:rsid w:val="00DE0AEB"/>
    <w:rsid w:val="00E07FBA"/>
    <w:rsid w:val="00E244E6"/>
    <w:rsid w:val="00E31060"/>
    <w:rsid w:val="00E36404"/>
    <w:rsid w:val="00E45F4B"/>
    <w:rsid w:val="00E61FC6"/>
    <w:rsid w:val="00E63813"/>
    <w:rsid w:val="00E63A6D"/>
    <w:rsid w:val="00E654EC"/>
    <w:rsid w:val="00E668B8"/>
    <w:rsid w:val="00E7158E"/>
    <w:rsid w:val="00E83560"/>
    <w:rsid w:val="00E9445F"/>
    <w:rsid w:val="00EA4ED6"/>
    <w:rsid w:val="00ED1430"/>
    <w:rsid w:val="00ED34F3"/>
    <w:rsid w:val="00EF5CE2"/>
    <w:rsid w:val="00EF6711"/>
    <w:rsid w:val="00F00C87"/>
    <w:rsid w:val="00F04114"/>
    <w:rsid w:val="00F228D7"/>
    <w:rsid w:val="00F231DA"/>
    <w:rsid w:val="00F44F03"/>
    <w:rsid w:val="00F53A67"/>
    <w:rsid w:val="00F629B9"/>
    <w:rsid w:val="00F662B1"/>
    <w:rsid w:val="00F73EA9"/>
    <w:rsid w:val="00F76810"/>
    <w:rsid w:val="00F8611D"/>
    <w:rsid w:val="00F92342"/>
    <w:rsid w:val="00F929B4"/>
    <w:rsid w:val="00F93C91"/>
    <w:rsid w:val="00F95CC2"/>
    <w:rsid w:val="00FA285C"/>
    <w:rsid w:val="00FA530D"/>
    <w:rsid w:val="00FA608C"/>
    <w:rsid w:val="00FA66EA"/>
    <w:rsid w:val="00FB1EC0"/>
    <w:rsid w:val="00FD1D78"/>
    <w:rsid w:val="00FD258A"/>
    <w:rsid w:val="00FD41C9"/>
    <w:rsid w:val="00FD47CA"/>
    <w:rsid w:val="00FD499D"/>
    <w:rsid w:val="00FE3256"/>
    <w:rsid w:val="00FF093D"/>
    <w:rsid w:val="01E234FD"/>
    <w:rsid w:val="03446057"/>
    <w:rsid w:val="03532327"/>
    <w:rsid w:val="05BD2382"/>
    <w:rsid w:val="05C64CF3"/>
    <w:rsid w:val="07F7148F"/>
    <w:rsid w:val="08271616"/>
    <w:rsid w:val="08C00972"/>
    <w:rsid w:val="093506E3"/>
    <w:rsid w:val="09577B0E"/>
    <w:rsid w:val="0B8B4D18"/>
    <w:rsid w:val="0D3A2A18"/>
    <w:rsid w:val="0DC01C6E"/>
    <w:rsid w:val="0E370315"/>
    <w:rsid w:val="0F9C2F67"/>
    <w:rsid w:val="0FE46586"/>
    <w:rsid w:val="10376774"/>
    <w:rsid w:val="119C686C"/>
    <w:rsid w:val="11A80BBD"/>
    <w:rsid w:val="127E75E5"/>
    <w:rsid w:val="12C64E40"/>
    <w:rsid w:val="12FE218D"/>
    <w:rsid w:val="14427464"/>
    <w:rsid w:val="14CA748C"/>
    <w:rsid w:val="14EC066A"/>
    <w:rsid w:val="154A2750"/>
    <w:rsid w:val="159954E5"/>
    <w:rsid w:val="15E07EB3"/>
    <w:rsid w:val="163510DE"/>
    <w:rsid w:val="17452A32"/>
    <w:rsid w:val="176115F6"/>
    <w:rsid w:val="17B23F9E"/>
    <w:rsid w:val="17DD5DC2"/>
    <w:rsid w:val="18C85B43"/>
    <w:rsid w:val="1A3E4AB1"/>
    <w:rsid w:val="1AB75098"/>
    <w:rsid w:val="1AE91690"/>
    <w:rsid w:val="1BE84689"/>
    <w:rsid w:val="1EEE177C"/>
    <w:rsid w:val="20756132"/>
    <w:rsid w:val="20FC63D3"/>
    <w:rsid w:val="216454FD"/>
    <w:rsid w:val="234B5D8E"/>
    <w:rsid w:val="2455048A"/>
    <w:rsid w:val="25631F28"/>
    <w:rsid w:val="26562994"/>
    <w:rsid w:val="267C089B"/>
    <w:rsid w:val="26BE61FE"/>
    <w:rsid w:val="26C76013"/>
    <w:rsid w:val="26F00E75"/>
    <w:rsid w:val="26F9598B"/>
    <w:rsid w:val="27800A11"/>
    <w:rsid w:val="29F717CB"/>
    <w:rsid w:val="2B0007B8"/>
    <w:rsid w:val="2B127987"/>
    <w:rsid w:val="2EF41456"/>
    <w:rsid w:val="2F003784"/>
    <w:rsid w:val="2F3E5CE4"/>
    <w:rsid w:val="30032D72"/>
    <w:rsid w:val="38056EB2"/>
    <w:rsid w:val="382A61B0"/>
    <w:rsid w:val="3A2C4ABF"/>
    <w:rsid w:val="3B2477D2"/>
    <w:rsid w:val="41211502"/>
    <w:rsid w:val="41D051C7"/>
    <w:rsid w:val="41E23529"/>
    <w:rsid w:val="42111090"/>
    <w:rsid w:val="438C6ED4"/>
    <w:rsid w:val="45BC6F88"/>
    <w:rsid w:val="465B1B7C"/>
    <w:rsid w:val="46EB5D2C"/>
    <w:rsid w:val="470837C2"/>
    <w:rsid w:val="48B15683"/>
    <w:rsid w:val="48F525D2"/>
    <w:rsid w:val="490B5E2D"/>
    <w:rsid w:val="49AC72F1"/>
    <w:rsid w:val="4A196F6C"/>
    <w:rsid w:val="4BCE3D79"/>
    <w:rsid w:val="4C7F0D28"/>
    <w:rsid w:val="4D7A6A26"/>
    <w:rsid w:val="4E9345CD"/>
    <w:rsid w:val="4F02106B"/>
    <w:rsid w:val="51E511C0"/>
    <w:rsid w:val="527921B0"/>
    <w:rsid w:val="52F50EEE"/>
    <w:rsid w:val="550E4C23"/>
    <w:rsid w:val="557B761A"/>
    <w:rsid w:val="55DE301C"/>
    <w:rsid w:val="56384958"/>
    <w:rsid w:val="57EA248D"/>
    <w:rsid w:val="598D167E"/>
    <w:rsid w:val="5B3446E5"/>
    <w:rsid w:val="5B425489"/>
    <w:rsid w:val="5BE027D8"/>
    <w:rsid w:val="5C7E498A"/>
    <w:rsid w:val="5CCA2BCE"/>
    <w:rsid w:val="5EA9720B"/>
    <w:rsid w:val="5F7C3EC9"/>
    <w:rsid w:val="5FEF3820"/>
    <w:rsid w:val="60CE41E0"/>
    <w:rsid w:val="625F5214"/>
    <w:rsid w:val="63A25E25"/>
    <w:rsid w:val="64C607AF"/>
    <w:rsid w:val="64EE5923"/>
    <w:rsid w:val="65914EDE"/>
    <w:rsid w:val="65D83582"/>
    <w:rsid w:val="65E00B5E"/>
    <w:rsid w:val="6643016D"/>
    <w:rsid w:val="67123554"/>
    <w:rsid w:val="67F12C53"/>
    <w:rsid w:val="691C7CAC"/>
    <w:rsid w:val="69802572"/>
    <w:rsid w:val="6A3500AB"/>
    <w:rsid w:val="6CB17AB1"/>
    <w:rsid w:val="6CDF3FF5"/>
    <w:rsid w:val="6CEB3AC1"/>
    <w:rsid w:val="6D7177C9"/>
    <w:rsid w:val="6F064EC8"/>
    <w:rsid w:val="70B545E1"/>
    <w:rsid w:val="70C16C89"/>
    <w:rsid w:val="745458E8"/>
    <w:rsid w:val="757D220E"/>
    <w:rsid w:val="75B43571"/>
    <w:rsid w:val="76817F63"/>
    <w:rsid w:val="768478F4"/>
    <w:rsid w:val="772A20AA"/>
    <w:rsid w:val="77317E4E"/>
    <w:rsid w:val="773D4E2A"/>
    <w:rsid w:val="796B0317"/>
    <w:rsid w:val="7A3B62CC"/>
    <w:rsid w:val="7D2615C0"/>
    <w:rsid w:val="7DC25F09"/>
    <w:rsid w:val="7E357B35"/>
    <w:rsid w:val="7E39333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Courier New" w:cs="Courier New"/>
      <w:color w:val="000000"/>
      <w:sz w:val="24"/>
      <w:szCs w:val="22"/>
      <w:lang w:val="en-US" w:eastAsia="zh-CN" w:bidi="ar-SA"/>
    </w:rPr>
  </w:style>
  <w:style w:type="paragraph" w:styleId="3">
    <w:name w:val="Plain Text"/>
    <w:basedOn w:val="1"/>
    <w:link w:val="12"/>
    <w:qFormat/>
    <w:uiPriority w:val="99"/>
    <w:rPr>
      <w:rFonts w:ascii="宋体" w:hAnsi="Courier New" w:cs="Courier New"/>
      <w:szCs w:val="21"/>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customStyle="1" w:styleId="12">
    <w:name w:val="纯文本 Char"/>
    <w:basedOn w:val="9"/>
    <w:link w:val="3"/>
    <w:semiHidden/>
    <w:qFormat/>
    <w:locked/>
    <w:uiPriority w:val="99"/>
    <w:rPr>
      <w:rFonts w:ascii="宋体" w:hAnsi="Courier New" w:cs="Courier New"/>
      <w:sz w:val="21"/>
      <w:szCs w:val="21"/>
    </w:rPr>
  </w:style>
  <w:style w:type="character" w:customStyle="1" w:styleId="13">
    <w:name w:val="批注框文本 Char"/>
    <w:basedOn w:val="9"/>
    <w:link w:val="4"/>
    <w:semiHidden/>
    <w:qFormat/>
    <w:locked/>
    <w:uiPriority w:val="99"/>
    <w:rPr>
      <w:rFonts w:cs="Times New Roman"/>
      <w:sz w:val="2"/>
    </w:rPr>
  </w:style>
  <w:style w:type="character" w:customStyle="1" w:styleId="14">
    <w:name w:val="页脚 Char"/>
    <w:basedOn w:val="9"/>
    <w:link w:val="5"/>
    <w:semiHidden/>
    <w:qFormat/>
    <w:locked/>
    <w:uiPriority w:val="99"/>
    <w:rPr>
      <w:rFonts w:cs="Times New Roman"/>
      <w:sz w:val="18"/>
      <w:szCs w:val="18"/>
    </w:rPr>
  </w:style>
  <w:style w:type="character" w:customStyle="1" w:styleId="15">
    <w:name w:val="页眉 Char"/>
    <w:basedOn w:val="9"/>
    <w:link w:val="6"/>
    <w:semiHidden/>
    <w:qFormat/>
    <w:locked/>
    <w:uiPriority w:val="99"/>
    <w:rPr>
      <w:rFonts w:cs="Times New Roman"/>
      <w:sz w:val="18"/>
      <w:szCs w:val="18"/>
    </w:rPr>
  </w:style>
  <w:style w:type="character" w:customStyle="1" w:styleId="16">
    <w:name w:val="adsep"/>
    <w:basedOn w:val="9"/>
    <w:qFormat/>
    <w:uiPriority w:val="99"/>
    <w:rPr>
      <w:rFonts w:eastAsia="仿宋_GB2312" w:cs="Times New Roman"/>
      <w:sz w:val="32"/>
      <w:szCs w:val="32"/>
    </w:rPr>
  </w:style>
  <w:style w:type="character" w:customStyle="1" w:styleId="17">
    <w:name w:val="apple-converted-space"/>
    <w:basedOn w:val="9"/>
    <w:qFormat/>
    <w:uiPriority w:val="99"/>
    <w:rPr>
      <w:rFonts w:cs="Times New Roman"/>
    </w:rPr>
  </w:style>
  <w:style w:type="paragraph" w:customStyle="1" w:styleId="18">
    <w:name w:val="Char"/>
    <w:basedOn w:val="1"/>
    <w:qFormat/>
    <w:uiPriority w:val="99"/>
    <w:pPr>
      <w:spacing w:before="100" w:beforeAutospacing="1" w:after="100" w:afterAutospacing="1"/>
    </w:pPr>
    <w:rPr>
      <w:rFonts w:ascii="方正仿宋_GBK" w:hAnsi="宋体" w:eastAsia="仿宋_GB2312" w:cs="宋体"/>
      <w:kern w:val="0"/>
      <w:sz w:val="32"/>
      <w:szCs w:val="32"/>
    </w:rPr>
  </w:style>
  <w:style w:type="paragraph" w:customStyle="1" w:styleId="19">
    <w:name w:val="p0"/>
    <w:basedOn w:val="1"/>
    <w:qFormat/>
    <w:uiPriority w:val="99"/>
    <w:pPr>
      <w:widowControl/>
    </w:pPr>
    <w:rPr>
      <w:rFonts w:ascii="Calibri" w:hAnsi="Calibri"/>
      <w:kern w:val="0"/>
      <w:szCs w:val="21"/>
    </w:rPr>
  </w:style>
  <w:style w:type="paragraph" w:customStyle="1" w:styleId="20">
    <w:name w:val="p14"/>
    <w:basedOn w:val="1"/>
    <w:qFormat/>
    <w:uiPriority w:val="99"/>
    <w:pPr>
      <w:widowControl/>
      <w:spacing w:before="100" w:beforeAutospacing="1" w:after="100" w:afterAutospacing="1"/>
      <w:jc w:val="left"/>
    </w:pPr>
    <w:rPr>
      <w:rFonts w:ascii="宋体" w:hAnsi="宋体" w:cs="宋体"/>
      <w:kern w:val="0"/>
      <w:sz w:val="24"/>
    </w:rPr>
  </w:style>
  <w:style w:type="character" w:customStyle="1" w:styleId="21">
    <w:name w:val="s6"/>
    <w:basedOn w:val="9"/>
    <w:qFormat/>
    <w:uiPriority w:val="99"/>
    <w:rPr>
      <w:rFonts w:cs="Times New Roman"/>
    </w:rPr>
  </w:style>
  <w:style w:type="character" w:customStyle="1" w:styleId="22">
    <w:name w:val="s4"/>
    <w:basedOn w:val="9"/>
    <w:qFormat/>
    <w:uiPriority w:val="99"/>
    <w:rPr>
      <w:rFonts w:cs="Times New Roman"/>
    </w:rPr>
  </w:style>
  <w:style w:type="character" w:customStyle="1" w:styleId="23">
    <w:name w:val="s7"/>
    <w:basedOn w:val="9"/>
    <w:qFormat/>
    <w:uiPriority w:val="99"/>
    <w:rPr>
      <w:rFonts w:cs="Times New Roman"/>
    </w:rPr>
  </w:style>
  <w:style w:type="character" w:customStyle="1" w:styleId="24">
    <w:name w:val="s8"/>
    <w:basedOn w:val="9"/>
    <w:qFormat/>
    <w:uiPriority w:val="99"/>
    <w:rPr>
      <w:rFonts w:cs="Times New Roman"/>
    </w:rPr>
  </w:style>
  <w:style w:type="character" w:customStyle="1" w:styleId="25">
    <w:name w:val="Body text|1_"/>
    <w:basedOn w:val="9"/>
    <w:link w:val="26"/>
    <w:qFormat/>
    <w:locked/>
    <w:uiPriority w:val="99"/>
    <w:rPr>
      <w:rFonts w:ascii="宋体" w:hAnsi="宋体" w:eastAsia="宋体" w:cs="Times New Roman"/>
      <w:sz w:val="19"/>
      <w:szCs w:val="19"/>
      <w:lang w:val="zh-TW" w:eastAsia="zh-TW" w:bidi="ar-SA"/>
    </w:rPr>
  </w:style>
  <w:style w:type="paragraph" w:customStyle="1" w:styleId="26">
    <w:name w:val="Body text|1"/>
    <w:basedOn w:val="1"/>
    <w:link w:val="25"/>
    <w:qFormat/>
    <w:uiPriority w:val="99"/>
    <w:pPr>
      <w:spacing w:line="408" w:lineRule="auto"/>
      <w:ind w:firstLine="400"/>
      <w:jc w:val="left"/>
    </w:pPr>
    <w:rPr>
      <w:rFonts w:ascii="宋体" w:hAnsi="宋体"/>
      <w:kern w:val="0"/>
      <w:sz w:val="19"/>
      <w:szCs w:val="19"/>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26700;&#38754;\A4&#27169;&#29256;&#65288;&#20826;&#22996;&#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A4模版（党委）</Template>
  <Company>www.ftpdown.com</Company>
  <Pages>5</Pages>
  <Words>371</Words>
  <Characters>2118</Characters>
  <Lines>17</Lines>
  <Paragraphs>4</Paragraphs>
  <TotalTime>6</TotalTime>
  <ScaleCrop>false</ScaleCrop>
  <LinksUpToDate>false</LinksUpToDate>
  <CharactersWithSpaces>2485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2021-07-09T01:36:00Z</dcterms:created>
  <dc:creator>new01</dc:creator>
  <cp:lastModifiedBy>skyploe</cp:lastModifiedBy>
  <cp:lastPrinted>2021-07-21T08:43:07Z</cp:lastPrinted>
  <dcterms:modified xsi:type="dcterms:W3CDTF">2021-07-21T08:44:36Z</dcterms:modified>
  <dc:title>2018年前三季度各科室重点工作情况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E79D434781164B67A5A8D27E588008B6</vt:lpwstr>
  </property>
  <property fmtid="{D5CDD505-2E9C-101B-9397-08002B2CF9AE}" pid="4" name="KSOSaveFontToCloudKey">
    <vt:lpwstr>304114853_btnclosed</vt:lpwstr>
  </property>
</Properties>
</file>