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875"/>
        </w:tabs>
        <w:spacing w:line="560" w:lineRule="exact"/>
        <w:ind w:firstLine="22"/>
        <w:textAlignment w:val="baseline"/>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
          <w:bCs/>
          <w:color w:val="000000"/>
          <w:kern w:val="0"/>
          <w:sz w:val="32"/>
          <w:szCs w:val="32"/>
        </w:rPr>
        <w:t>*南简报N024号</w:t>
      </w:r>
    </w:p>
    <w:p>
      <w:pPr>
        <w:widowControl/>
        <w:spacing w:line="560" w:lineRule="exact"/>
        <w:jc w:val="center"/>
        <w:textAlignment w:val="baseline"/>
        <w:rPr>
          <w:rFonts w:hint="eastAsia" w:ascii="仿宋_GB2312" w:hAnsi="宋体"/>
          <w:color w:val="000000"/>
          <w:kern w:val="0"/>
          <w:szCs w:val="32"/>
        </w:rPr>
      </w:pPr>
      <w:r>
        <w:rPr>
          <w:rFonts w:hint="eastAsia" w:ascii="仿宋_GB2312" w:hAnsi="宋体"/>
          <w:color w:val="000000"/>
          <w:kern w:val="0"/>
          <w:szCs w:val="32"/>
        </w:rPr>
        <w:pict>
          <v:shape id="_x0000_s1026" o:spid="_x0000_s1026" o:spt="136" type="#_x0000_t136" style="position:absolute;left:0pt;margin-left:95.35pt;margin-top:140.05pt;height:72.7pt;width:424.6pt;mso-position-horizontal-relative:page;mso-position-vertical-relative:page;z-index:251658240;mso-width-relative:page;mso-height-relative:page;" fillcolor="#FF0000" filled="t" stroked="t" coordsize="21600,21600">
            <v:path/>
            <v:fill on="t" focussize="0,0"/>
            <v:stroke color="#FFFFFF" joinstyle="bevel"/>
            <v:imagedata o:title=""/>
            <o:lock v:ext="edit" grouping="f" rotation="f" text="f" aspectratio="f"/>
            <v:textpath on="t" fitshape="t" fitpath="t" trim="t" xscale="f" string="南安统计信息" style="font-family:方正大标宋简体;font-size:36pt;v-text-align:center;"/>
          </v:shape>
        </w:pict>
      </w:r>
    </w:p>
    <w:p>
      <w:pPr>
        <w:widowControl/>
        <w:spacing w:line="560" w:lineRule="exact"/>
        <w:ind w:firstLine="22"/>
        <w:jc w:val="center"/>
        <w:textAlignment w:val="baseline"/>
        <w:rPr>
          <w:rFonts w:hint="eastAsia" w:ascii="仿宋_GB2312" w:hAnsi="宋体"/>
          <w:color w:val="000000"/>
          <w:kern w:val="0"/>
          <w:szCs w:val="32"/>
        </w:rPr>
      </w:pPr>
    </w:p>
    <w:p>
      <w:pPr>
        <w:widowControl/>
        <w:spacing w:line="560" w:lineRule="exact"/>
        <w:textAlignment w:val="baseline"/>
        <w:rPr>
          <w:rFonts w:hint="eastAsia" w:ascii="仿宋_GB2312" w:hAnsi="宋体"/>
          <w:color w:val="000000"/>
          <w:kern w:val="0"/>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22" w:firstLineChars="0"/>
        <w:jc w:val="center"/>
        <w:textAlignment w:val="baseline"/>
        <w:outlineLvl w:val="9"/>
        <w:rPr>
          <w:rFonts w:hint="eastAsia" w:ascii="仿宋_GB2312" w:hAnsi="宋体"/>
          <w:color w:val="000000"/>
          <w:kern w:val="0"/>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baseline"/>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w:t>
      </w:r>
      <w:r>
        <w:rPr>
          <w:rFonts w:hint="eastAsia" w:ascii="Times New Roman" w:hAnsi="Times New Roman" w:eastAsia="仿宋_GB2312" w:cs="Times New Roman"/>
          <w:color w:val="000000"/>
          <w:kern w:val="0"/>
          <w:sz w:val="32"/>
          <w:szCs w:val="32"/>
          <w:lang w:val="en-US" w:eastAsia="zh-CN"/>
        </w:rPr>
        <w:t>8</w:t>
      </w:r>
      <w:r>
        <w:rPr>
          <w:rFonts w:hint="default" w:ascii="Times New Roman" w:hAnsi="Times New Roman" w:eastAsia="仿宋_GB2312" w:cs="Times New Roman"/>
          <w:color w:val="000000"/>
          <w:kern w:val="0"/>
          <w:sz w:val="32"/>
          <w:szCs w:val="32"/>
        </w:rPr>
        <w:t>期</w:t>
      </w:r>
    </w:p>
    <w:p>
      <w:pPr>
        <w:pStyle w:val="2"/>
        <w:rPr>
          <w:rFonts w:hint="default"/>
        </w:rPr>
      </w:pPr>
    </w:p>
    <w:p>
      <w:pPr>
        <w:widowControl/>
        <w:spacing w:line="560" w:lineRule="exact"/>
        <w:ind w:firstLine="22"/>
        <w:jc w:val="center"/>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南安市统计局  编                 </w:t>
      </w:r>
      <w:r>
        <w:rPr>
          <w:rFonts w:hint="eastAsia"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 xml:space="preserve">    </w:t>
      </w:r>
      <w:r>
        <w:rPr>
          <w:rFonts w:hint="eastAsia"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202</w:t>
      </w:r>
      <w:r>
        <w:rPr>
          <w:rFonts w:hint="eastAsia"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rPr>
        <w:t>年</w:t>
      </w:r>
      <w:r>
        <w:rPr>
          <w:rFonts w:hint="eastAsia" w:ascii="Times New Roman" w:hAnsi="Times New Roman"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rPr>
        <w:t>月</w:t>
      </w:r>
      <w:r>
        <w:rPr>
          <w:rFonts w:hint="eastAsia" w:ascii="Times New Roman" w:hAnsi="Times New Roman" w:eastAsia="仿宋_GB2312" w:cs="Times New Roman"/>
          <w:color w:val="000000"/>
          <w:kern w:val="0"/>
          <w:sz w:val="32"/>
          <w:szCs w:val="32"/>
          <w:lang w:val="en-US" w:eastAsia="zh-CN"/>
        </w:rPr>
        <w:t>10</w:t>
      </w:r>
      <w:r>
        <w:rPr>
          <w:rFonts w:hint="default" w:ascii="Times New Roman" w:hAnsi="Times New Roman" w:eastAsia="仿宋_GB2312" w:cs="Times New Roman"/>
          <w:color w:val="000000"/>
          <w:kern w:val="0"/>
          <w:sz w:val="32"/>
          <w:szCs w:val="32"/>
        </w:rPr>
        <w:t>日</w:t>
      </w:r>
    </w:p>
    <w:p>
      <w:pPr>
        <w:spacing w:line="560" w:lineRule="exac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103505</wp:posOffset>
                </wp:positionV>
                <wp:extent cx="6125845" cy="76200"/>
                <wp:effectExtent l="7620" t="0" r="8255" b="22860"/>
                <wp:wrapNone/>
                <wp:docPr id="2" name="自选图形 3"/>
                <wp:cNvGraphicFramePr/>
                <a:graphic xmlns:a="http://schemas.openxmlformats.org/drawingml/2006/main">
                  <a:graphicData uri="http://schemas.microsoft.com/office/word/2010/wordprocessingShape">
                    <wps:wsp>
                      <wps:cNvSpPr/>
                      <wps:spPr>
                        <a:xfrm flipV="1">
                          <a:off x="0" y="0"/>
                          <a:ext cx="6125845" cy="76200"/>
                        </a:xfrm>
                        <a:prstGeom prst="flowChartProcess">
                          <a:avLst/>
                        </a:prstGeom>
                        <a:solidFill>
                          <a:srgbClr val="FF0000"/>
                        </a:solidFill>
                        <a:ln w="15875" cap="flat" cmpd="sng">
                          <a:solidFill>
                            <a:srgbClr val="FFFFFF"/>
                          </a:solidFill>
                          <a:prstDash val="solid"/>
                          <a:miter/>
                          <a:headEnd type="none" w="med" len="med"/>
                          <a:tailEnd type="none" w="med" len="med"/>
                        </a:ln>
                        <a:effectLst/>
                      </wps:spPr>
                      <wps:bodyPr upright="1"/>
                    </wps:wsp>
                  </a:graphicData>
                </a:graphic>
              </wp:anchor>
            </w:drawing>
          </mc:Choice>
          <mc:Fallback>
            <w:pict>
              <v:shape id="自选图形 3" o:spid="_x0000_s1026" o:spt="109" type="#_x0000_t109" style="position:absolute;left:0pt;flip:y;margin-left:-15.3pt;margin-top:8.15pt;height:6pt;width:482.35pt;z-index:251659264;mso-width-relative:page;mso-height-relative:page;" fillcolor="#FF0000" filled="t" stroked="t" coordsize="21600,21600" o:gfxdata="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7/h77ZAAAACQEAAA8AAAAAAAAAAQAgAAAAIgAAAGRycy9kb3du&#10;cmV2LnhtbFBLAQIUABQAAAAIAIdO4kAbj7Dr/gEAAPoDAAAOAAAAAAAAAAEAIAAAACgBAABkcnMv&#10;ZTJvRG9jLnhtbFBLBQYAAAAABgAGAFkBAACYBQAAAAA=&#10;">
                <v:fill on="t" focussize="0,0"/>
                <v:stroke weight="1.25pt" color="#FFFFFF" joinstyle="miter"/>
                <v:imagedata o:title=""/>
                <o:lock v:ext="edit" aspectratio="f"/>
              </v:shape>
            </w:pict>
          </mc:Fallback>
        </mc:AlternateConten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after="313" w:afterLines="100" w:line="600" w:lineRule="exact"/>
        <w:ind w:left="0" w:leftChars="0" w:right="0" w:rightChars="0" w:firstLine="0" w:firstLineChars="0"/>
        <w:jc w:val="center"/>
        <w:textAlignment w:val="auto"/>
        <w:outlineLvl w:val="9"/>
        <w:rPr>
          <w:rFonts w:hint="eastAsia" w:cs="宋体" w:asciiTheme="majorEastAsia" w:hAnsiTheme="majorEastAsia" w:eastAsiaTheme="majorEastAsia"/>
          <w:b/>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kern w:val="0"/>
          <w:sz w:val="44"/>
          <w:szCs w:val="44"/>
          <w14:textFill>
            <w14:solidFill>
              <w14:schemeClr w14:val="tx1"/>
            </w14:solidFill>
          </w14:textFill>
        </w:rPr>
        <w:t>南安市2023年</w:t>
      </w:r>
      <w:r>
        <w:rPr>
          <w:rFonts w:hint="eastAsia" w:ascii="方正小标宋简体" w:hAnsi="方正小标宋简体" w:eastAsia="方正小标宋简体" w:cs="方正小标宋简体"/>
          <w:b w:val="0"/>
          <w:bCs/>
          <w:color w:val="000000" w:themeColor="text1"/>
          <w:kern w:val="0"/>
          <w:sz w:val="44"/>
          <w:szCs w:val="44"/>
          <w:lang w:val="en-US" w:eastAsia="zh-CN"/>
          <w14:textFill>
            <w14:solidFill>
              <w14:schemeClr w14:val="tx1"/>
            </w14:solidFill>
          </w14:textFill>
        </w:rPr>
        <w:t>第一季度</w:t>
      </w:r>
      <w:r>
        <w:rPr>
          <w:rFonts w:hint="eastAsia" w:ascii="方正小标宋简体" w:hAnsi="方正小标宋简体" w:eastAsia="方正小标宋简体" w:cs="方正小标宋简体"/>
          <w:b w:val="0"/>
          <w:bCs/>
          <w:color w:val="000000" w:themeColor="text1"/>
          <w:kern w:val="0"/>
          <w:sz w:val="44"/>
          <w:szCs w:val="44"/>
          <w14:textFill>
            <w14:solidFill>
              <w14:schemeClr w14:val="tx1"/>
            </w14:solidFill>
          </w14:textFill>
        </w:rPr>
        <w:t>基本单位</w:t>
      </w:r>
      <w:r>
        <w:rPr>
          <w:rFonts w:hint="eastAsia" w:ascii="方正小标宋简体" w:hAnsi="方正小标宋简体" w:eastAsia="方正小标宋简体" w:cs="方正小标宋简体"/>
          <w:b w:val="0"/>
          <w:bCs/>
          <w:color w:val="000000" w:themeColor="text1"/>
          <w:kern w:val="0"/>
          <w:sz w:val="44"/>
          <w:szCs w:val="44"/>
          <w:lang w:eastAsia="zh-CN"/>
          <w14:textFill>
            <w14:solidFill>
              <w14:schemeClr w14:val="tx1"/>
            </w14:solidFill>
          </w14:textFill>
        </w:rPr>
        <w:t>名录库</w:t>
      </w:r>
      <w:r>
        <w:rPr>
          <w:rFonts w:hint="eastAsia" w:ascii="方正小标宋简体" w:hAnsi="方正小标宋简体" w:eastAsia="方正小标宋简体" w:cs="方正小标宋简体"/>
          <w:b w:val="0"/>
          <w:bCs/>
          <w:color w:val="000000" w:themeColor="text1"/>
          <w:kern w:val="0"/>
          <w:sz w:val="44"/>
          <w:szCs w:val="44"/>
          <w14:textFill>
            <w14:solidFill>
              <w14:schemeClr w14:val="tx1"/>
            </w14:solidFill>
          </w14:textFill>
        </w:rPr>
        <w:t>分析</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仿宋_GB2312" w:hAnsi="微软雅黑" w:eastAsia="仿宋_GB2312" w:cs="宋体"/>
          <w:color w:val="000000" w:themeColor="text1"/>
          <w:kern w:val="0"/>
          <w:sz w:val="32"/>
          <w:szCs w:val="32"/>
          <w:lang w:eastAsia="zh-CN"/>
          <w14:textFill>
            <w14:solidFill>
              <w14:schemeClr w14:val="tx1"/>
            </w14:solidFill>
          </w14:textFill>
        </w:rPr>
        <w:t>后疫情时代的经</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济形势机遇与挑战并存。一方面市场不稳定不确定性增多，企业的关停潮，局面严峻复杂，市场信心不足；另一方面，疫情阴霾逐渐远去，各行各业百废待兴，行业出现大量空缺，市场准入门槛降低的同时消费潜力亟需释放。面对新的经济形势，分析基本单位名录库现存基本单位的产业结构，以期为南安市发展方向提供路径探索。</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kern w:val="0"/>
          <w:sz w:val="32"/>
          <w:szCs w:val="32"/>
          <w:lang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14:textFill>
            <w14:solidFill>
              <w14:schemeClr w14:val="tx1"/>
            </w14:solidFill>
          </w14:textFill>
        </w:rPr>
        <w:t>一、南安市2023年</w:t>
      </w:r>
      <w:r>
        <w:rPr>
          <w:rFonts w:hint="default" w:ascii="Times New Roman" w:hAnsi="Times New Roman" w:eastAsia="黑体" w:cs="Times New Roman"/>
          <w:bCs/>
          <w:color w:val="000000" w:themeColor="text1"/>
          <w:kern w:val="0"/>
          <w:sz w:val="32"/>
          <w:szCs w:val="32"/>
          <w:lang w:val="en-US" w:eastAsia="zh-CN"/>
          <w14:textFill>
            <w14:solidFill>
              <w14:schemeClr w14:val="tx1"/>
            </w14:solidFill>
          </w14:textFill>
        </w:rPr>
        <w:t>第一季度</w:t>
      </w:r>
      <w:r>
        <w:rPr>
          <w:rFonts w:hint="default" w:ascii="Times New Roman" w:hAnsi="Times New Roman" w:eastAsia="黑体" w:cs="Times New Roman"/>
          <w:bCs/>
          <w:color w:val="000000" w:themeColor="text1"/>
          <w:kern w:val="0"/>
          <w:sz w:val="32"/>
          <w:szCs w:val="32"/>
          <w:lang w:eastAsia="zh-CN"/>
          <w14:textFill>
            <w14:solidFill>
              <w14:schemeClr w14:val="tx1"/>
            </w14:solidFill>
          </w14:textFill>
        </w:rPr>
        <w:t>基本情况</w:t>
      </w:r>
    </w:p>
    <w:p>
      <w:pPr>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楷体" w:cs="Times New Roman"/>
          <w:b/>
          <w:bCs/>
          <w:color w:val="000000" w:themeColor="text1"/>
          <w:kern w:val="0"/>
          <w:sz w:val="32"/>
          <w:szCs w:val="32"/>
          <w14:textFill>
            <w14:solidFill>
              <w14:schemeClr w14:val="tx1"/>
            </w14:solidFill>
          </w14:textFill>
        </w:rPr>
        <w:t>（一）基本单位情况。</w:t>
      </w:r>
      <w:r>
        <w:rPr>
          <w:rFonts w:hint="default" w:ascii="Times New Roman" w:hAnsi="Times New Roman" w:eastAsia="仿宋_GB2312" w:cs="Times New Roman"/>
          <w:color w:val="000000" w:themeColor="text1"/>
          <w:kern w:val="0"/>
          <w:sz w:val="32"/>
          <w:szCs w:val="32"/>
          <w14:textFill>
            <w14:solidFill>
              <w14:schemeClr w14:val="tx1"/>
            </w14:solidFill>
          </w14:textFill>
        </w:rPr>
        <w:t>全市名录库共有法人单位</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75013</w:t>
      </w:r>
      <w:r>
        <w:rPr>
          <w:rFonts w:hint="default" w:ascii="Times New Roman" w:hAnsi="Times New Roman" w:eastAsia="仿宋_GB2312" w:cs="Times New Roman"/>
          <w:color w:val="000000" w:themeColor="text1"/>
          <w:kern w:val="0"/>
          <w:sz w:val="32"/>
          <w:szCs w:val="32"/>
          <w14:textFill>
            <w14:solidFill>
              <w14:schemeClr w14:val="tx1"/>
            </w14:solidFill>
          </w14:textFill>
        </w:rPr>
        <w:t>个，占全部单位比重</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97.0</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，其中四上法人</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2285个，占比3%</w:t>
      </w:r>
      <w:r>
        <w:rPr>
          <w:rFonts w:hint="default" w:ascii="Times New Roman" w:hAnsi="Times New Roman" w:eastAsia="仿宋_GB2312" w:cs="Times New Roman"/>
          <w:color w:val="000000" w:themeColor="text1"/>
          <w:kern w:val="0"/>
          <w:sz w:val="32"/>
          <w:szCs w:val="32"/>
          <w14:textFill>
            <w14:solidFill>
              <w14:schemeClr w14:val="tx1"/>
            </w14:solidFill>
          </w14:textFill>
        </w:rPr>
        <w:t>。产业活动单位</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2349</w:t>
      </w:r>
      <w:r>
        <w:rPr>
          <w:rFonts w:hint="default" w:ascii="Times New Roman" w:hAnsi="Times New Roman" w:eastAsia="仿宋_GB2312" w:cs="Times New Roman"/>
          <w:color w:val="000000" w:themeColor="text1"/>
          <w:kern w:val="0"/>
          <w:sz w:val="32"/>
          <w:szCs w:val="32"/>
          <w14:textFill>
            <w14:solidFill>
              <w14:schemeClr w14:val="tx1"/>
            </w14:solidFill>
          </w14:textFill>
        </w:rPr>
        <w:t>个，占全部</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法人</w:t>
      </w:r>
      <w:r>
        <w:rPr>
          <w:rFonts w:hint="default" w:ascii="Times New Roman" w:hAnsi="Times New Roman" w:eastAsia="仿宋_GB2312" w:cs="Times New Roman"/>
          <w:color w:val="000000" w:themeColor="text1"/>
          <w:kern w:val="0"/>
          <w:sz w:val="32"/>
          <w:szCs w:val="32"/>
          <w14:textFill>
            <w14:solidFill>
              <w14:schemeClr w14:val="tx1"/>
            </w14:solidFill>
          </w14:textFill>
        </w:rPr>
        <w:t>单位比重</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3.0</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法人单位数量较多但四上法人占比不高，基本单位发展质量有待提升。</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楷体" w:cs="Times New Roman"/>
          <w:b/>
          <w:bCs/>
          <w:color w:val="000000" w:themeColor="text1"/>
          <w:kern w:val="0"/>
          <w:sz w:val="32"/>
          <w:szCs w:val="32"/>
          <w:lang w:eastAsia="zh-CN"/>
          <w14:textFill>
            <w14:solidFill>
              <w14:schemeClr w14:val="tx1"/>
            </w14:solidFill>
          </w14:textFill>
        </w:rPr>
        <w:t>（二）法人单位</w:t>
      </w:r>
      <w:r>
        <w:rPr>
          <w:rFonts w:hint="default" w:ascii="Times New Roman" w:hAnsi="Times New Roman" w:eastAsia="楷体" w:cs="Times New Roman"/>
          <w:b/>
          <w:bCs/>
          <w:color w:val="000000" w:themeColor="text1"/>
          <w:kern w:val="0"/>
          <w:sz w:val="32"/>
          <w:szCs w:val="32"/>
          <w14:textFill>
            <w14:solidFill>
              <w14:schemeClr w14:val="tx1"/>
            </w14:solidFill>
          </w14:textFill>
        </w:rPr>
        <w:t>分机构类型看。</w:t>
      </w:r>
      <w:r>
        <w:rPr>
          <w:rFonts w:hint="default" w:ascii="Times New Roman" w:hAnsi="Times New Roman" w:eastAsia="仿宋_GB2312" w:cs="Times New Roman"/>
          <w:color w:val="000000" w:themeColor="text1"/>
          <w:kern w:val="0"/>
          <w:sz w:val="32"/>
          <w:szCs w:val="32"/>
          <w14:textFill>
            <w14:solidFill>
              <w14:schemeClr w14:val="tx1"/>
            </w14:solidFill>
          </w14:textFill>
        </w:rPr>
        <w:t>全市企业法人单位</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72525</w:t>
      </w:r>
      <w:r>
        <w:rPr>
          <w:rFonts w:hint="default" w:ascii="Times New Roman" w:hAnsi="Times New Roman" w:eastAsia="仿宋_GB2312" w:cs="Times New Roman"/>
          <w:color w:val="000000" w:themeColor="text1"/>
          <w:kern w:val="0"/>
          <w:sz w:val="32"/>
          <w:szCs w:val="32"/>
          <w14:textFill>
            <w14:solidFill>
              <w14:schemeClr w14:val="tx1"/>
            </w14:solidFill>
          </w14:textFill>
        </w:rPr>
        <w:t>个，</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占全部法人单位比重</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96.7%；</w:t>
      </w:r>
      <w:r>
        <w:rPr>
          <w:rFonts w:hint="default" w:ascii="Times New Roman" w:hAnsi="Times New Roman" w:eastAsia="仿宋_GB2312" w:cs="Times New Roman"/>
          <w:color w:val="000000" w:themeColor="text1"/>
          <w:kern w:val="0"/>
          <w:sz w:val="32"/>
          <w:szCs w:val="32"/>
          <w14:textFill>
            <w14:solidFill>
              <w14:schemeClr w14:val="tx1"/>
            </w14:solidFill>
          </w14:textFill>
        </w:rPr>
        <w:t>事业单位</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法人</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561</w:t>
      </w:r>
      <w:r>
        <w:rPr>
          <w:rFonts w:hint="default" w:ascii="Times New Roman" w:hAnsi="Times New Roman" w:eastAsia="仿宋_GB2312" w:cs="Times New Roman"/>
          <w:color w:val="000000" w:themeColor="text1"/>
          <w:kern w:val="0"/>
          <w:sz w:val="32"/>
          <w:szCs w:val="32"/>
          <w14:textFill>
            <w14:solidFill>
              <w14:schemeClr w14:val="tx1"/>
            </w14:solidFill>
          </w14:textFill>
        </w:rPr>
        <w:t>个，</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机关法人</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72，</w:t>
      </w:r>
      <w:r>
        <w:rPr>
          <w:rFonts w:hint="default" w:ascii="Times New Roman" w:hAnsi="Times New Roman" w:eastAsia="仿宋_GB2312" w:cs="Times New Roman"/>
          <w:color w:val="000000" w:themeColor="text1"/>
          <w:kern w:val="0"/>
          <w:sz w:val="32"/>
          <w:szCs w:val="32"/>
          <w14:textFill>
            <w14:solidFill>
              <w14:schemeClr w14:val="tx1"/>
            </w14:solidFill>
          </w14:textFill>
        </w:rPr>
        <w:t>社会团体</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,432</w:t>
      </w:r>
      <w:r>
        <w:rPr>
          <w:rFonts w:hint="default" w:ascii="Times New Roman" w:hAnsi="Times New Roman" w:eastAsia="仿宋_GB2312" w:cs="Times New Roman"/>
          <w:color w:val="000000" w:themeColor="text1"/>
          <w:kern w:val="0"/>
          <w:sz w:val="32"/>
          <w:szCs w:val="32"/>
          <w14:textFill>
            <w14:solidFill>
              <w14:schemeClr w14:val="tx1"/>
            </w14:solidFill>
          </w14:textFill>
        </w:rPr>
        <w:t>个</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，民办非企业单位</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337，基金会22个，居委会49个，村委会376个，农民专业合作社546个，农村集体经济组织1个，其他组织机构92个</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企业法人数量大，经济相对发达，工商繁荣。</w:t>
      </w:r>
    </w:p>
    <w:p>
      <w:pPr>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color w:val="auto"/>
          <w14:textOutline w14:w="9525">
            <w14:solidFill>
              <w14:schemeClr w14:val="accent1"/>
            </w14:solidFill>
            <w14:round/>
          </w14:textOutline>
        </w:rPr>
      </w:pPr>
      <w:r>
        <w:drawing>
          <wp:anchor distT="0" distB="0" distL="114300" distR="114300" simplePos="0" relativeHeight="251660288" behindDoc="0" locked="0" layoutInCell="1" allowOverlap="1">
            <wp:simplePos x="0" y="0"/>
            <wp:positionH relativeFrom="column">
              <wp:posOffset>179070</wp:posOffset>
            </wp:positionH>
            <wp:positionV relativeFrom="page">
              <wp:posOffset>6397625</wp:posOffset>
            </wp:positionV>
            <wp:extent cx="5211445" cy="2994025"/>
            <wp:effectExtent l="0" t="0" r="635" b="8255"/>
            <wp:wrapTopAndBottom/>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default" w:ascii="Times New Roman" w:hAnsi="Times New Roman" w:eastAsia="楷体" w:cs="Times New Roman"/>
          <w:b/>
          <w:bCs/>
          <w:color w:val="000000" w:themeColor="text1"/>
          <w:kern w:val="0"/>
          <w:sz w:val="32"/>
          <w:szCs w:val="32"/>
          <w14:textFill>
            <w14:solidFill>
              <w14:schemeClr w14:val="tx1"/>
            </w14:solidFill>
          </w14:textFill>
        </w:rPr>
        <w:t>（三）</w:t>
      </w:r>
      <w:r>
        <w:rPr>
          <w:rFonts w:hint="default" w:ascii="Times New Roman" w:hAnsi="Times New Roman" w:eastAsia="楷体" w:cs="Times New Roman"/>
          <w:b/>
          <w:bCs/>
          <w:color w:val="000000" w:themeColor="text1"/>
          <w:kern w:val="0"/>
          <w:sz w:val="32"/>
          <w:szCs w:val="32"/>
          <w:lang w:eastAsia="zh-CN"/>
          <w14:textFill>
            <w14:solidFill>
              <w14:schemeClr w14:val="tx1"/>
            </w14:solidFill>
          </w14:textFill>
        </w:rPr>
        <w:t>法人单位</w:t>
      </w:r>
      <w:r>
        <w:rPr>
          <w:rFonts w:hint="default" w:ascii="Times New Roman" w:hAnsi="Times New Roman" w:eastAsia="楷体" w:cs="Times New Roman"/>
          <w:b/>
          <w:bCs/>
          <w:color w:val="000000" w:themeColor="text1"/>
          <w:kern w:val="0"/>
          <w:sz w:val="32"/>
          <w:szCs w:val="32"/>
          <w14:textFill>
            <w14:solidFill>
              <w14:schemeClr w14:val="tx1"/>
            </w14:solidFill>
          </w14:textFill>
        </w:rPr>
        <w:t>分产业看。</w:t>
      </w:r>
      <w:r>
        <w:rPr>
          <w:rFonts w:hint="default" w:ascii="Times New Roman" w:hAnsi="Times New Roman" w:eastAsia="仿宋_GB2312" w:cs="Times New Roman"/>
          <w:b w:val="0"/>
          <w:bCs w:val="0"/>
          <w:color w:val="000000" w:themeColor="text1"/>
          <w:kern w:val="0"/>
          <w:sz w:val="32"/>
          <w:szCs w:val="32"/>
          <w:lang w:eastAsia="zh-CN"/>
          <w14:textFill>
            <w14:solidFill>
              <w14:schemeClr w14:val="tx1"/>
            </w14:solidFill>
          </w14:textFill>
        </w:rPr>
        <w:t>全部法人单位中，</w:t>
      </w:r>
      <w:r>
        <w:rPr>
          <w:rFonts w:hint="default" w:ascii="Times New Roman" w:hAnsi="Times New Roman" w:eastAsia="仿宋_GB2312" w:cs="Times New Roman"/>
          <w:color w:val="000000" w:themeColor="text1"/>
          <w:kern w:val="0"/>
          <w:sz w:val="32"/>
          <w:szCs w:val="32"/>
          <w14:textFill>
            <w14:solidFill>
              <w14:schemeClr w14:val="tx1"/>
            </w14:solidFill>
          </w14:textFill>
        </w:rPr>
        <w:t>第一产业法人单位</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2302</w:t>
      </w:r>
      <w:r>
        <w:rPr>
          <w:rFonts w:hint="default" w:ascii="Times New Roman" w:hAnsi="Times New Roman" w:eastAsia="仿宋_GB2312" w:cs="Times New Roman"/>
          <w:color w:val="000000" w:themeColor="text1"/>
          <w:kern w:val="0"/>
          <w:sz w:val="32"/>
          <w:szCs w:val="32"/>
          <w14:textFill>
            <w14:solidFill>
              <w14:schemeClr w14:val="tx1"/>
            </w14:solidFill>
          </w14:textFill>
        </w:rPr>
        <w:t>个</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，占比</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3.1%</w:t>
      </w:r>
      <w:r>
        <w:rPr>
          <w:rFonts w:hint="default" w:ascii="Times New Roman" w:hAnsi="Times New Roman" w:eastAsia="仿宋_GB2312" w:cs="Times New Roman"/>
          <w:color w:val="000000" w:themeColor="text1"/>
          <w:kern w:val="0"/>
          <w:sz w:val="32"/>
          <w:szCs w:val="32"/>
          <w14:textFill>
            <w14:solidFill>
              <w14:schemeClr w14:val="tx1"/>
            </w14:solidFill>
          </w14:textFill>
        </w:rPr>
        <w:t>；第二产业法人单位</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24555</w:t>
      </w:r>
      <w:r>
        <w:rPr>
          <w:rFonts w:hint="default" w:ascii="Times New Roman" w:hAnsi="Times New Roman" w:eastAsia="仿宋_GB2312" w:cs="Times New Roman"/>
          <w:color w:val="000000" w:themeColor="text1"/>
          <w:kern w:val="0"/>
          <w:sz w:val="32"/>
          <w:szCs w:val="32"/>
          <w14:textFill>
            <w14:solidFill>
              <w14:schemeClr w14:val="tx1"/>
            </w14:solidFill>
          </w14:textFill>
        </w:rPr>
        <w:t>个</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，占比</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32.7%</w:t>
      </w:r>
      <w:r>
        <w:rPr>
          <w:rFonts w:hint="default" w:ascii="Times New Roman" w:hAnsi="Times New Roman" w:eastAsia="仿宋_GB2312" w:cs="Times New Roman"/>
          <w:color w:val="000000" w:themeColor="text1"/>
          <w:kern w:val="0"/>
          <w:sz w:val="32"/>
          <w:szCs w:val="32"/>
          <w14:textFill>
            <w14:solidFill>
              <w14:schemeClr w14:val="tx1"/>
            </w14:solidFill>
          </w14:textFill>
        </w:rPr>
        <w:t>;第三产业法人单位</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48156</w:t>
      </w:r>
      <w:r>
        <w:rPr>
          <w:rFonts w:hint="default" w:ascii="Times New Roman" w:hAnsi="Times New Roman" w:eastAsia="仿宋_GB2312" w:cs="Times New Roman"/>
          <w:color w:val="000000" w:themeColor="text1"/>
          <w:kern w:val="0"/>
          <w:sz w:val="32"/>
          <w:szCs w:val="32"/>
          <w14:textFill>
            <w14:solidFill>
              <w14:schemeClr w14:val="tx1"/>
            </w14:solidFill>
          </w14:textFill>
        </w:rPr>
        <w:t>个</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，占比</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64.2%；四上法人单位第一产业4个，占比0.2%，第二产业1428个，占比62.5%，第三产业853个，占比37.3%。</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整体发展结构上看，第二产业、第三产业法人数量占比高，工业生产具备规模，营商环境良好；产业发展质量上看，第二产业远远优于第一产业、第三产业。</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after="157" w:afterLines="50"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pPr>
      <w:r>
        <w:rPr>
          <w:rFonts w:hint="default" w:ascii="Times New Roman" w:hAnsi="Times New Roman" w:eastAsia="楷体" w:cs="Times New Roman"/>
          <w:b/>
          <w:bCs/>
          <w:color w:val="000000" w:themeColor="text1"/>
          <w:kern w:val="0"/>
          <w:sz w:val="32"/>
          <w:szCs w:val="32"/>
          <w:lang w:eastAsia="zh-CN"/>
          <w14:textFill>
            <w14:solidFill>
              <w14:schemeClr w14:val="tx1"/>
            </w14:solidFill>
          </w14:textFill>
        </w:rPr>
        <w:t>（四）法人单位</w:t>
      </w:r>
      <w:r>
        <w:rPr>
          <w:rFonts w:hint="default" w:ascii="Times New Roman" w:hAnsi="Times New Roman" w:eastAsia="楷体" w:cs="Times New Roman"/>
          <w:b/>
          <w:bCs/>
          <w:color w:val="000000" w:themeColor="text1"/>
          <w:kern w:val="0"/>
          <w:sz w:val="32"/>
          <w:szCs w:val="32"/>
          <w14:textFill>
            <w14:solidFill>
              <w14:schemeClr w14:val="tx1"/>
            </w14:solidFill>
          </w14:textFill>
        </w:rPr>
        <w:t>分</w:t>
      </w:r>
      <w:r>
        <w:rPr>
          <w:rFonts w:hint="default" w:ascii="Times New Roman" w:hAnsi="Times New Roman" w:eastAsia="楷体" w:cs="Times New Roman"/>
          <w:b/>
          <w:bCs/>
          <w:color w:val="000000" w:themeColor="text1"/>
          <w:kern w:val="0"/>
          <w:sz w:val="32"/>
          <w:szCs w:val="32"/>
          <w:lang w:eastAsia="zh-CN"/>
          <w14:textFill>
            <w14:solidFill>
              <w14:schemeClr w14:val="tx1"/>
            </w14:solidFill>
          </w14:textFill>
        </w:rPr>
        <w:t>行业门类</w:t>
      </w:r>
      <w:r>
        <w:rPr>
          <w:rFonts w:hint="default" w:ascii="Times New Roman" w:hAnsi="Times New Roman" w:eastAsia="楷体" w:cs="Times New Roman"/>
          <w:b/>
          <w:bCs/>
          <w:color w:val="000000" w:themeColor="text1"/>
          <w:kern w:val="0"/>
          <w:sz w:val="32"/>
          <w:szCs w:val="32"/>
          <w14:textFill>
            <w14:solidFill>
              <w14:schemeClr w14:val="tx1"/>
            </w14:solidFill>
          </w14:textFill>
        </w:rPr>
        <w:t>看。</w:t>
      </w:r>
      <w:r>
        <w:rPr>
          <w:rFonts w:hint="default" w:ascii="Times New Roman" w:hAnsi="Times New Roman" w:eastAsia="仿宋_GB2312" w:cs="Times New Roman"/>
          <w:b w:val="0"/>
          <w:bCs w:val="0"/>
          <w:color w:val="000000" w:themeColor="text1"/>
          <w:kern w:val="0"/>
          <w:sz w:val="32"/>
          <w:szCs w:val="32"/>
          <w:lang w:eastAsia="zh-CN"/>
          <w14:textFill>
            <w14:solidFill>
              <w14:schemeClr w14:val="tx1"/>
            </w14:solidFill>
          </w14:textFill>
        </w:rPr>
        <w:t>全部法人单位中，</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制造业21658个，占</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比</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28.9%；建筑业2744个，占</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比</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3.7%；批发和零售业30576个，占</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比</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40.8%；房地产业856个，占</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比</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1.1%；信息传输、软件和信息技术服务业2476个，占比3.3%；租赁和商务服务业4866个，占比6.5%；科学研究和技术服务业2839个，占比3.8%。四上法人中制造业1248个，占</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比</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54.6%，高于全部法人25.7个百分点；建筑业161个，占</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比</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7.0%，高于全部法人3.4个百分点；批发和零售业534个，占</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比</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23.4%，低于全部法人17.4个百分点；房地产业86个，占</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比</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3.8%，高于全部法人2.6个百分点；信息传输、软件和信息技术服务业2个，占比0.1%，低于全部法人3.2个百分点；租赁和商务服务业44个，占比1.9%，低于全部法人4.6个百分点；科学研究和技术服务业9个，占比0.4%，低于全部法人3.4个百分点。行业门类整体结构上看，制造业数量、质量远超服务业，同时批发和零售业的质量也远低于制造业行业发展不均衡问题较为突出，生产</w:t>
      </w:r>
      <w:bookmarkStart w:id="0" w:name="_GoBack"/>
      <w:bookmarkEnd w:id="0"/>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与消费不协调。</w:t>
      </w:r>
    </w:p>
    <w:tbl>
      <w:tblPr>
        <w:tblStyle w:val="9"/>
        <w:tblW w:w="9049" w:type="dxa"/>
        <w:jc w:val="center"/>
        <w:tblInd w:w="-4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810"/>
        <w:gridCol w:w="526"/>
        <w:gridCol w:w="984"/>
        <w:gridCol w:w="780"/>
        <w:gridCol w:w="960"/>
        <w:gridCol w:w="816"/>
        <w:gridCol w:w="1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8" w:hRule="atLeast"/>
          <w:jc w:val="center"/>
        </w:trPr>
        <w:tc>
          <w:tcPr>
            <w:tcW w:w="3810" w:type="dxa"/>
            <w:vMerge w:val="restart"/>
            <w:tcBorders>
              <w:top w:val="single" w:color="000000" w:sz="4" w:space="0"/>
              <w:left w:val="single" w:color="000000" w:sz="4" w:space="0"/>
              <w:bottom w:val="single" w:color="000000" w:sz="4" w:space="0"/>
              <w:right w:val="single" w:color="000000" w:sz="4" w:space="0"/>
            </w:tcBorders>
            <w:shd w:val="clear" w:color="auto" w:fill="FFCC99"/>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highlight w:val="none"/>
                <w:u w:val="none"/>
              </w:rPr>
            </w:pPr>
            <w:r>
              <w:rPr>
                <w:rFonts w:hint="eastAsia" w:ascii="黑体" w:hAnsi="黑体" w:eastAsia="黑体" w:cs="黑体"/>
                <w:i w:val="0"/>
                <w:color w:val="000000"/>
                <w:kern w:val="0"/>
                <w:sz w:val="24"/>
                <w:szCs w:val="24"/>
                <w:highlight w:val="none"/>
                <w:u w:val="none"/>
                <w:lang w:val="en-US" w:eastAsia="zh-CN" w:bidi="ar"/>
              </w:rPr>
              <w:t>行业门类</w:t>
            </w:r>
          </w:p>
        </w:tc>
        <w:tc>
          <w:tcPr>
            <w:tcW w:w="526" w:type="dxa"/>
            <w:vMerge w:val="restart"/>
            <w:tcBorders>
              <w:top w:val="single" w:color="000000" w:sz="4" w:space="0"/>
              <w:left w:val="single" w:color="000000" w:sz="4" w:space="0"/>
              <w:bottom w:val="single" w:color="000000" w:sz="4" w:space="0"/>
              <w:right w:val="single" w:color="000000" w:sz="4" w:space="0"/>
            </w:tcBorders>
            <w:shd w:val="clear" w:color="auto" w:fill="FFCC99"/>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highlight w:val="none"/>
                <w:u w:val="none"/>
              </w:rPr>
            </w:pPr>
            <w:r>
              <w:rPr>
                <w:rFonts w:hint="eastAsia" w:ascii="黑体" w:hAnsi="黑体" w:eastAsia="黑体" w:cs="黑体"/>
                <w:i w:val="0"/>
                <w:color w:val="000000"/>
                <w:kern w:val="0"/>
                <w:sz w:val="24"/>
                <w:szCs w:val="24"/>
                <w:highlight w:val="none"/>
                <w:u w:val="none"/>
                <w:lang w:val="en-US" w:eastAsia="zh-CN" w:bidi="ar"/>
              </w:rPr>
              <w:t>代码</w:t>
            </w:r>
          </w:p>
        </w:tc>
        <w:tc>
          <w:tcPr>
            <w:tcW w:w="1764" w:type="dxa"/>
            <w:gridSpan w:val="2"/>
            <w:tcBorders>
              <w:top w:val="single" w:color="000000" w:sz="4" w:space="0"/>
              <w:left w:val="single" w:color="000000" w:sz="4" w:space="0"/>
              <w:bottom w:val="single" w:color="000000" w:sz="4" w:space="0"/>
              <w:right w:val="single" w:color="000000" w:sz="4" w:space="0"/>
            </w:tcBorders>
            <w:shd w:val="clear" w:color="auto" w:fill="FFCC99"/>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highlight w:val="none"/>
                <w:u w:val="none"/>
              </w:rPr>
            </w:pPr>
            <w:r>
              <w:rPr>
                <w:rFonts w:hint="eastAsia" w:ascii="黑体" w:hAnsi="黑体" w:eastAsia="黑体" w:cs="黑体"/>
                <w:i w:val="0"/>
                <w:color w:val="000000"/>
                <w:kern w:val="0"/>
                <w:sz w:val="24"/>
                <w:szCs w:val="24"/>
                <w:highlight w:val="none"/>
                <w:u w:val="none"/>
                <w:lang w:val="en-US" w:eastAsia="zh-CN" w:bidi="ar"/>
              </w:rPr>
              <w:t>法人单位</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FFCC99"/>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highlight w:val="none"/>
                <w:u w:val="none"/>
              </w:rPr>
            </w:pPr>
            <w:r>
              <w:rPr>
                <w:rFonts w:hint="eastAsia" w:ascii="黑体" w:hAnsi="黑体" w:eastAsia="黑体" w:cs="黑体"/>
                <w:i w:val="0"/>
                <w:color w:val="000000"/>
                <w:kern w:val="0"/>
                <w:sz w:val="24"/>
                <w:szCs w:val="24"/>
                <w:highlight w:val="none"/>
                <w:u w:val="none"/>
                <w:lang w:val="en-US" w:eastAsia="zh-CN" w:bidi="ar"/>
              </w:rPr>
              <w:t>四上法人</w:t>
            </w:r>
          </w:p>
        </w:tc>
        <w:tc>
          <w:tcPr>
            <w:tcW w:w="1173" w:type="dxa"/>
            <w:vMerge w:val="restart"/>
            <w:tcBorders>
              <w:top w:val="single" w:color="000000" w:sz="4" w:space="0"/>
              <w:left w:val="single" w:color="000000" w:sz="4" w:space="0"/>
              <w:right w:val="single" w:color="000000" w:sz="4" w:space="0"/>
            </w:tcBorders>
            <w:shd w:val="clear" w:color="auto" w:fill="FFCC99"/>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highlight w:val="none"/>
                <w:u w:val="none"/>
              </w:rPr>
            </w:pPr>
            <w:r>
              <w:rPr>
                <w:rFonts w:hint="eastAsia" w:ascii="黑体" w:hAnsi="黑体" w:eastAsia="黑体" w:cs="黑体"/>
                <w:i w:val="0"/>
                <w:color w:val="000000"/>
                <w:kern w:val="0"/>
                <w:sz w:val="24"/>
                <w:szCs w:val="24"/>
                <w:highlight w:val="none"/>
                <w:u w:val="none"/>
                <w:lang w:val="en-US" w:eastAsia="zh-CN" w:bidi="ar"/>
              </w:rPr>
              <w:t>行业门类占比之差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6" w:hRule="atLeast"/>
          <w:jc w:val="center"/>
        </w:trPr>
        <w:tc>
          <w:tcPr>
            <w:tcW w:w="3810" w:type="dxa"/>
            <w:vMerge w:val="continue"/>
            <w:tcBorders>
              <w:top w:val="single" w:color="000000" w:sz="4" w:space="0"/>
              <w:left w:val="single" w:color="000000" w:sz="4" w:space="0"/>
              <w:bottom w:val="single" w:color="000000" w:sz="4" w:space="0"/>
              <w:right w:val="single" w:color="000000" w:sz="4" w:space="0"/>
            </w:tcBorders>
            <w:shd w:val="clear" w:color="auto" w:fill="FFCC99"/>
            <w:vAlign w:val="center"/>
          </w:tcPr>
          <w:p>
            <w:pPr>
              <w:jc w:val="center"/>
              <w:rPr>
                <w:rFonts w:hint="eastAsia" w:ascii="黑体" w:hAnsi="黑体" w:eastAsia="黑体" w:cs="黑体"/>
                <w:i w:val="0"/>
                <w:color w:val="000000"/>
                <w:sz w:val="24"/>
                <w:szCs w:val="24"/>
                <w:highlight w:val="none"/>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FFCC99"/>
            <w:vAlign w:val="center"/>
          </w:tcPr>
          <w:p>
            <w:pPr>
              <w:jc w:val="center"/>
              <w:rPr>
                <w:rFonts w:hint="eastAsia" w:ascii="黑体" w:hAnsi="黑体" w:eastAsia="黑体" w:cs="黑体"/>
                <w:i w:val="0"/>
                <w:color w:val="000000"/>
                <w:sz w:val="24"/>
                <w:szCs w:val="24"/>
                <w:highlight w:val="none"/>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FFCC99"/>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highlight w:val="none"/>
                <w:u w:val="none"/>
              </w:rPr>
            </w:pPr>
            <w:r>
              <w:rPr>
                <w:rFonts w:hint="eastAsia" w:ascii="黑体" w:hAnsi="黑体" w:eastAsia="黑体" w:cs="黑体"/>
                <w:i w:val="0"/>
                <w:color w:val="000000"/>
                <w:kern w:val="0"/>
                <w:sz w:val="24"/>
                <w:szCs w:val="24"/>
                <w:highlight w:val="none"/>
                <w:u w:val="none"/>
                <w:lang w:val="en-US" w:eastAsia="zh-CN" w:bidi="ar"/>
              </w:rPr>
              <w:t>数量：个</w:t>
            </w:r>
          </w:p>
        </w:tc>
        <w:tc>
          <w:tcPr>
            <w:tcW w:w="780" w:type="dxa"/>
            <w:tcBorders>
              <w:top w:val="single" w:color="000000" w:sz="4" w:space="0"/>
              <w:left w:val="single" w:color="000000" w:sz="4" w:space="0"/>
              <w:bottom w:val="single" w:color="000000" w:sz="4" w:space="0"/>
              <w:right w:val="single" w:color="000000" w:sz="4" w:space="0"/>
            </w:tcBorders>
            <w:shd w:val="clear" w:color="auto" w:fill="FFCC99"/>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highlight w:val="none"/>
                <w:u w:val="none"/>
                <w:lang w:val="en-US"/>
              </w:rPr>
            </w:pPr>
            <w:r>
              <w:rPr>
                <w:rFonts w:hint="eastAsia" w:ascii="黑体" w:hAnsi="黑体" w:eastAsia="黑体" w:cs="黑体"/>
                <w:i w:val="0"/>
                <w:color w:val="000000"/>
                <w:kern w:val="0"/>
                <w:sz w:val="24"/>
                <w:szCs w:val="24"/>
                <w:highlight w:val="none"/>
                <w:u w:val="none"/>
                <w:lang w:val="en-US" w:eastAsia="zh-CN" w:bidi="ar"/>
              </w:rPr>
              <w:t>占比</w:t>
            </w:r>
          </w:p>
        </w:tc>
        <w:tc>
          <w:tcPr>
            <w:tcW w:w="960" w:type="dxa"/>
            <w:tcBorders>
              <w:top w:val="single" w:color="000000" w:sz="4" w:space="0"/>
              <w:left w:val="single" w:color="000000" w:sz="4" w:space="0"/>
              <w:bottom w:val="single" w:color="000000" w:sz="4" w:space="0"/>
              <w:right w:val="single" w:color="000000" w:sz="4" w:space="0"/>
            </w:tcBorders>
            <w:shd w:val="clear" w:color="auto" w:fill="FFCC99"/>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highlight w:val="none"/>
                <w:u w:val="none"/>
              </w:rPr>
            </w:pPr>
            <w:r>
              <w:rPr>
                <w:rFonts w:hint="eastAsia" w:ascii="黑体" w:hAnsi="黑体" w:eastAsia="黑体" w:cs="黑体"/>
                <w:i w:val="0"/>
                <w:color w:val="000000"/>
                <w:kern w:val="0"/>
                <w:sz w:val="24"/>
                <w:szCs w:val="24"/>
                <w:highlight w:val="none"/>
                <w:u w:val="none"/>
                <w:lang w:val="en-US" w:eastAsia="zh-CN" w:bidi="ar"/>
              </w:rPr>
              <w:t>数量：个</w:t>
            </w:r>
          </w:p>
        </w:tc>
        <w:tc>
          <w:tcPr>
            <w:tcW w:w="816" w:type="dxa"/>
            <w:tcBorders>
              <w:top w:val="single" w:color="000000" w:sz="4" w:space="0"/>
              <w:left w:val="single" w:color="000000" w:sz="4" w:space="0"/>
              <w:bottom w:val="single" w:color="000000" w:sz="4" w:space="0"/>
              <w:right w:val="single" w:color="000000" w:sz="4" w:space="0"/>
            </w:tcBorders>
            <w:shd w:val="clear" w:color="auto" w:fill="FFCC99"/>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highlight w:val="none"/>
                <w:u w:val="none"/>
              </w:rPr>
            </w:pPr>
            <w:r>
              <w:rPr>
                <w:rFonts w:hint="eastAsia" w:ascii="黑体" w:hAnsi="黑体" w:eastAsia="黑体" w:cs="黑体"/>
                <w:i w:val="0"/>
                <w:color w:val="000000"/>
                <w:kern w:val="0"/>
                <w:sz w:val="24"/>
                <w:szCs w:val="24"/>
                <w:highlight w:val="none"/>
                <w:u w:val="none"/>
                <w:lang w:val="en-US" w:eastAsia="zh-CN" w:bidi="ar"/>
              </w:rPr>
              <w:t>占比</w:t>
            </w:r>
          </w:p>
        </w:tc>
        <w:tc>
          <w:tcPr>
            <w:tcW w:w="1173" w:type="dxa"/>
            <w:vMerge w:val="continue"/>
            <w:tcBorders>
              <w:left w:val="single" w:color="000000" w:sz="4" w:space="0"/>
              <w:bottom w:val="single" w:color="000000" w:sz="4" w:space="0"/>
              <w:right w:val="single" w:color="000000" w:sz="4" w:space="0"/>
            </w:tcBorders>
            <w:shd w:val="clear" w:color="auto" w:fill="FFCC99"/>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农、林、牧、渔业</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A</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2495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3.3%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4</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0.2%</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采矿业</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B</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56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0.1%</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制造业</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C</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21658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28.9%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1248</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54.6%</w:t>
            </w:r>
          </w:p>
        </w:tc>
        <w:tc>
          <w:tcPr>
            <w:tcW w:w="1173"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shd w:val="clear" w:fill="FFFF00"/>
              <w:jc w:val="center"/>
              <w:textAlignment w:val="center"/>
              <w:rPr>
                <w:rFonts w:hint="default" w:ascii="Times New Roman" w:hAnsi="Times New Roman" w:eastAsia="仿宋_GB2312" w:cs="Times New Roman"/>
                <w:i w:val="0"/>
                <w:color w:val="000000"/>
                <w:kern w:val="0"/>
                <w:sz w:val="24"/>
                <w:szCs w:val="24"/>
                <w:highlight w:val="yellow"/>
                <w:u w:val="none"/>
                <w:shd w:val="clear" w:color="auto" w:fill="auto"/>
                <w:lang w:val="en-US" w:eastAsia="zh-CN" w:bidi="ar"/>
              </w:rPr>
            </w:pPr>
            <w:r>
              <w:rPr>
                <w:rFonts w:hint="default" w:ascii="Times New Roman" w:hAnsi="Times New Roman" w:eastAsia="仿宋_GB2312" w:cs="Times New Roman"/>
                <w:i w:val="0"/>
                <w:color w:val="000000"/>
                <w:kern w:val="0"/>
                <w:sz w:val="24"/>
                <w:szCs w:val="24"/>
                <w:highlight w:val="yellow"/>
                <w:u w:val="none"/>
                <w:shd w:val="clear" w:color="auto" w:fill="auto"/>
                <w:lang w:val="en-US" w:eastAsia="zh-CN" w:bidi="ar"/>
              </w:rPr>
              <w:t>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电力、热力、燃气及水生产和供应业</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D</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164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17</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0.7%</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建筑业</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E</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2744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3.7%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161</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7.0%</w:t>
            </w:r>
          </w:p>
        </w:tc>
        <w:tc>
          <w:tcPr>
            <w:tcW w:w="1173"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shd w:val="clear" w:fill="FFFF0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批发和零售业</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F</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30576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40.8%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534</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23.4%</w:t>
            </w:r>
          </w:p>
        </w:tc>
        <w:tc>
          <w:tcPr>
            <w:tcW w:w="1173"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shd w:val="clear" w:fill="FFFF00"/>
              <w:jc w:val="center"/>
              <w:textAlignment w:val="center"/>
              <w:rPr>
                <w:rFonts w:hint="default" w:ascii="Times New Roman" w:hAnsi="Times New Roman" w:eastAsia="仿宋_GB2312" w:cs="Times New Roman"/>
                <w:i w:val="0"/>
                <w:color w:val="000000"/>
                <w:kern w:val="0"/>
                <w:sz w:val="24"/>
                <w:szCs w:val="24"/>
                <w:highlight w:val="yellow"/>
                <w:u w:val="none"/>
                <w:lang w:val="en-US" w:eastAsia="zh-CN" w:bidi="ar"/>
              </w:rPr>
            </w:pPr>
            <w:r>
              <w:rPr>
                <w:rFonts w:hint="default" w:ascii="Times New Roman" w:hAnsi="Times New Roman" w:eastAsia="仿宋_GB2312" w:cs="Times New Roman"/>
                <w:i w:val="0"/>
                <w:color w:val="000000"/>
                <w:kern w:val="0"/>
                <w:sz w:val="24"/>
                <w:szCs w:val="24"/>
                <w:highlight w:val="yellow"/>
                <w:u w:val="none"/>
                <w:shd w:val="clear" w:fill="FFFF00"/>
                <w:lang w:val="en-US" w:eastAsia="zh-CN" w:bidi="ar"/>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交通运输、仓储和邮政业</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G</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1123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42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1.8%</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住宿和餐饮业</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H</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584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0.8%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56</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2.5%</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信息传输、软件和信息技术服务业</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I</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2476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3.3%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0.1%</w:t>
            </w:r>
          </w:p>
        </w:tc>
        <w:tc>
          <w:tcPr>
            <w:tcW w:w="1173"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shd w:val="clear" w:fill="FFFF00"/>
              <w:jc w:val="center"/>
              <w:textAlignment w:val="center"/>
              <w:rPr>
                <w:rFonts w:hint="default" w:ascii="Times New Roman" w:hAnsi="Times New Roman" w:eastAsia="仿宋_GB2312" w:cs="Times New Roman"/>
                <w:i w:val="0"/>
                <w:color w:val="000000"/>
                <w:kern w:val="0"/>
                <w:sz w:val="24"/>
                <w:szCs w:val="24"/>
                <w:highlight w:val="yellow"/>
                <w:u w:val="none"/>
                <w:lang w:val="en-US" w:eastAsia="zh-CN" w:bidi="ar"/>
              </w:rPr>
            </w:pPr>
            <w:r>
              <w:rPr>
                <w:rFonts w:hint="default" w:ascii="Times New Roman" w:hAnsi="Times New Roman" w:eastAsia="仿宋_GB2312" w:cs="Times New Roman"/>
                <w:i w:val="0"/>
                <w:color w:val="000000"/>
                <w:kern w:val="0"/>
                <w:sz w:val="24"/>
                <w:szCs w:val="24"/>
                <w:highlight w:val="yellow"/>
                <w:u w:val="none"/>
                <w:shd w:val="clear" w:fill="FF0000"/>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金融业</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J</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0.0%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房地产业</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K</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856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86</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3.8%</w:t>
            </w:r>
          </w:p>
        </w:tc>
        <w:tc>
          <w:tcPr>
            <w:tcW w:w="1173"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租赁和商务服务业</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L</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4866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44</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1.9%</w:t>
            </w:r>
          </w:p>
        </w:tc>
        <w:tc>
          <w:tcPr>
            <w:tcW w:w="1173"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科学研究和技术服务业</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M</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2839</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3.8%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9</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0.4%</w:t>
            </w:r>
          </w:p>
        </w:tc>
        <w:tc>
          <w:tcPr>
            <w:tcW w:w="1173"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水利、环境和公共设施管理业</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N</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308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0.4%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22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1.0%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居民服务、修理和其他服务业</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O</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969</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18</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0.8%</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教育</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P</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849</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14</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0.6%</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卫生和社会工作</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Q</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206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0.3%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7</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0.3%</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文化、体育和娱乐业</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R</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1014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0.4%</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公共管理、社会保障和社会组织</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S</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1115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9</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0.4%</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合计</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75013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2285</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100.0%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w:t>
            </w:r>
          </w:p>
        </w:tc>
      </w:tr>
    </w:tbl>
    <w:p>
      <w:pPr>
        <w:keepNext w:val="0"/>
        <w:keepLines w:val="0"/>
        <w:pageBreakBefore w:val="0"/>
        <w:widowControl w:val="0"/>
        <w:shd w:val="clear" w:color="auto"/>
        <w:kinsoku/>
        <w:wordWrap/>
        <w:overflowPunct/>
        <w:topLinePunct w:val="0"/>
        <w:autoSpaceDE/>
        <w:autoSpaceDN/>
        <w:bidi w:val="0"/>
        <w:adjustRightInd/>
        <w:snapToGrid/>
        <w:spacing w:before="157" w:beforeLines="50" w:line="600" w:lineRule="exact"/>
        <w:ind w:left="0" w:leftChars="0" w:right="0" w:rightChars="0" w:firstLine="640" w:firstLineChars="200"/>
        <w:jc w:val="both"/>
        <w:textAlignment w:val="auto"/>
        <w:outlineLvl w:val="9"/>
        <w:rPr>
          <w:rFonts w:hint="eastAsia" w:ascii="黑体" w:hAnsi="黑体" w:eastAsia="黑体" w:cs="宋体"/>
          <w:color w:val="000000" w:themeColor="text1"/>
          <w:kern w:val="0"/>
          <w:sz w:val="32"/>
          <w:szCs w:val="32"/>
          <w:lang w:eastAsia="zh-CN"/>
          <w14:textFill>
            <w14:solidFill>
              <w14:schemeClr w14:val="tx1"/>
            </w14:solidFill>
          </w14:textFill>
        </w:rPr>
      </w:pPr>
      <w:r>
        <w:rPr>
          <w:rFonts w:hint="eastAsia" w:ascii="黑体" w:hAnsi="黑体" w:eastAsia="黑体" w:cs="宋体"/>
          <w:bCs/>
          <w:color w:val="000000" w:themeColor="text1"/>
          <w:kern w:val="0"/>
          <w:sz w:val="32"/>
          <w:szCs w:val="32"/>
          <w14:textFill>
            <w14:solidFill>
              <w14:schemeClr w14:val="tx1"/>
            </w14:solidFill>
          </w14:textFill>
        </w:rPr>
        <w:t>二、</w:t>
      </w:r>
      <w:r>
        <w:rPr>
          <w:rFonts w:hint="eastAsia" w:ascii="黑体" w:hAnsi="黑体" w:eastAsia="黑体" w:cs="宋体"/>
          <w:bCs/>
          <w:color w:val="000000" w:themeColor="text1"/>
          <w:kern w:val="0"/>
          <w:sz w:val="32"/>
          <w:szCs w:val="32"/>
          <w:lang w:eastAsia="zh-CN"/>
          <w14:textFill>
            <w14:solidFill>
              <w14:schemeClr w14:val="tx1"/>
            </w14:solidFill>
          </w14:textFill>
        </w:rPr>
        <w:t>建议</w:t>
      </w:r>
    </w:p>
    <w:p>
      <w:pPr>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微软雅黑" w:eastAsia="仿宋_GB2312" w:cs="宋体"/>
          <w:b w:val="0"/>
          <w:bCs w:val="0"/>
          <w:color w:val="000000" w:themeColor="text1"/>
          <w:kern w:val="0"/>
          <w:sz w:val="32"/>
          <w:szCs w:val="32"/>
          <w:lang w:eastAsia="zh-CN"/>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（一）</w:t>
      </w:r>
      <w:r>
        <w:rPr>
          <w:rFonts w:hint="eastAsia" w:ascii="楷体" w:hAnsi="楷体" w:eastAsia="楷体" w:cs="楷体"/>
          <w:b/>
          <w:bCs/>
          <w:color w:val="000000" w:themeColor="text1"/>
          <w:kern w:val="0"/>
          <w:sz w:val="32"/>
          <w:szCs w:val="32"/>
          <w:lang w:eastAsia="zh-CN"/>
          <w14:textFill>
            <w14:solidFill>
              <w14:schemeClr w14:val="tx1"/>
            </w14:solidFill>
          </w14:textFill>
        </w:rPr>
        <w:t>突出工业规模优势，拉动产业链稳步升级</w:t>
      </w:r>
      <w:r>
        <w:rPr>
          <w:rFonts w:hint="eastAsia" w:ascii="楷体" w:hAnsi="楷体" w:eastAsia="楷体" w:cs="楷体"/>
          <w:b/>
          <w:bCs/>
          <w:color w:val="000000" w:themeColor="text1"/>
          <w:kern w:val="0"/>
          <w:sz w:val="32"/>
          <w:szCs w:val="32"/>
          <w14:textFill>
            <w14:solidFill>
              <w14:schemeClr w14:val="tx1"/>
            </w14:solidFill>
          </w14:textFill>
        </w:rPr>
        <w:t>。</w:t>
      </w:r>
      <w:r>
        <w:rPr>
          <w:rFonts w:hint="eastAsia" w:ascii="仿宋_GB2312" w:hAnsi="微软雅黑" w:eastAsia="仿宋_GB2312" w:cs="宋体"/>
          <w:b/>
          <w:bCs/>
          <w:color w:val="000000" w:themeColor="text1"/>
          <w:kern w:val="0"/>
          <w:sz w:val="32"/>
          <w:szCs w:val="32"/>
          <w:lang w:eastAsia="zh-CN"/>
          <w14:textFill>
            <w14:solidFill>
              <w14:schemeClr w14:val="tx1"/>
            </w14:solidFill>
          </w14:textFill>
        </w:rPr>
        <w:t>一是</w:t>
      </w:r>
      <w:r>
        <w:rPr>
          <w:rFonts w:hint="eastAsia" w:ascii="仿宋_GB2312" w:hAnsi="微软雅黑" w:eastAsia="仿宋_GB2312" w:cs="宋体"/>
          <w:b w:val="0"/>
          <w:bCs w:val="0"/>
          <w:color w:val="000000" w:themeColor="text1"/>
          <w:kern w:val="0"/>
          <w:sz w:val="32"/>
          <w:szCs w:val="32"/>
          <w:lang w:eastAsia="zh-CN"/>
          <w14:textFill>
            <w14:solidFill>
              <w14:schemeClr w14:val="tx1"/>
            </w14:solidFill>
          </w14:textFill>
        </w:rPr>
        <w:t>支持本地龙头企业</w:t>
      </w:r>
      <w:r>
        <w:rPr>
          <w:rFonts w:hint="eastAsia" w:ascii="仿宋_GB2312" w:hAnsi="微软雅黑" w:eastAsia="仿宋_GB2312" w:cs="宋体"/>
          <w:b w:val="0"/>
          <w:bCs w:val="0"/>
          <w:color w:val="000000" w:themeColor="text1"/>
          <w:kern w:val="0"/>
          <w:sz w:val="32"/>
          <w:szCs w:val="32"/>
          <w14:textFill>
            <w14:solidFill>
              <w14:schemeClr w14:val="tx1"/>
            </w14:solidFill>
          </w14:textFill>
        </w:rPr>
        <w:t>做大做强</w:t>
      </w:r>
      <w:r>
        <w:rPr>
          <w:rFonts w:hint="eastAsia" w:ascii="仿宋_GB2312" w:hAnsi="微软雅黑" w:eastAsia="仿宋_GB2312" w:cs="宋体"/>
          <w:b w:val="0"/>
          <w:bCs w:val="0"/>
          <w:color w:val="000000" w:themeColor="text1"/>
          <w:kern w:val="0"/>
          <w:sz w:val="32"/>
          <w:szCs w:val="32"/>
          <w:lang w:eastAsia="zh-CN"/>
          <w14:textFill>
            <w14:solidFill>
              <w14:schemeClr w14:val="tx1"/>
            </w14:solidFill>
          </w14:textFill>
        </w:rPr>
        <w:t>，加强研发创新，竖立</w:t>
      </w:r>
      <w:r>
        <w:rPr>
          <w:rFonts w:hint="eastAsia" w:ascii="仿宋_GB2312" w:hAnsi="微软雅黑" w:eastAsia="仿宋_GB2312" w:cs="宋体"/>
          <w:b w:val="0"/>
          <w:bCs w:val="0"/>
          <w:color w:val="000000" w:themeColor="text1"/>
          <w:kern w:val="0"/>
          <w:sz w:val="32"/>
          <w:szCs w:val="32"/>
          <w14:textFill>
            <w14:solidFill>
              <w14:schemeClr w14:val="tx1"/>
            </w14:solidFill>
          </w14:textFill>
        </w:rPr>
        <w:t>行业标杆，全面提升核心竞争力，带动产业链上下游延伸，增强行业竞争力</w:t>
      </w:r>
      <w:r>
        <w:rPr>
          <w:rFonts w:hint="eastAsia" w:ascii="仿宋_GB2312" w:hAnsi="微软雅黑" w:eastAsia="仿宋_GB2312" w:cs="宋体"/>
          <w:b w:val="0"/>
          <w:bCs w:val="0"/>
          <w:color w:val="000000" w:themeColor="text1"/>
          <w:kern w:val="0"/>
          <w:sz w:val="32"/>
          <w:szCs w:val="32"/>
          <w:lang w:eastAsia="zh-CN"/>
          <w14:textFill>
            <w14:solidFill>
              <w14:schemeClr w14:val="tx1"/>
            </w14:solidFill>
          </w14:textFill>
        </w:rPr>
        <w:t>。</w:t>
      </w:r>
      <w:r>
        <w:rPr>
          <w:rFonts w:hint="eastAsia" w:ascii="仿宋_GB2312" w:hAnsi="微软雅黑" w:eastAsia="仿宋_GB2312" w:cs="宋体"/>
          <w:b/>
          <w:bCs/>
          <w:color w:val="000000" w:themeColor="text1"/>
          <w:kern w:val="0"/>
          <w:sz w:val="32"/>
          <w:szCs w:val="32"/>
          <w:lang w:eastAsia="zh-CN"/>
          <w14:textFill>
            <w14:solidFill>
              <w14:schemeClr w14:val="tx1"/>
            </w14:solidFill>
          </w14:textFill>
        </w:rPr>
        <w:t>二是</w:t>
      </w:r>
      <w:r>
        <w:rPr>
          <w:rFonts w:hint="eastAsia" w:ascii="仿宋_GB2312" w:hAnsi="微软雅黑" w:eastAsia="仿宋_GB2312" w:cs="宋体"/>
          <w:b w:val="0"/>
          <w:bCs w:val="0"/>
          <w:color w:val="000000" w:themeColor="text1"/>
          <w:kern w:val="0"/>
          <w:sz w:val="32"/>
          <w:szCs w:val="32"/>
          <w:lang w:eastAsia="zh-CN"/>
          <w14:textFill>
            <w14:solidFill>
              <w14:schemeClr w14:val="tx1"/>
            </w14:solidFill>
          </w14:textFill>
        </w:rPr>
        <w:t>支持企业</w:t>
      </w:r>
      <w:r>
        <w:rPr>
          <w:rFonts w:hint="eastAsia" w:ascii="仿宋_GB2312" w:hAnsi="微软雅黑" w:eastAsia="仿宋_GB2312" w:cs="宋体"/>
          <w:b w:val="0"/>
          <w:bCs w:val="0"/>
          <w:color w:val="000000" w:themeColor="text1"/>
          <w:kern w:val="0"/>
          <w:sz w:val="32"/>
          <w:szCs w:val="32"/>
          <w14:textFill>
            <w14:solidFill>
              <w14:schemeClr w14:val="tx1"/>
            </w14:solidFill>
          </w14:textFill>
        </w:rPr>
        <w:t>做细做精</w:t>
      </w:r>
      <w:r>
        <w:rPr>
          <w:rFonts w:hint="eastAsia" w:ascii="仿宋_GB2312" w:hAnsi="微软雅黑" w:eastAsia="仿宋_GB2312" w:cs="宋体"/>
          <w:b w:val="0"/>
          <w:bCs w:val="0"/>
          <w:color w:val="000000" w:themeColor="text1"/>
          <w:kern w:val="0"/>
          <w:sz w:val="32"/>
          <w:szCs w:val="32"/>
          <w:lang w:eastAsia="zh-CN"/>
          <w14:textFill>
            <w14:solidFill>
              <w14:schemeClr w14:val="tx1"/>
            </w14:solidFill>
          </w14:textFill>
        </w:rPr>
        <w:t>，引导本地产业链下游的配套企业、代工企业专注细分领域</w:t>
      </w:r>
      <w:r>
        <w:rPr>
          <w:rFonts w:hint="eastAsia" w:ascii="仿宋_GB2312" w:hAnsi="微软雅黑" w:eastAsia="仿宋_GB2312" w:cs="宋体"/>
          <w:b w:val="0"/>
          <w:bCs w:val="0"/>
          <w:color w:val="000000" w:themeColor="text1"/>
          <w:kern w:val="0"/>
          <w:sz w:val="32"/>
          <w:szCs w:val="32"/>
          <w14:textFill>
            <w14:solidFill>
              <w14:schemeClr w14:val="tx1"/>
            </w14:solidFill>
          </w14:textFill>
        </w:rPr>
        <w:t>，壮大“专精特新”企业队伍</w:t>
      </w:r>
      <w:r>
        <w:rPr>
          <w:rFonts w:hint="eastAsia" w:ascii="仿宋_GB2312" w:hAnsi="微软雅黑" w:eastAsia="仿宋_GB2312" w:cs="宋体"/>
          <w:b w:val="0"/>
          <w:bCs w:val="0"/>
          <w:color w:val="000000" w:themeColor="text1"/>
          <w:kern w:val="0"/>
          <w:sz w:val="32"/>
          <w:szCs w:val="32"/>
          <w:lang w:eastAsia="zh-CN"/>
          <w14:textFill>
            <w14:solidFill>
              <w14:schemeClr w14:val="tx1"/>
            </w14:solidFill>
          </w14:textFill>
        </w:rPr>
        <w:t>。</w:t>
      </w:r>
      <w:r>
        <w:rPr>
          <w:rFonts w:hint="eastAsia" w:ascii="仿宋_GB2312" w:hAnsi="微软雅黑" w:eastAsia="仿宋_GB2312" w:cs="宋体"/>
          <w:b/>
          <w:bCs/>
          <w:color w:val="000000" w:themeColor="text1"/>
          <w:kern w:val="0"/>
          <w:sz w:val="32"/>
          <w:szCs w:val="32"/>
          <w:lang w:eastAsia="zh-CN"/>
          <w14:textFill>
            <w14:solidFill>
              <w14:schemeClr w14:val="tx1"/>
            </w14:solidFill>
          </w14:textFill>
        </w:rPr>
        <w:t>三是</w:t>
      </w:r>
      <w:r>
        <w:rPr>
          <w:rFonts w:hint="eastAsia" w:ascii="仿宋_GB2312" w:hAnsi="微软雅黑" w:eastAsia="仿宋_GB2312" w:cs="宋体"/>
          <w:b w:val="0"/>
          <w:bCs w:val="0"/>
          <w:color w:val="000000" w:themeColor="text1"/>
          <w:kern w:val="0"/>
          <w:sz w:val="32"/>
          <w:szCs w:val="32"/>
          <w:lang w:eastAsia="zh-CN"/>
          <w14:textFill>
            <w14:solidFill>
              <w14:schemeClr w14:val="tx1"/>
            </w14:solidFill>
          </w14:textFill>
        </w:rPr>
        <w:t>持续做好纾困解难</w:t>
      </w:r>
      <w:r>
        <w:rPr>
          <w:rFonts w:hint="eastAsia" w:ascii="仿宋_GB2312" w:hAnsi="微软雅黑" w:eastAsia="仿宋_GB2312" w:cs="宋体"/>
          <w:b w:val="0"/>
          <w:bCs w:val="0"/>
          <w:color w:val="000000" w:themeColor="text1"/>
          <w:kern w:val="0"/>
          <w:sz w:val="32"/>
          <w:szCs w:val="32"/>
          <w14:textFill>
            <w14:solidFill>
              <w14:schemeClr w14:val="tx1"/>
            </w14:solidFill>
          </w14:textFill>
        </w:rPr>
        <w:t>，</w:t>
      </w:r>
      <w:r>
        <w:rPr>
          <w:rFonts w:hint="eastAsia" w:ascii="仿宋_GB2312" w:hAnsi="微软雅黑" w:eastAsia="仿宋_GB2312" w:cs="宋体"/>
          <w:b w:val="0"/>
          <w:bCs w:val="0"/>
          <w:color w:val="000000" w:themeColor="text1"/>
          <w:kern w:val="0"/>
          <w:sz w:val="32"/>
          <w:szCs w:val="32"/>
          <w:lang w:eastAsia="zh-CN"/>
          <w14:textFill>
            <w14:solidFill>
              <w14:schemeClr w14:val="tx1"/>
            </w14:solidFill>
          </w14:textFill>
        </w:rPr>
        <w:t>稳定市场预期，提振市场信心，激发市场活力，</w:t>
      </w:r>
      <w:r>
        <w:rPr>
          <w:rFonts w:hint="eastAsia" w:ascii="仿宋_GB2312" w:hAnsi="微软雅黑" w:eastAsia="仿宋_GB2312" w:cs="宋体"/>
          <w:b w:val="0"/>
          <w:bCs w:val="0"/>
          <w:color w:val="000000" w:themeColor="text1"/>
          <w:kern w:val="0"/>
          <w:sz w:val="32"/>
          <w:szCs w:val="32"/>
          <w14:textFill>
            <w14:solidFill>
              <w14:schemeClr w14:val="tx1"/>
            </w14:solidFill>
          </w14:textFill>
        </w:rPr>
        <w:t>推动</w:t>
      </w:r>
      <w:r>
        <w:rPr>
          <w:rFonts w:hint="eastAsia" w:ascii="仿宋_GB2312" w:hAnsi="微软雅黑" w:eastAsia="仿宋_GB2312" w:cs="宋体"/>
          <w:b w:val="0"/>
          <w:bCs w:val="0"/>
          <w:color w:val="000000" w:themeColor="text1"/>
          <w:kern w:val="0"/>
          <w:sz w:val="32"/>
          <w:szCs w:val="32"/>
          <w:lang w:eastAsia="zh-CN"/>
          <w14:textFill>
            <w14:solidFill>
              <w14:schemeClr w14:val="tx1"/>
            </w14:solidFill>
          </w14:textFill>
        </w:rPr>
        <w:t>减税降费等一系列惠企</w:t>
      </w:r>
      <w:r>
        <w:rPr>
          <w:rFonts w:hint="eastAsia" w:ascii="仿宋_GB2312" w:hAnsi="微软雅黑" w:eastAsia="仿宋_GB2312" w:cs="宋体"/>
          <w:b w:val="0"/>
          <w:bCs w:val="0"/>
          <w:color w:val="000000" w:themeColor="text1"/>
          <w:kern w:val="0"/>
          <w:sz w:val="32"/>
          <w:szCs w:val="32"/>
          <w14:textFill>
            <w14:solidFill>
              <w14:schemeClr w14:val="tx1"/>
            </w14:solidFill>
          </w14:textFill>
        </w:rPr>
        <w:t>政策落地见效</w:t>
      </w:r>
      <w:r>
        <w:rPr>
          <w:rFonts w:hint="eastAsia" w:ascii="仿宋_GB2312" w:hAnsi="微软雅黑" w:eastAsia="仿宋_GB2312" w:cs="宋体"/>
          <w:b w:val="0"/>
          <w:bCs w:val="0"/>
          <w:color w:val="000000" w:themeColor="text1"/>
          <w:kern w:val="0"/>
          <w:sz w:val="32"/>
          <w:szCs w:val="32"/>
          <w:lang w:eastAsia="zh-CN"/>
          <w14:textFill>
            <w14:solidFill>
              <w14:schemeClr w14:val="tx1"/>
            </w14:solidFill>
          </w14:textFill>
        </w:rPr>
        <w:t>，为中小微企业护航。</w:t>
      </w:r>
    </w:p>
    <w:p>
      <w:pPr>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微软雅黑" w:eastAsia="仿宋_GB2312" w:cs="宋体"/>
          <w:b w:val="0"/>
          <w:bCs w:val="0"/>
          <w:color w:val="000000" w:themeColor="text1"/>
          <w:kern w:val="0"/>
          <w:sz w:val="32"/>
          <w:szCs w:val="32"/>
          <w:lang w:eastAsia="zh-CN"/>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（二）</w:t>
      </w:r>
      <w:r>
        <w:rPr>
          <w:rFonts w:hint="eastAsia" w:ascii="楷体" w:hAnsi="楷体" w:eastAsia="楷体" w:cs="楷体"/>
          <w:b/>
          <w:bCs/>
          <w:color w:val="000000" w:themeColor="text1"/>
          <w:kern w:val="0"/>
          <w:sz w:val="32"/>
          <w:szCs w:val="32"/>
          <w:lang w:eastAsia="zh-CN"/>
          <w14:textFill>
            <w14:solidFill>
              <w14:schemeClr w14:val="tx1"/>
            </w14:solidFill>
          </w14:textFill>
        </w:rPr>
        <w:t>补齐第三产业短板，促进供应链生态进化</w:t>
      </w:r>
      <w:r>
        <w:rPr>
          <w:rFonts w:hint="eastAsia" w:ascii="楷体" w:hAnsi="楷体" w:eastAsia="楷体" w:cs="楷体"/>
          <w:b/>
          <w:bCs/>
          <w:color w:val="000000" w:themeColor="text1"/>
          <w:kern w:val="0"/>
          <w:sz w:val="32"/>
          <w:szCs w:val="32"/>
          <w14:textFill>
            <w14:solidFill>
              <w14:schemeClr w14:val="tx1"/>
            </w14:solidFill>
          </w14:textFill>
        </w:rPr>
        <w:t>。</w:t>
      </w:r>
      <w:r>
        <w:rPr>
          <w:rFonts w:hint="eastAsia" w:ascii="仿宋_GB2312" w:hAnsi="微软雅黑" w:eastAsia="仿宋_GB2312" w:cs="宋体"/>
          <w:b/>
          <w:bCs/>
          <w:color w:val="000000" w:themeColor="text1"/>
          <w:kern w:val="0"/>
          <w:sz w:val="32"/>
          <w:szCs w:val="32"/>
          <w:lang w:eastAsia="zh-CN"/>
          <w14:textFill>
            <w14:solidFill>
              <w14:schemeClr w14:val="tx1"/>
            </w14:solidFill>
          </w14:textFill>
        </w:rPr>
        <w:t>一是</w:t>
      </w:r>
      <w:r>
        <w:rPr>
          <w:rFonts w:hint="eastAsia" w:ascii="仿宋_GB2312" w:hAnsi="微软雅黑" w:eastAsia="仿宋_GB2312" w:cs="宋体"/>
          <w:b w:val="0"/>
          <w:bCs w:val="0"/>
          <w:color w:val="000000" w:themeColor="text1"/>
          <w:kern w:val="0"/>
          <w:sz w:val="32"/>
          <w:szCs w:val="32"/>
          <w:lang w:eastAsia="zh-CN"/>
          <w14:textFill>
            <w14:solidFill>
              <w14:schemeClr w14:val="tx1"/>
            </w14:solidFill>
          </w14:textFill>
        </w:rPr>
        <w:t>引导本地企业积极参与，支持举办各类文旅消费促进活动，鼓励创新文旅消费促销模式和营销手段，同时政府加大宣传力度、创新宣传方法、拓宽宣传对象，积极引流支撑本地社消，促进消费扩容提质。</w:t>
      </w:r>
      <w:r>
        <w:rPr>
          <w:rFonts w:hint="eastAsia" w:ascii="仿宋_GB2312" w:hAnsi="微软雅黑" w:eastAsia="仿宋_GB2312" w:cs="宋体"/>
          <w:b/>
          <w:bCs/>
          <w:color w:val="000000" w:themeColor="text1"/>
          <w:kern w:val="0"/>
          <w:sz w:val="32"/>
          <w:szCs w:val="32"/>
          <w:lang w:eastAsia="zh-CN"/>
          <w14:textFill>
            <w14:solidFill>
              <w14:schemeClr w14:val="tx1"/>
            </w14:solidFill>
          </w14:textFill>
        </w:rPr>
        <w:t>二是</w:t>
      </w:r>
      <w:r>
        <w:rPr>
          <w:rFonts w:hint="eastAsia" w:ascii="仿宋_GB2312" w:hAnsi="微软雅黑" w:eastAsia="仿宋_GB2312" w:cs="宋体"/>
          <w:b w:val="0"/>
          <w:bCs w:val="0"/>
          <w:color w:val="000000" w:themeColor="text1"/>
          <w:kern w:val="0"/>
          <w:sz w:val="32"/>
          <w:szCs w:val="32"/>
          <w:lang w:eastAsia="zh-CN"/>
          <w14:textFill>
            <w14:solidFill>
              <w14:schemeClr w14:val="tx1"/>
            </w14:solidFill>
          </w14:textFill>
        </w:rPr>
        <w:t>聚焦深度融合，依托工业规模优势，背靠厦漳泉都市圈规划，紧扣新兴服务业、生产性服务业发展目标，借势借力加快集聚高端服务业资源要素，加快高技术服务业与先进制造业深度融合，促进数字经济和实体经济深度融合，加快传统服务业向现代服务业转型，持续推动信息传输、软件和信息技术服务业，科学研究和技术服务业在规模、质量、发展效益上的快速提升，加快建设新兴服务业创新集群，形成具有一定产业量级和能级的优势产业集群。</w:t>
      </w:r>
      <w:r>
        <w:rPr>
          <w:rFonts w:hint="eastAsia" w:ascii="仿宋_GB2312" w:hAnsi="微软雅黑" w:eastAsia="仿宋_GB2312" w:cs="宋体"/>
          <w:b/>
          <w:bCs/>
          <w:color w:val="000000" w:themeColor="text1"/>
          <w:kern w:val="0"/>
          <w:sz w:val="32"/>
          <w:szCs w:val="32"/>
          <w:lang w:eastAsia="zh-CN"/>
          <w14:textFill>
            <w14:solidFill>
              <w14:schemeClr w14:val="tx1"/>
            </w14:solidFill>
          </w14:textFill>
        </w:rPr>
        <w:t>三是</w:t>
      </w:r>
      <w:r>
        <w:rPr>
          <w:rFonts w:hint="eastAsia" w:ascii="仿宋_GB2312" w:hAnsi="微软雅黑" w:eastAsia="仿宋_GB2312" w:cs="宋体"/>
          <w:b w:val="0"/>
          <w:bCs w:val="0"/>
          <w:color w:val="000000" w:themeColor="text1"/>
          <w:kern w:val="0"/>
          <w:sz w:val="32"/>
          <w:szCs w:val="32"/>
          <w:lang w:eastAsia="zh-CN"/>
          <w14:textFill>
            <w14:solidFill>
              <w14:schemeClr w14:val="tx1"/>
            </w14:solidFill>
          </w14:textFill>
        </w:rPr>
        <w:t xml:space="preserve">密切关注重点企业变化情况及趋势，及时梳理阻碍服务业产业链供应链运行的困难与问题，研究出台更有针对性的举措，同时深入对各重点企业开展调研走访工作，主动跟踪企业需求，全力以赴助企纾困、培优壮大，积极引导重点企业扩展市场，从要素保障、改革赋能、公平公正等方面持续优化服务水平，促进服务业经济运行走稳走强，打造更具竞争力的服务业开放高地。  </w:t>
      </w:r>
    </w:p>
    <w:p>
      <w:pPr>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微软雅黑" w:eastAsia="仿宋_GB2312" w:cs="宋体"/>
          <w:b w:val="0"/>
          <w:bCs w:val="0"/>
          <w:color w:val="000000" w:themeColor="text1"/>
          <w:kern w:val="0"/>
          <w:sz w:val="32"/>
          <w:szCs w:val="32"/>
          <w:lang w:eastAsia="zh-CN"/>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（三）</w:t>
      </w:r>
      <w:r>
        <w:rPr>
          <w:rFonts w:hint="eastAsia" w:ascii="楷体" w:hAnsi="楷体" w:eastAsia="楷体" w:cs="楷体"/>
          <w:b/>
          <w:bCs/>
          <w:color w:val="000000" w:themeColor="text1"/>
          <w:kern w:val="0"/>
          <w:sz w:val="32"/>
          <w:szCs w:val="32"/>
          <w:lang w:eastAsia="zh-CN"/>
          <w14:textFill>
            <w14:solidFill>
              <w14:schemeClr w14:val="tx1"/>
            </w14:solidFill>
          </w14:textFill>
        </w:rPr>
        <w:t>汰换低端无效供给，引导价值链重组升华。</w:t>
      </w:r>
      <w:r>
        <w:rPr>
          <w:rFonts w:hint="eastAsia" w:ascii="仿宋_GB2312" w:hAnsi="微软雅黑" w:eastAsia="仿宋_GB2312" w:cs="宋体"/>
          <w:b/>
          <w:bCs/>
          <w:color w:val="000000" w:themeColor="text1"/>
          <w:kern w:val="0"/>
          <w:sz w:val="32"/>
          <w:szCs w:val="32"/>
          <w:lang w:eastAsia="zh-CN"/>
          <w14:textFill>
            <w14:solidFill>
              <w14:schemeClr w14:val="tx1"/>
            </w14:solidFill>
          </w14:textFill>
        </w:rPr>
        <w:t>一是</w:t>
      </w:r>
      <w:r>
        <w:rPr>
          <w:rFonts w:hint="eastAsia" w:ascii="仿宋_GB2312" w:hAnsi="微软雅黑" w:eastAsia="仿宋_GB2312" w:cs="宋体"/>
          <w:b w:val="0"/>
          <w:bCs w:val="0"/>
          <w:color w:val="000000" w:themeColor="text1"/>
          <w:kern w:val="0"/>
          <w:sz w:val="32"/>
          <w:szCs w:val="32"/>
          <w:lang w:eastAsia="zh-CN"/>
          <w14:textFill>
            <w14:solidFill>
              <w14:schemeClr w14:val="tx1"/>
            </w14:solidFill>
          </w14:textFill>
        </w:rPr>
        <w:t>积极进行市场调查，及时主动公开市场信息，让市场更加透明化，同时维护市场秩序，保证市场的公平公正，为企业创造良好的营商环境。</w:t>
      </w:r>
      <w:r>
        <w:rPr>
          <w:rFonts w:hint="eastAsia" w:ascii="仿宋_GB2312" w:hAnsi="微软雅黑" w:eastAsia="仿宋_GB2312" w:cs="宋体"/>
          <w:b/>
          <w:bCs/>
          <w:color w:val="000000" w:themeColor="text1"/>
          <w:kern w:val="0"/>
          <w:sz w:val="32"/>
          <w:szCs w:val="32"/>
          <w:lang w:eastAsia="zh-CN"/>
          <w14:textFill>
            <w14:solidFill>
              <w14:schemeClr w14:val="tx1"/>
            </w14:solidFill>
          </w14:textFill>
        </w:rPr>
        <w:t>二是</w:t>
      </w:r>
      <w:r>
        <w:rPr>
          <w:rFonts w:hint="eastAsia" w:ascii="仿宋_GB2312" w:hAnsi="微软雅黑" w:eastAsia="仿宋_GB2312" w:cs="宋体"/>
          <w:b w:val="0"/>
          <w:bCs w:val="0"/>
          <w:color w:val="000000" w:themeColor="text1"/>
          <w:kern w:val="0"/>
          <w:sz w:val="32"/>
          <w:szCs w:val="32"/>
          <w:lang w:eastAsia="zh-CN"/>
          <w14:textFill>
            <w14:solidFill>
              <w14:schemeClr w14:val="tx1"/>
            </w14:solidFill>
          </w14:textFill>
        </w:rPr>
        <w:t>积极践行新发展理念，持续推进供给侧结构性改革，加速新旧动能转化，帮助企业积极转型，逐步淘汰低端落后的产品和服务，将资源倾斜向高质量产品和服务。</w:t>
      </w:r>
      <w:r>
        <w:rPr>
          <w:rFonts w:hint="eastAsia" w:ascii="仿宋_GB2312" w:hAnsi="微软雅黑" w:eastAsia="仿宋_GB2312" w:cs="宋体"/>
          <w:b/>
          <w:bCs/>
          <w:color w:val="000000" w:themeColor="text1"/>
          <w:kern w:val="0"/>
          <w:sz w:val="32"/>
          <w:szCs w:val="32"/>
          <w:lang w:eastAsia="zh-CN"/>
          <w14:textFill>
            <w14:solidFill>
              <w14:schemeClr w14:val="tx1"/>
            </w14:solidFill>
          </w14:textFill>
        </w:rPr>
        <w:t>三是</w:t>
      </w:r>
      <w:r>
        <w:rPr>
          <w:rFonts w:hint="eastAsia" w:ascii="仿宋_GB2312" w:hAnsi="微软雅黑" w:eastAsia="仿宋_GB2312" w:cs="宋体"/>
          <w:b w:val="0"/>
          <w:bCs w:val="0"/>
          <w:color w:val="000000" w:themeColor="text1"/>
          <w:kern w:val="0"/>
          <w:sz w:val="32"/>
          <w:szCs w:val="32"/>
          <w:lang w:eastAsia="zh-CN"/>
          <w14:textFill>
            <w14:solidFill>
              <w14:schemeClr w14:val="tx1"/>
            </w14:solidFill>
          </w14:textFill>
        </w:rPr>
        <w:t>积极引导新兴企业更换赛道，填充行业空缺，生产、提供市场所欠缺的消费者所需要的产品和服务，避免过度竞争的同时丰富市场供给以满足市场需求。</w:t>
      </w:r>
    </w:p>
    <w:p>
      <w:pPr>
        <w:pStyle w:val="2"/>
        <w:rPr>
          <w:rFonts w:hint="eastAsia"/>
          <w:lang w:eastAsia="zh-CN"/>
        </w:rPr>
      </w:pPr>
    </w:p>
    <w:p>
      <w:pPr>
        <w:rPr>
          <w:rFonts w:hint="eastAsia" w:ascii="黑体" w:hAnsi="黑体" w:eastAsia="黑体" w:cs="黑体"/>
          <w:bCs/>
          <w:kern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40" w:firstLineChars="200"/>
        <w:jc w:val="right"/>
        <w:textAlignment w:val="auto"/>
        <w:outlineLvl w:val="9"/>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（南安市统计局　蔡荣江）</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lang w:eastAsia="zh-CN"/>
        </w:rPr>
      </w:pPr>
      <w:r>
        <w:rPr>
          <w:rFonts w:hint="eastAsia" w:eastAsia="仿宋_GB2312"/>
          <w:lang w:eastAsia="zh-CN"/>
        </w:rPr>
        <w:drawing>
          <wp:inline distT="0" distB="0" distL="114300" distR="114300">
            <wp:extent cx="901700" cy="892175"/>
            <wp:effectExtent l="0" t="0" r="12700" b="6985"/>
            <wp:docPr id="1" name="图片 1" descr="qrcode_for_gh_1eebab0522fd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code_for_gh_1eebab0522fd_258"/>
                    <pic:cNvPicPr>
                      <a:picLocks noChangeAspect="1"/>
                    </pic:cNvPicPr>
                  </pic:nvPicPr>
                  <pic:blipFill>
                    <a:blip r:embed="rId6"/>
                    <a:stretch>
                      <a:fillRect/>
                    </a:stretch>
                  </pic:blipFill>
                  <pic:spPr>
                    <a:xfrm>
                      <a:off x="0" y="0"/>
                      <a:ext cx="901700" cy="89217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宋体" w:eastAsia="仿宋_GB2312" w:cs="宋体"/>
          <w:color w:val="auto"/>
          <w:kern w:val="0"/>
          <w:sz w:val="32"/>
          <w:szCs w:val="32"/>
          <w:highlight w:val="none"/>
          <w:lang w:val="en-US" w:eastAsia="zh-CN"/>
        </w:rPr>
      </w:pPr>
      <w:r>
        <w:rPr>
          <w:rFonts w:hint="eastAsia" w:ascii="仿宋_GB2312" w:hAnsi="仿宋_GB2312" w:eastAsia="仿宋_GB2312" w:cs="仿宋_GB2312"/>
          <w:sz w:val="24"/>
          <w:szCs w:val="24"/>
          <w:lang w:val="en-US" w:eastAsia="zh-CN"/>
        </w:rPr>
        <w:t>扫码关注南安市统计局</w:t>
      </w:r>
    </w:p>
    <w:p>
      <w:pPr>
        <w:rPr>
          <w:rFonts w:hint="eastAsia" w:ascii="仿宋_GB2312" w:eastAsia="仿宋_GB2312"/>
          <w:sz w:val="32"/>
          <w:szCs w:val="32"/>
        </w:rPr>
      </w:pPr>
    </w:p>
    <w:sectPr>
      <w:footerReference r:id="rId3" w:type="default"/>
      <w:pgSz w:w="11850" w:h="16783"/>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方正卡通繁体">
    <w:panose1 w:val="03000509000000000000"/>
    <w:charset w:val="86"/>
    <w:family w:val="auto"/>
    <w:pitch w:val="default"/>
    <w:sig w:usb0="00000001" w:usb1="080E0000" w:usb2="00000000" w:usb3="00000000" w:csb0="00040000" w:csb1="00000000"/>
  </w:font>
  <w:font w:name="方正古隶简体">
    <w:panose1 w:val="03000509000000000000"/>
    <w:charset w:val="86"/>
    <w:family w:val="auto"/>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方正启体繁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姚体简体">
    <w:panose1 w:val="03000509000000000000"/>
    <w:charset w:val="86"/>
    <w:family w:val="auto"/>
    <w:pitch w:val="default"/>
    <w:sig w:usb0="00000001" w:usb1="080E0000" w:usb2="00000000" w:usb3="00000000" w:csb0="00040000" w:csb1="00000000"/>
  </w:font>
  <w:font w:name="方正宋一简体">
    <w:panose1 w:val="03000509000000000000"/>
    <w:charset w:val="86"/>
    <w:family w:val="auto"/>
    <w:pitch w:val="default"/>
    <w:sig w:usb0="00000001" w:usb1="080E0000" w:usb2="00000000" w:usb3="00000000" w:csb0="00040000" w:csb1="00000000"/>
  </w:font>
  <w:font w:name="方正宋一繁体">
    <w:panose1 w:val="03000509000000000000"/>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方正小标宋繁体">
    <w:panose1 w:val="02010601030101010101"/>
    <w:charset w:val="86"/>
    <w:family w:val="auto"/>
    <w:pitch w:val="default"/>
    <w:sig w:usb0="00000001" w:usb1="080E0000" w:usb2="00000000" w:usb3="00000000" w:csb0="00040000" w:csb1="00000000"/>
  </w:font>
  <w:font w:name="方正小篆体">
    <w:panose1 w:val="03000509000000000000"/>
    <w:charset w:val="86"/>
    <w:family w:val="auto"/>
    <w:pitch w:val="default"/>
    <w:sig w:usb0="00000001" w:usb1="080E0000" w:usb2="00000000" w:usb3="00000000" w:csb0="00040000" w:csb1="00000000"/>
  </w:font>
  <w:font w:name="方正少儿简体">
    <w:panose1 w:val="03000509000000000000"/>
    <w:charset w:val="86"/>
    <w:family w:val="auto"/>
    <w:pitch w:val="default"/>
    <w:sig w:usb0="00000001" w:usb1="080E0000" w:usb2="00000000" w:usb3="00000000" w:csb0="00040000" w:csb1="00000000"/>
  </w:font>
  <w:font w:name="方正平和简体">
    <w:panose1 w:val="03000509000000000000"/>
    <w:charset w:val="86"/>
    <w:family w:val="auto"/>
    <w:pitch w:val="default"/>
    <w:sig w:usb0="00000001" w:usb1="080E0000" w:usb2="00000000" w:usb3="00000000" w:csb0="00040000" w:csb1="00000000"/>
  </w:font>
  <w:font w:name="方正平和繁体">
    <w:panose1 w:val="03000509000000000000"/>
    <w:charset w:val="86"/>
    <w:family w:val="auto"/>
    <w:pitch w:val="default"/>
    <w:sig w:usb0="00000001" w:usb1="080E0000" w:usb2="00000000" w:usb3="00000000" w:csb0="00040000" w:csb1="00000000"/>
  </w:font>
  <w:font w:name="方正平黑繁体">
    <w:panose1 w:val="02010601030101010101"/>
    <w:charset w:val="86"/>
    <w:family w:val="auto"/>
    <w:pitch w:val="default"/>
    <w:sig w:usb0="00000001" w:usb1="080E0000" w:usb2="00000000" w:usb3="00000000" w:csb0="00040000" w:csb1="00000000"/>
  </w:font>
  <w:font w:name="方正幼线简体">
    <w:panose1 w:val="03000509000000000000"/>
    <w:charset w:val="86"/>
    <w:family w:val="auto"/>
    <w:pitch w:val="default"/>
    <w:sig w:usb0="00000001" w:usb1="080E0000" w:usb2="00000000" w:usb3="00000000" w:csb0="00040000" w:csb1="00000000"/>
  </w:font>
  <w:font w:name="方正康体简体">
    <w:panose1 w:val="02010601030101010101"/>
    <w:charset w:val="86"/>
    <w:family w:val="auto"/>
    <w:pitch w:val="default"/>
    <w:sig w:usb0="00000001" w:usb1="080E0000" w:usb2="00000000" w:usb3="00000000" w:csb0="00040000" w:csb1="00000000"/>
  </w:font>
  <w:font w:name="方正康体繁体">
    <w:panose1 w:val="02010601030101010101"/>
    <w:charset w:val="86"/>
    <w:family w:val="auto"/>
    <w:pitch w:val="default"/>
    <w:sig w:usb0="00000001" w:usb1="080E0000" w:usb2="00000000" w:usb3="00000000" w:csb0="00040000" w:csb1="00000000"/>
  </w:font>
  <w:font w:name="方正彩云简体">
    <w:panose1 w:val="03000509000000000000"/>
    <w:charset w:val="86"/>
    <w:family w:val="auto"/>
    <w:pitch w:val="default"/>
    <w:sig w:usb0="00000001" w:usb1="080E0000" w:usb2="00000000" w:usb3="00000000" w:csb0="00040000" w:csb1="00000000"/>
  </w:font>
  <w:font w:name="方正彩云繁体">
    <w:panose1 w:val="03000509000000000000"/>
    <w:charset w:val="86"/>
    <w:family w:val="auto"/>
    <w:pitch w:val="default"/>
    <w:sig w:usb0="00000001" w:usb1="080E0000" w:usb2="00000000" w:usb3="00000000" w:csb0="00040000" w:csb1="00000000"/>
  </w:font>
  <w:font w:name="方正报宋简体">
    <w:panose1 w:val="02010601030101010101"/>
    <w:charset w:val="86"/>
    <w:family w:val="auto"/>
    <w:pitch w:val="default"/>
    <w:sig w:usb0="00000001" w:usb1="080E0000" w:usb2="00000000" w:usb3="00000000" w:csb0="00040000" w:csb1="00000000"/>
  </w:font>
  <w:font w:name="方正报宋繁体">
    <w:panose1 w:val="02010601030101010101"/>
    <w:charset w:val="86"/>
    <w:family w:val="auto"/>
    <w:pitch w:val="default"/>
    <w:sig w:usb0="00000001" w:usb1="080E0000" w:usb2="00000000" w:usb3="00000000" w:csb0="00040000" w:csb1="00000000"/>
  </w:font>
  <w:font w:name="方正新书宋繁体">
    <w:panose1 w:val="02010601030101010101"/>
    <w:charset w:val="86"/>
    <w:family w:val="auto"/>
    <w:pitch w:val="default"/>
    <w:sig w:usb0="00000001" w:usb1="080E0000" w:usb2="00000000" w:usb3="00000000" w:csb0="00040000" w:csb1="00000000"/>
  </w:font>
  <w:font w:name="方正新报宋简体">
    <w:panose1 w:val="02010601030101010101"/>
    <w:charset w:val="86"/>
    <w:family w:val="auto"/>
    <w:pitch w:val="default"/>
    <w:sig w:usb0="00000001" w:usb1="080E0000" w:usb2="00000000" w:usb3="00000000" w:csb0="00040000" w:csb1="00000000"/>
  </w:font>
  <w:font w:name="方正新秀丽繁体">
    <w:panose1 w:val="02010601030101010101"/>
    <w:charset w:val="86"/>
    <w:family w:val="auto"/>
    <w:pitch w:val="default"/>
    <w:sig w:usb0="00000001" w:usb1="080E0000" w:usb2="00000000" w:usb3="00000000" w:csb0="00040000" w:csb1="00000000"/>
  </w:font>
  <w:font w:name="方正新舒体简体">
    <w:panose1 w:val="02010601030101010101"/>
    <w:charset w:val="86"/>
    <w:family w:val="auto"/>
    <w:pitch w:val="default"/>
    <w:sig w:usb0="00000001" w:usb1="080E0000" w:usb2="00000000" w:usb3="00000000" w:csb0="00040000" w:csb1="00000000"/>
  </w:font>
  <w:font w:name="方正新舒体繁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楷体繁体">
    <w:panose1 w:val="02010601030101010101"/>
    <w:charset w:val="86"/>
    <w:family w:val="auto"/>
    <w:pitch w:val="default"/>
    <w:sig w:usb0="00000001" w:usb1="080E0000" w:usb2="00000000" w:usb3="00000000" w:csb0="00040000" w:csb1="00000000"/>
  </w:font>
  <w:font w:name="方正毡笔黑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-106680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en-US" w:eastAsia="zh-CN"/>
                            </w:rPr>
                            <w:t>- 10 -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8.4pt;height:144pt;width:144pt;mso-position-horizontal:outside;mso-position-horizontal-relative:margin;mso-wrap-style:none;z-index:251665408;mso-width-relative:page;mso-height-relative:page;" filled="f" stroked="f" coordsize="21600,21600" o:gfxdata="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rQhUjUAAAACAEAAA8AAAAAAAAAAQAgAAAAIgAAAGRycy9kb3ducmV2LnhtbFBLAQIUABQAAAAI&#10;AIdO4kBo7VDbuAEAAFQDAAAOAAAAAAAAAAEAIAAAACMBAABkcnMvZTJvRG9jLnhtbFBLBQYAAAAA&#10;BgAGAFkBAABNBQAAAAA=&#10;">
              <v:fill on="f" focussize="0,0"/>
              <v:stroke on="f"/>
              <v:imagedata o:title=""/>
              <o:lock v:ext="edit"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en-US" w:eastAsia="zh-CN"/>
                      </w:rPr>
                      <w:t>- 10 -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2ZmY1MDFiZTE4Mzc1YzZiODQzMDI4NDc3OWY0MmQifQ=="/>
  </w:docVars>
  <w:rsids>
    <w:rsidRoot w:val="008A6FF7"/>
    <w:rsid w:val="00450A15"/>
    <w:rsid w:val="008912FE"/>
    <w:rsid w:val="008A6FF7"/>
    <w:rsid w:val="00B731BF"/>
    <w:rsid w:val="04427FA0"/>
    <w:rsid w:val="06A7070F"/>
    <w:rsid w:val="0AA305F4"/>
    <w:rsid w:val="0B7160EA"/>
    <w:rsid w:val="0CAD7D47"/>
    <w:rsid w:val="0D5B139E"/>
    <w:rsid w:val="0D9F6D47"/>
    <w:rsid w:val="0DD43355"/>
    <w:rsid w:val="12B15950"/>
    <w:rsid w:val="1B676C1A"/>
    <w:rsid w:val="1C3C32C8"/>
    <w:rsid w:val="1EEB06DA"/>
    <w:rsid w:val="203E6AC4"/>
    <w:rsid w:val="20930E15"/>
    <w:rsid w:val="20FC4FC2"/>
    <w:rsid w:val="222E6638"/>
    <w:rsid w:val="23C10FCD"/>
    <w:rsid w:val="24281C76"/>
    <w:rsid w:val="2A1B6C6A"/>
    <w:rsid w:val="2BAD5954"/>
    <w:rsid w:val="2BC5542D"/>
    <w:rsid w:val="2D4D6001"/>
    <w:rsid w:val="2DE010E1"/>
    <w:rsid w:val="2F8E108D"/>
    <w:rsid w:val="2FC66385"/>
    <w:rsid w:val="31643F54"/>
    <w:rsid w:val="32F676E8"/>
    <w:rsid w:val="382624D8"/>
    <w:rsid w:val="3F2D5BC0"/>
    <w:rsid w:val="401143C1"/>
    <w:rsid w:val="40276DB3"/>
    <w:rsid w:val="41111224"/>
    <w:rsid w:val="460F6915"/>
    <w:rsid w:val="471922E3"/>
    <w:rsid w:val="4C5F7109"/>
    <w:rsid w:val="4DA24782"/>
    <w:rsid w:val="4F9B33A9"/>
    <w:rsid w:val="51837F37"/>
    <w:rsid w:val="53326050"/>
    <w:rsid w:val="58B45407"/>
    <w:rsid w:val="58BB0DFC"/>
    <w:rsid w:val="5C71010A"/>
    <w:rsid w:val="60C963EF"/>
    <w:rsid w:val="65902E44"/>
    <w:rsid w:val="674278F4"/>
    <w:rsid w:val="68C61285"/>
    <w:rsid w:val="6A160500"/>
    <w:rsid w:val="6AF6442D"/>
    <w:rsid w:val="6B856DF4"/>
    <w:rsid w:val="6CC37994"/>
    <w:rsid w:val="6CE140AF"/>
    <w:rsid w:val="6E2C3E1D"/>
    <w:rsid w:val="73F6747D"/>
    <w:rsid w:val="748B524D"/>
    <w:rsid w:val="772A243F"/>
    <w:rsid w:val="7B7F1A41"/>
    <w:rsid w:val="7CB130B8"/>
    <w:rsid w:val="7D92629D"/>
    <w:rsid w:val="7E4A7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99"/>
    <w:pPr>
      <w:widowControl w:val="0"/>
      <w:ind w:firstLine="420" w:firstLineChars="200"/>
    </w:pPr>
    <w:rPr>
      <w:rFonts w:ascii="Calibri" w:hAnsi="Calibri"/>
    </w:rPr>
  </w:style>
  <w:style w:type="paragraph" w:styleId="3">
    <w:name w:val="Body Text Indent"/>
    <w:basedOn w:val="1"/>
    <w:unhideWhenUsed/>
    <w:qFormat/>
    <w:uiPriority w:val="99"/>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u w:val="single"/>
    </w:rPr>
  </w:style>
  <w:style w:type="character" w:customStyle="1" w:styleId="10">
    <w:name w:val="printico"/>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Documents%20and%20Settings\Administrator\&#26700;&#38754;\&#2643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7605103251422"/>
          <c:y val="0.0988335100742312"/>
          <c:w val="0.446082612404045"/>
          <c:h val="0.776458112407211"/>
        </c:manualLayout>
      </c:layout>
      <c:doughnutChart>
        <c:varyColors val="1"/>
        <c:ser>
          <c:idx val="0"/>
          <c:order val="0"/>
          <c:tx>
            <c:strRef>
              <c:f>[杂.xls]名录库数据分产业机构类型!$D$20</c:f>
              <c:strCache>
                <c:ptCount val="1"/>
                <c:pt idx="0">
                  <c:v>四上法人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385270421901575"/>
                  <c:y val="-0.32686953669409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050">
                        <a:latin typeface="仿宋_GB2312" panose="02010609030101010101" charset="-122"/>
                        <a:ea typeface="仿宋_GB2312" panose="02010609030101010101" charset="-122"/>
                      </a:rPr>
                      <a:t>四上法人, 第一产业法人</a:t>
                    </a:r>
                    <a:endParaRPr sz="1050">
                      <a:latin typeface="仿宋_GB2312" panose="02010609030101010101" charset="-122"/>
                      <a:ea typeface="仿宋_GB2312" panose="02010609030101010101" charset="-122"/>
                    </a:endParaRPr>
                  </a:p>
                  <a:p>
                    <a:pPr defTabSz="914400">
                      <a:defRPr lang="zh-CN" sz="900" b="0" i="0" u="none" strike="noStrike" kern="1200" baseline="0">
                        <a:solidFill>
                          <a:schemeClr val="tx1">
                            <a:lumMod val="75000"/>
                            <a:lumOff val="25000"/>
                          </a:schemeClr>
                        </a:solidFill>
                        <a:latin typeface="+mn-lt"/>
                        <a:ea typeface="+mn-ea"/>
                        <a:cs typeface="+mn-cs"/>
                      </a:defRPr>
                    </a:pPr>
                    <a:r>
                      <a:rPr sz="1050">
                        <a:latin typeface="仿宋_GB2312" panose="02010609030101010101" charset="-122"/>
                        <a:ea typeface="仿宋_GB2312" panose="02010609030101010101" charset="-122"/>
                      </a:rPr>
                      <a:t>4, 0.2%</a:t>
                    </a:r>
                    <a:endParaRPr sz="1050">
                      <a:latin typeface="仿宋_GB2312" panose="02010609030101010101" charset="-122"/>
                      <a:ea typeface="仿宋_GB2312" panose="02010609030101010101" charset="-122"/>
                    </a:endParaRPr>
                  </a:p>
                </c:rich>
              </c:tx>
              <c:showLegendKey val="0"/>
              <c:showVal val="1"/>
              <c:showCatName val="1"/>
              <c:showSerName val="1"/>
              <c:showPercent val="1"/>
              <c:showBubbleSize val="0"/>
              <c:extLst>
                <c:ext xmlns:c15="http://schemas.microsoft.com/office/drawing/2012/chart" uri="{CE6537A1-D6FC-4f65-9D91-7224C49458BB}">
                  <c15:layout>
                    <c:manualLayout>
                      <c:w val="0.205434385280858"/>
                      <c:h val="0.195334040296925"/>
                    </c:manualLayout>
                  </c15:layout>
                </c:ext>
              </c:extLst>
            </c:dLbl>
            <c:dLbl>
              <c:idx val="1"/>
              <c:layout>
                <c:manualLayout>
                  <c:x val="0.232113147145097"/>
                  <c:y val="0.12522458135637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050">
                        <a:latin typeface="仿宋_GB2312" panose="02010609030101010101" charset="-122"/>
                        <a:ea typeface="仿宋_GB2312" panose="02010609030101010101" charset="-122"/>
                      </a:rPr>
                      <a:t>四上法人, 第二产业法人</a:t>
                    </a:r>
                    <a:endParaRPr sz="1050">
                      <a:latin typeface="仿宋_GB2312" panose="02010609030101010101" charset="-122"/>
                      <a:ea typeface="仿宋_GB2312" panose="02010609030101010101" charset="-122"/>
                    </a:endParaRPr>
                  </a:p>
                  <a:p>
                    <a:pPr defTabSz="914400">
                      <a:defRPr lang="zh-CN" sz="900" b="0" i="0" u="none" strike="noStrike" kern="1200" baseline="0">
                        <a:solidFill>
                          <a:schemeClr val="tx1">
                            <a:lumMod val="75000"/>
                            <a:lumOff val="25000"/>
                          </a:schemeClr>
                        </a:solidFill>
                        <a:latin typeface="+mn-lt"/>
                        <a:ea typeface="+mn-ea"/>
                        <a:cs typeface="+mn-cs"/>
                      </a:defRPr>
                    </a:pPr>
                    <a:r>
                      <a:rPr sz="1050">
                        <a:latin typeface="仿宋_GB2312" panose="02010609030101010101" charset="-122"/>
                        <a:ea typeface="仿宋_GB2312" panose="02010609030101010101" charset="-122"/>
                      </a:rPr>
                      <a:t>1428, 62.5%</a:t>
                    </a:r>
                    <a:endParaRPr sz="1050">
                      <a:latin typeface="仿宋_GB2312" panose="02010609030101010101" charset="-122"/>
                      <a:ea typeface="仿宋_GB2312" panose="02010609030101010101" charset="-122"/>
                    </a:endParaRPr>
                  </a:p>
                </c:rich>
              </c:tx>
              <c:showLegendKey val="0"/>
              <c:showVal val="1"/>
              <c:showCatName val="1"/>
              <c:showSerName val="1"/>
              <c:showPercent val="1"/>
              <c:showBubbleSize val="0"/>
              <c:extLst>
                <c:ext xmlns:c15="http://schemas.microsoft.com/office/drawing/2012/chart" uri="{CE6537A1-D6FC-4f65-9D91-7224C49458BB}">
                  <c15:layout>
                    <c:manualLayout>
                      <c:w val="0.199829413914951"/>
                      <c:h val="0.179851537645811"/>
                    </c:manualLayout>
                  </c15:layout>
                </c:ext>
              </c:extLst>
            </c:dLbl>
            <c:dLbl>
              <c:idx val="2"/>
              <c:layout>
                <c:manualLayout>
                  <c:x val="-0.208587587799127"/>
                  <c:y val="0.050485607273808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050">
                        <a:latin typeface="仿宋_GB2312" panose="02010609030101010101" charset="-122"/>
                        <a:ea typeface="仿宋_GB2312" panose="02010609030101010101" charset="-122"/>
                      </a:rPr>
                      <a:t>四上法人, 第三产业法人</a:t>
                    </a:r>
                    <a:endParaRPr sz="1050">
                      <a:latin typeface="仿宋_GB2312" panose="02010609030101010101" charset="-122"/>
                      <a:ea typeface="仿宋_GB2312" panose="02010609030101010101" charset="-122"/>
                    </a:endParaRPr>
                  </a:p>
                  <a:p>
                    <a:pPr defTabSz="914400">
                      <a:defRPr lang="zh-CN" sz="900" b="0" i="0" u="none" strike="noStrike" kern="1200" baseline="0">
                        <a:solidFill>
                          <a:schemeClr val="tx1">
                            <a:lumMod val="75000"/>
                            <a:lumOff val="25000"/>
                          </a:schemeClr>
                        </a:solidFill>
                        <a:latin typeface="+mn-lt"/>
                        <a:ea typeface="+mn-ea"/>
                        <a:cs typeface="+mn-cs"/>
                      </a:defRPr>
                    </a:pPr>
                    <a:r>
                      <a:rPr sz="1050">
                        <a:latin typeface="仿宋_GB2312" panose="02010609030101010101" charset="-122"/>
                        <a:ea typeface="仿宋_GB2312" panose="02010609030101010101" charset="-122"/>
                      </a:rPr>
                      <a:t>853, 37.3%</a:t>
                    </a:r>
                    <a:endParaRPr sz="1050">
                      <a:latin typeface="仿宋_GB2312" panose="02010609030101010101" charset="-122"/>
                      <a:ea typeface="仿宋_GB2312" panose="02010609030101010101" charset="-122"/>
                    </a:endParaRPr>
                  </a:p>
                </c:rich>
              </c:tx>
              <c:showLegendKey val="0"/>
              <c:showVal val="1"/>
              <c:showCatName val="1"/>
              <c:showSerName val="1"/>
              <c:showPercent val="1"/>
              <c:showBubbleSize val="0"/>
              <c:extLst>
                <c:ext xmlns:c15="http://schemas.microsoft.com/office/drawing/2012/chart" uri="{CE6537A1-D6FC-4f65-9D91-7224C49458BB}">
                  <c15:layout/>
                </c:ext>
              </c:extLst>
            </c:dLbl>
            <c:numFmt formatCode="0.0%" sourceLinked="0"/>
            <c:spPr>
              <a:noFill/>
              <a:ln w="6350" cmpd="sng">
                <a:solidFill>
                  <a:schemeClr val="tx1"/>
                </a:solidFill>
                <a:prstDash val="solid"/>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1"/>
            <c:showSerName val="1"/>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[杂.xls]名录库数据分产业机构类型!$E$19:$G$19</c:f>
              <c:strCache>
                <c:ptCount val="3"/>
                <c:pt idx="0">
                  <c:v>第一产业法人</c:v>
                </c:pt>
                <c:pt idx="1">
                  <c:v>第二产业法人</c:v>
                </c:pt>
                <c:pt idx="2">
                  <c:v>第三产业法人</c:v>
                </c:pt>
              </c:strCache>
            </c:strRef>
          </c:cat>
          <c:val>
            <c:numRef>
              <c:f>[杂.xls]名录库数据分产业机构类型!$E$20:$G$20</c:f>
              <c:numCache>
                <c:formatCode>General</c:formatCode>
                <c:ptCount val="3"/>
                <c:pt idx="0">
                  <c:v>4</c:v>
                </c:pt>
                <c:pt idx="1">
                  <c:v>1428</c:v>
                </c:pt>
                <c:pt idx="2">
                  <c:v>853</c:v>
                </c:pt>
              </c:numCache>
            </c:numRef>
          </c:val>
        </c:ser>
        <c:ser>
          <c:idx val="1"/>
          <c:order val="1"/>
          <c:tx>
            <c:strRef>
              <c:f>[杂.xls]名录库数据分产业机构类型!$D$21</c:f>
              <c:strCache>
                <c:ptCount val="1"/>
                <c:pt idx="0">
                  <c:v>全部法人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27640794511806"/>
                  <c:y val="-0.0367390503956051"/>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050">
                        <a:latin typeface="仿宋_GB2312" panose="02010609030101010101" charset="-122"/>
                        <a:ea typeface="仿宋_GB2312" panose="02010609030101010101" charset="-122"/>
                      </a:rPr>
                      <a:t>全部法人, 第一产业法人</a:t>
                    </a:r>
                    <a:endParaRPr sz="1050">
                      <a:latin typeface="仿宋_GB2312" panose="02010609030101010101" charset="-122"/>
                      <a:ea typeface="仿宋_GB2312" panose="02010609030101010101" charset="-122"/>
                    </a:endParaRPr>
                  </a:p>
                  <a:p>
                    <a:pPr defTabSz="914400">
                      <a:defRPr lang="zh-CN" sz="900" b="0" i="0" u="none" strike="noStrike" kern="1200" baseline="0">
                        <a:solidFill>
                          <a:schemeClr val="tx1">
                            <a:lumMod val="75000"/>
                            <a:lumOff val="25000"/>
                          </a:schemeClr>
                        </a:solidFill>
                        <a:latin typeface="+mn-lt"/>
                        <a:ea typeface="+mn-ea"/>
                        <a:cs typeface="+mn-cs"/>
                      </a:defRPr>
                    </a:pPr>
                    <a:r>
                      <a:rPr sz="1050">
                        <a:latin typeface="仿宋_GB2312" panose="02010609030101010101" charset="-122"/>
                        <a:ea typeface="仿宋_GB2312" panose="02010609030101010101" charset="-122"/>
                      </a:rPr>
                      <a:t>2302, 3.1%</a:t>
                    </a:r>
                    <a:endParaRPr sz="1050">
                      <a:latin typeface="仿宋_GB2312" panose="02010609030101010101" charset="-122"/>
                      <a:ea typeface="仿宋_GB2312" panose="02010609030101010101" charset="-122"/>
                    </a:endParaRPr>
                  </a:p>
                </c:rich>
              </c:tx>
              <c:showLegendKey val="0"/>
              <c:showVal val="1"/>
              <c:showCatName val="1"/>
              <c:showSerName val="1"/>
              <c:showPercent val="1"/>
              <c:showBubbleSize val="0"/>
              <c:extLst>
                <c:ext xmlns:c15="http://schemas.microsoft.com/office/drawing/2012/chart" uri="{CE6537A1-D6FC-4f65-9D91-7224C49458BB}">
                  <c15:layout/>
                </c:ext>
              </c:extLst>
            </c:dLbl>
            <c:dLbl>
              <c:idx val="1"/>
              <c:layout>
                <c:manualLayout>
                  <c:x val="0.199994186920629"/>
                  <c:y val="0.0744121497489805"/>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050">
                        <a:latin typeface="仿宋_GB2312" panose="02010609030101010101" charset="-122"/>
                        <a:ea typeface="仿宋_GB2312" panose="02010609030101010101" charset="-122"/>
                      </a:rPr>
                      <a:t>全部法人, 第二产业法人</a:t>
                    </a:r>
                    <a:endParaRPr sz="1050">
                      <a:latin typeface="仿宋_GB2312" panose="02010609030101010101" charset="-122"/>
                      <a:ea typeface="仿宋_GB2312" panose="02010609030101010101" charset="-122"/>
                    </a:endParaRPr>
                  </a:p>
                  <a:p>
                    <a:pPr defTabSz="914400">
                      <a:defRPr lang="zh-CN" sz="900" b="0" i="0" u="none" strike="noStrike" kern="1200" baseline="0">
                        <a:solidFill>
                          <a:schemeClr val="tx1">
                            <a:lumMod val="75000"/>
                            <a:lumOff val="25000"/>
                          </a:schemeClr>
                        </a:solidFill>
                        <a:latin typeface="+mn-lt"/>
                        <a:ea typeface="+mn-ea"/>
                        <a:cs typeface="+mn-cs"/>
                      </a:defRPr>
                    </a:pPr>
                    <a:r>
                      <a:rPr sz="1050">
                        <a:latin typeface="仿宋_GB2312" panose="02010609030101010101" charset="-122"/>
                        <a:ea typeface="仿宋_GB2312" panose="02010609030101010101" charset="-122"/>
                      </a:rPr>
                      <a:t>24555, 32.7%</a:t>
                    </a:r>
                    <a:endParaRPr sz="1050">
                      <a:latin typeface="仿宋_GB2312" panose="02010609030101010101" charset="-122"/>
                      <a:ea typeface="仿宋_GB2312" panose="02010609030101010101" charset="-122"/>
                    </a:endParaRPr>
                  </a:p>
                </c:rich>
              </c:tx>
              <c:numFmt formatCode="0.0%" sourceLinked="0"/>
              <c:spPr>
                <a:noFill/>
                <a:ln w="6350" cap="sq" cmpd="sng">
                  <a:solidFill>
                    <a:schemeClr val="tx1"/>
                  </a:solidFill>
                  <a:prstDash val="solid"/>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1"/>
              <c:showSerName val="1"/>
              <c:showPercent val="1"/>
              <c:showBubbleSize val="0"/>
              <c:extLst>
                <c:ext xmlns:c15="http://schemas.microsoft.com/office/drawing/2012/chart" uri="{CE6537A1-D6FC-4f65-9D91-7224C49458BB}">
                  <c15:layout/>
                </c:ext>
              </c:extLst>
            </c:dLbl>
            <c:dLbl>
              <c:idx val="2"/>
              <c:layout>
                <c:manualLayout>
                  <c:x val="-0.183214141400786"/>
                  <c:y val="0.0797889787661595"/>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050">
                        <a:latin typeface="仿宋_GB2312" panose="02010609030101010101" charset="-122"/>
                        <a:ea typeface="仿宋_GB2312" panose="02010609030101010101" charset="-122"/>
                      </a:rPr>
                      <a:t>全部法人, 第三产业法人</a:t>
                    </a:r>
                    <a:endParaRPr sz="1050">
                      <a:latin typeface="仿宋_GB2312" panose="02010609030101010101" charset="-122"/>
                      <a:ea typeface="仿宋_GB2312" panose="02010609030101010101" charset="-122"/>
                    </a:endParaRPr>
                  </a:p>
                  <a:p>
                    <a:pPr defTabSz="914400">
                      <a:defRPr lang="zh-CN" sz="900" b="0" i="0" u="none" strike="noStrike" kern="1200" baseline="0">
                        <a:solidFill>
                          <a:schemeClr val="tx1">
                            <a:lumMod val="75000"/>
                            <a:lumOff val="25000"/>
                          </a:schemeClr>
                        </a:solidFill>
                        <a:latin typeface="+mn-lt"/>
                        <a:ea typeface="+mn-ea"/>
                        <a:cs typeface="+mn-cs"/>
                      </a:defRPr>
                    </a:pPr>
                    <a:r>
                      <a:rPr sz="1050">
                        <a:latin typeface="仿宋_GB2312" panose="02010609030101010101" charset="-122"/>
                        <a:ea typeface="仿宋_GB2312" panose="02010609030101010101" charset="-122"/>
                      </a:rPr>
                      <a:t>48156, 64.2%</a:t>
                    </a:r>
                    <a:endParaRPr sz="1050">
                      <a:latin typeface="仿宋_GB2312" panose="02010609030101010101" charset="-122"/>
                      <a:ea typeface="仿宋_GB2312" panose="02010609030101010101" charset="-122"/>
                    </a:endParaRPr>
                  </a:p>
                </c:rich>
              </c:tx>
              <c:numFmt formatCode="0.0%" sourceLinked="0"/>
              <c:spPr>
                <a:noFill/>
                <a:ln w="6350" cap="sq" cmpd="sng">
                  <a:solidFill>
                    <a:schemeClr val="tx1"/>
                  </a:solidFill>
                  <a:prstDash val="solid"/>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1"/>
              <c:showSerName val="1"/>
              <c:showPercent val="1"/>
              <c:showBubbleSize val="0"/>
              <c:extLst>
                <c:ext xmlns:c15="http://schemas.microsoft.com/office/drawing/2012/chart" uri="{CE6537A1-D6FC-4f65-9D91-7224C49458BB}">
                  <c15:layout/>
                </c:ext>
              </c:extLst>
            </c:dLbl>
            <c:numFmt formatCode="0.0%" sourceLinked="0"/>
            <c:spPr>
              <a:noFill/>
              <a:ln w="6350" cap="sq" cmpd="sng">
                <a:solidFill>
                  <a:schemeClr val="tx1"/>
                </a:solidFill>
                <a:prstDash val="solid"/>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1"/>
            <c:showSerName val="1"/>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[杂.xls]名录库数据分产业机构类型!$E$19:$G$19</c:f>
              <c:strCache>
                <c:ptCount val="3"/>
                <c:pt idx="0">
                  <c:v>第一产业法人</c:v>
                </c:pt>
                <c:pt idx="1">
                  <c:v>第二产业法人</c:v>
                </c:pt>
                <c:pt idx="2">
                  <c:v>第三产业法人</c:v>
                </c:pt>
              </c:strCache>
            </c:strRef>
          </c:cat>
          <c:val>
            <c:numRef>
              <c:f>[杂.xls]名录库数据分产业机构类型!$E$21:$G$21</c:f>
              <c:numCache>
                <c:formatCode>General</c:formatCode>
                <c:ptCount val="3"/>
                <c:pt idx="0">
                  <c:v>2302</c:v>
                </c:pt>
                <c:pt idx="1">
                  <c:v>24555</c:v>
                </c:pt>
                <c:pt idx="2">
                  <c:v>48156</c:v>
                </c:pt>
              </c:numCache>
            </c:numRef>
          </c:val>
        </c:ser>
        <c:dLbls>
          <c:showLegendKey val="0"/>
          <c:showVal val="0"/>
          <c:showCatName val="1"/>
          <c:showSerName val="0"/>
          <c:showPercent val="1"/>
          <c:showBubbleSize val="0"/>
          <c:showLeaderLines val="1"/>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2190</Words>
  <Characters>2644</Characters>
  <Lines>10</Lines>
  <Paragraphs>2</Paragraphs>
  <ScaleCrop>false</ScaleCrop>
  <LinksUpToDate>false</LinksUpToDate>
  <CharactersWithSpaces>2647</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2023-01-16T03:23:00Z</dcterms:created>
  <dc:creator>Administrator</dc:creator>
  <cp:lastModifiedBy>HP</cp:lastModifiedBy>
  <cp:lastPrinted>2023-05-11T01:48:00Z</cp:lastPrinted>
  <dcterms:modified xsi:type="dcterms:W3CDTF">2023-05-11T02:09:40Z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y fmtid="{D5CDD505-2E9C-101B-9397-08002B2CF9AE}" pid="3" name="ICV">
    <vt:lpwstr>B873D8CDCF5E40588236BA828B324743</vt:lpwstr>
  </property>
</Properties>
</file>