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75"/>
        </w:tabs>
        <w:spacing w:line="560" w:lineRule="exact"/>
        <w:ind w:firstLine="22"/>
        <w:textAlignment w:val="baseline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*南简报N024号</w:t>
      </w:r>
    </w:p>
    <w:p>
      <w:pPr>
        <w:widowControl/>
        <w:spacing w:line="560" w:lineRule="exact"/>
        <w:jc w:val="center"/>
        <w:textAlignment w:val="baseline"/>
        <w:rPr>
          <w:rFonts w:hint="eastAsia"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hint="eastAsia" w:ascii="仿宋_GB2312" w:hAnsi="宋体"/>
          <w:color w:val="000000"/>
          <w:kern w:val="0"/>
          <w:szCs w:val="32"/>
        </w:rPr>
      </w:pPr>
      <w:r>
        <w:rPr>
          <w:rFonts w:hint="eastAsia" w:ascii="仿宋_GB2312" w:hAnsi="宋体"/>
          <w:color w:val="000000"/>
          <w:kern w:val="0"/>
          <w:szCs w:val="32"/>
        </w:rPr>
        <w:pict>
          <v:shape id="_x0000_s1026" o:spid="_x0000_s1026" o:spt="136" type="#_x0000_t136" style="position:absolute;left:0pt;margin-left:95.95pt;margin-top:140.65pt;height:72.7pt;width:424.6pt;mso-position-horizontal-relative:page;mso-position-vertical-relative:page;z-index:251661312;mso-width-relative:page;mso-height-relative:page;" fillcolor="#FF0000" filled="t" stroked="t" coordsize="21600,21600">
            <v:path/>
            <v:fill on="t" focussize="0,0"/>
            <v:stroke color="#FFFFFF" joinstyle="bevel"/>
            <v:imagedata o:title=""/>
            <o:lock v:ext="edit" grouping="f" rotation="f" text="f" aspectratio="f"/>
            <v:textpath on="t" fitshape="t" fitpath="t" trim="t" xscale="f" string="南安统计信息" style="font-family:方正大标宋简体;font-size:36pt;v-text-align:center;"/>
          </v:shape>
        </w:pict>
      </w:r>
    </w:p>
    <w:p>
      <w:pPr>
        <w:widowControl/>
        <w:spacing w:line="560" w:lineRule="exact"/>
        <w:textAlignment w:val="baseline"/>
        <w:rPr>
          <w:rFonts w:hint="eastAsia"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hint="eastAsia"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期</w:t>
      </w:r>
    </w:p>
    <w:p>
      <w:pPr>
        <w:widowControl/>
        <w:spacing w:line="560" w:lineRule="exact"/>
        <w:ind w:firstLine="22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南安市统计局  编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103505</wp:posOffset>
                </wp:positionV>
                <wp:extent cx="6125845" cy="76200"/>
                <wp:effectExtent l="7620" t="0" r="8255" b="2286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845" cy="762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flip:y;margin-left:-15.3pt;margin-top:8.15pt;height:6pt;width:482.35pt;z-index:251662336;mso-width-relative:page;mso-height-relative:page;" fillcolor="#FF0000" filled="t" stroked="t" coordsize="21600,21600" o:gfxdata="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7/h77ZAAAACQEAAA8AAAAAAAAAAQAgAAAAIgAAAGRycy9kb3du&#10;cmV2LnhtbFBLAQIUABQAAAAIAIdO4kAbj7Dr/gEAAPoDAAAOAAAAAAAAAAEAIAAAACgBAABkcnMv&#10;ZTJvRG9jLnhtbFBLBQYAAAAABgAGAFkBAACYBQAAAAA=&#10;">
                <v:fill on="t" focussize="0,0"/>
                <v:stroke weight="1.25pt" color="#FFFFFF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房地产投资年末走翘 销售市场持续低迷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——南安市2022年房地产开发运行情况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今年以来，我市坚持“房住不炒”定位，支持商品房市场更好满足购房者合理住房需求，因城施策推动房地产业良性循环和平稳健康发展。2022年，商品房销售面积和销售额降幅波动收窄，房地产开发投资呈现开局低、震荡回涨、年末小翘尾的增长态势，行业资金面依然紧张，施工周期缩短、投资库存吃紧，推动房地产市场平稳健康发展仍需努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房地产开发投资持续低迷，年底小幅回涨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投资增速转负为正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2022年1-12月房地产开发投资完成127.92亿元，增长1.5%，一改前11个月负增长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态势，转负为正。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highlight w:val="none"/>
          <w:lang w:val="en-US" w:eastAsia="zh-CN"/>
        </w:rPr>
        <w:pict>
          <v:shape id="_x0000_s1027" o:spid="_x0000_s1027" o:spt="75" type="#_x0000_t75" style="position:absolute;left:0pt;margin-left:-41.4pt;margin-top:102.6pt;height:232.2pt;width:487.15pt;mso-position-vertical-relative:page;mso-wrap-distance-bottom:0pt;mso-wrap-distance-top:0pt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topAndBottom"/>
          </v:shape>
          <o:OLEObject Type="Embed" ProgID="Excel.Chart.8" ShapeID="_x0000_s1027" DrawAspect="Content" ObjectID="_1468075725" r:id="rId5">
            <o:LockedField>false</o:LockedField>
          </o:OLEObject>
        </w:pict>
      </w: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val="en-US" w:eastAsia="zh-CN"/>
        </w:rPr>
        <w:t>图1  2022年南安市房地产开发投资增速走势图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从增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长曲线看，全年房地产开发投资以负增长开局，于波动中缓慢回涨，至年末实现正增长。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新增项目强势拉动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2022年1-12月累计新增17个项目，共完成56.93亿元，占房地产开发投资的44.5%，强势拉高全市房地产开发投资10.0个百分点。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土地购置费有效对冲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从投资构成看，建筑安装工程投资67.26亿元，下降12.8%；设备工器具购置投资0.27亿元，下降73.5%；其他费用投资60.39亿元，增长26.3%，其中土地购置费59.08亿元，增长26.3%，拉动本年完成投资增长9.8个百分点，有效对冲了建安投资低迷带来的负增长效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主要先行指标走弱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2022年1-12月房地产开发企业房屋施工面积968.13万平方米，增长4.3%。其中住宅施工面积641.63万平方米，增长8.4%。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val="en-US" w:eastAsia="zh-CN"/>
        </w:rPr>
        <w:t>表1  南安市2022年房屋施工、竣工面积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单位：万平方米、%</w:t>
      </w:r>
    </w:p>
    <w:tbl>
      <w:tblPr>
        <w:tblStyle w:val="12"/>
        <w:tblW w:w="8676" w:type="dxa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707"/>
        <w:gridCol w:w="1593"/>
        <w:gridCol w:w="1608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52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330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施工面积</w:t>
            </w:r>
          </w:p>
        </w:tc>
        <w:tc>
          <w:tcPr>
            <w:tcW w:w="3024" w:type="dxa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52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比增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全部房屋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968.13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208.66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住宅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641.63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150.87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56.64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-2.4 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2.56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商业营业用房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87.36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-12.1 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13.41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52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182.49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41.83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注：因四舍五入存在分项总计不等于合计。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0" w:afterLines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房屋竣工面积208.66万平方米，增长81.9%。其中住宅竣工面积150.87万平方米，增长135.5%。商办及其他竣工面积57.8万平方米，增长14.2%。房屋竣工面积增幅远远高于房屋施工面积增幅，表明房地产项目施工周期缩短，后续投资压力增大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后续支撑捉襟见肘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2022年年末，我市在统房地产项目113个，在建项目仅58个，其中56.9%的项目已经处于后期建设阶段或停缓建状态，初期或中期建设阶段项目较为缺乏，后续支撑力量不足，难以为2023年房地产开发投资市场发展提供有力保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民营经济活力不足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国有项目完成投资29.77亿元，比增87.9%，拉动我市房地产开发投资增长11.1个百分点；民营经济项目完成投资97.26亿元，占比76.0%，下降10.3%，活力尚显不足，形成以民间为主、国有为辅，国有项目带动民间项目的房地产投资格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商品房销售处下行筑底阶段，市场再发展趋势谨慎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（一）销售情况持续下行，回暖压力犹存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214630</wp:posOffset>
            </wp:positionH>
            <wp:positionV relativeFrom="page">
              <wp:posOffset>6015990</wp:posOffset>
            </wp:positionV>
            <wp:extent cx="5415915" cy="3009900"/>
            <wp:effectExtent l="0" t="0" r="9525" b="7620"/>
            <wp:wrapTopAndBottom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2022年1-12月我市房地产企业商品房销售面积157.89万平方米，下降18.5%。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从房屋类型看，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住宅销售面积完成125.36万平方米，下降22.3%，拉低全市销售面积下降18.6个百分点；办公楼销售面积完成2.09万平方米，下降29.9%；商业营业用房销售面积完成22.78万平方米，增长54.1%。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val="en-US" w:eastAsia="zh-CN"/>
        </w:rPr>
        <w:t>图2  2022年南安市商品房销售面积情况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商品房销售额107.45亿元，下降32.0%。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从销售端看，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住宅销售额下降31.7%，拉低全市销售面积下降26.3个百分点；办公楼销售额下降33.3%，商业营业用房销售额增长0.4%。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（二）待售面积同比增加，去库存化压力加剧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2022年我市商品房待售面积65.27万平米，增长19.6%；其中，待售时长为1-3年(含1年)的房屋待售面积29.17万平方米，增长92.4%；待售时长为3年以上(含3年)的房屋待售面积24.67万平方米，增长3%。分用途看，住宅类待售面积27.51万平米，增长73.3%；非住宅类待售面积37.76万平米，下降2.4%。商品房库存去化压力进一步增加，供需矛盾愈加突出，利好政策落地成效尚未显著凸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（三）企业回笼资金减少，销售回款增速下滑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2022年1-12月我市房地产开发项目本年到位资金132.55亿元，比去年同期下降34.8%。从资金来源渠道看，市场化住宅成交保持一定规模带动了购房款回笼，定金预付款51.96亿元，下降30.2%，成交量高居首位，占比达39.2%，加上个人按揭贷款26.67亿元，共占全部到位资金的59.3%，房地产企业资金对销售回款的依赖性较大。到位资金逾九成依赖企业自筹资金和销售回款，房企资金链抗风险压力较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val="en-US" w:eastAsia="zh-CN"/>
        </w:rPr>
        <w:t>表2  南安市2022年本年实际到位资金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单位：亿元、%</w:t>
      </w:r>
    </w:p>
    <w:tbl>
      <w:tblPr>
        <w:tblStyle w:val="12"/>
        <w:tblW w:w="8337" w:type="dxa"/>
        <w:jc w:val="center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2256"/>
        <w:gridCol w:w="1696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761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25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资金额（亿元）</w:t>
            </w:r>
          </w:p>
        </w:tc>
        <w:tc>
          <w:tcPr>
            <w:tcW w:w="169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比增（%）</w:t>
            </w:r>
          </w:p>
        </w:tc>
        <w:tc>
          <w:tcPr>
            <w:tcW w:w="162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比重（%）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本年实际到位资金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132.55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-34.8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国内贷款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7.43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-59.9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42.83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-10.7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定金及预收款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51.96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-30.2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个人按揭贷款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26.67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-56.1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1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其他到位资金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3.67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122.8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37" w:type="dxa"/>
            <w:gridSpan w:val="4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注：因四舍五入存在分项总计不等于合计。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在销售低迷导致销售回款速度放缓、建筑费用和抗疫费用增加等多重因素影响下，项目建设成本不断推高，房地产开发企业资金运营压力明显增大。后续会直接体现在项目的施工及销售进度上，反过来继续影响项目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kern w:val="0"/>
          <w:sz w:val="32"/>
          <w:szCs w:val="32"/>
          <w:highlight w:val="none"/>
          <w:lang w:val="en-US" w:eastAsia="zh-CN"/>
        </w:rPr>
        <w:t>（四）土地交易不景气，市场再发展趋势谨慎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从土地出让市场看，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2022年成交12宗地块，同比减少46.4%；成交价共20.11亿元，减少57.8%。土地交易市场不景气，投资意愿降低，现行房地产市场大环境下房企资金紧张尚未得到有效改善，制约后续房地产开发投资回稳致远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从企业生产经营景气状况来看，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企业存在招工难、资金紧张等问题，市场观望情绪浓厚，经营信心不足，对2023年年初企业的经营状况持非乐观状况。近三成企业认为“招工难”大部分是因为求职者对薪酬期望过高和符合岗位要求的应聘者减少，16.8%的企业存在资金紧张状况，主要由融资难、存货占用成本、贷款回笼慢、疫情影响下的销售滞慢等多方面问题造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从企业对2023年初的合理预期来看，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70.5%的企业持非乐观状态。仅2.1%的企业计划年初追投固定资产，大部分企业持观望状态，更有15.8%的企业计划减少固定资产投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 w:hAnsiTheme="minorEastAsia" w:cstheme="minorEastAsia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 w:hAnsiTheme="minorEastAsia" w:cstheme="minorEastAsia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 w:hAnsiTheme="minorEastAsia" w:cstheme="minorEastAsia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auto"/>
          <w:kern w:val="0"/>
          <w:sz w:val="32"/>
          <w:szCs w:val="32"/>
          <w:highlight w:val="none"/>
          <w:lang w:val="en-US" w:eastAsia="zh-CN"/>
        </w:rPr>
        <w:t>（南安市统计局　赖艺婷）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901700" cy="892175"/>
            <wp:effectExtent l="0" t="0" r="12700" b="6985"/>
            <wp:docPr id="4" name="图片 1" descr="qrcode_for_gh_1eebab0522fd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rcode_for_gh_1eebab0522fd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hAnsiTheme="minorEastAsia" w:cstheme="minorEastAsia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扫码关注南安市统计局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指标解释：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[1]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房地产开发投资：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指各种登记注册类型的房地产开发法人单位统一开发的住宅、厂房、仓库、饭店、宾馆、度假村、写字楼、办公楼等房屋建筑物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配套的服务设施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土地开发工程和土地购置的投资;不包括单纯的土地开发和交易活动。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[2]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房屋施工面积：</w:t>
      </w:r>
      <w:r>
        <w:rPr>
          <w:rFonts w:hint="eastAsia" w:ascii="仿宋_GB2312" w:hAnsi="仿宋_GB2312" w:eastAsia="仿宋_GB2312" w:cs="仿宋_GB2312"/>
          <w:sz w:val="28"/>
          <w:szCs w:val="28"/>
        </w:rPr>
        <w:t>指报告期内施工的全部房屋建筑面积。 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[3]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房屋竣工面积：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指报告期内房屋建筑按照设计要求已全部完工，达到住人和使用条件，经验收鉴定合格或达到竣工验收标准，可正式移交使用的各栋房屋建筑面积的总和。竣工面积以房屋单位工程（栋）为核算对象。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4]商品房销售面积：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指报告期内出售商品房屋的合同总面积（即双方签署的正式买卖合同中所确定的建筑面积）。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[5]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商品房销售额：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指报告期内出售商品房屋的合同总价款（即双方签署的正式买卖合同中所确定的合同总价）。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[6]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待售面积：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指报告期末已竣工的可供销售或出租的商品房屋建筑面积中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尚未销售或出租的商品房屋建筑面积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。商品房存销比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=待售面积/平均销售面积。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[7]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土地购置费：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指房地产开发企业通过各种方式取得土地使用权而支付的费用。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[8]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本年实际到位资金：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指在报告期收到的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用于在建项目投资的各种货币资金。包括国内贷款、利用外资、自筹资金、定金及预收款、个人按揭贷款和其他资金。</w:t>
      </w:r>
    </w:p>
    <w:sectPr>
      <w:footerReference r:id="rId3" w:type="default"/>
      <w:pgSz w:w="11850" w:h="16783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BB5FF5"/>
    <w:multiLevelType w:val="singleLevel"/>
    <w:tmpl w:val="B6BB5F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FB74F8"/>
    <w:multiLevelType w:val="singleLevel"/>
    <w:tmpl w:val="5AFB74F8"/>
    <w:lvl w:ilvl="0" w:tentative="0">
      <w:start w:val="1"/>
      <w:numFmt w:val="chineseCounting"/>
      <w:suff w:val="nothing"/>
      <w:lvlText w:val="（%1）"/>
      <w:lvlJc w:val="left"/>
      <w:rPr>
        <w:rFonts w:hint="eastAsia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WFlYzhiZDhiOTBkOGFjY2ZkYTNhNDZmMjhjZmUifQ=="/>
  </w:docVars>
  <w:rsids>
    <w:rsidRoot w:val="2347332E"/>
    <w:rsid w:val="01A76E76"/>
    <w:rsid w:val="020A425D"/>
    <w:rsid w:val="02A050FF"/>
    <w:rsid w:val="03A51057"/>
    <w:rsid w:val="03BF2D9B"/>
    <w:rsid w:val="06565B15"/>
    <w:rsid w:val="06E52B72"/>
    <w:rsid w:val="0700494D"/>
    <w:rsid w:val="07F07E6C"/>
    <w:rsid w:val="08301C00"/>
    <w:rsid w:val="083A32C2"/>
    <w:rsid w:val="088C71EC"/>
    <w:rsid w:val="09E94138"/>
    <w:rsid w:val="0B8A13E0"/>
    <w:rsid w:val="0BFA5572"/>
    <w:rsid w:val="0C7A5E79"/>
    <w:rsid w:val="0CB179D3"/>
    <w:rsid w:val="0DCA7D33"/>
    <w:rsid w:val="0DF177D2"/>
    <w:rsid w:val="0E446AB2"/>
    <w:rsid w:val="0ECC5032"/>
    <w:rsid w:val="0FC32236"/>
    <w:rsid w:val="10B53D52"/>
    <w:rsid w:val="10CC308A"/>
    <w:rsid w:val="10EC67F3"/>
    <w:rsid w:val="11896F27"/>
    <w:rsid w:val="12A85230"/>
    <w:rsid w:val="12AD51B0"/>
    <w:rsid w:val="12C363F9"/>
    <w:rsid w:val="12CC6FDC"/>
    <w:rsid w:val="12F4340D"/>
    <w:rsid w:val="136B10FF"/>
    <w:rsid w:val="141B7974"/>
    <w:rsid w:val="16391213"/>
    <w:rsid w:val="17810B81"/>
    <w:rsid w:val="187E0EE1"/>
    <w:rsid w:val="18AA3AAC"/>
    <w:rsid w:val="18DD2D9E"/>
    <w:rsid w:val="194F686C"/>
    <w:rsid w:val="1A7B110A"/>
    <w:rsid w:val="1C6E5259"/>
    <w:rsid w:val="1CE908E8"/>
    <w:rsid w:val="1D47692C"/>
    <w:rsid w:val="1D582348"/>
    <w:rsid w:val="1D5E1021"/>
    <w:rsid w:val="1DDE120D"/>
    <w:rsid w:val="1F7E22DA"/>
    <w:rsid w:val="1F88397F"/>
    <w:rsid w:val="203A04DD"/>
    <w:rsid w:val="20524C8A"/>
    <w:rsid w:val="21F16532"/>
    <w:rsid w:val="223A15AA"/>
    <w:rsid w:val="224E3210"/>
    <w:rsid w:val="2298665A"/>
    <w:rsid w:val="229D3E01"/>
    <w:rsid w:val="23236133"/>
    <w:rsid w:val="2347332E"/>
    <w:rsid w:val="234C69C5"/>
    <w:rsid w:val="23BA0C64"/>
    <w:rsid w:val="24FC143D"/>
    <w:rsid w:val="257F7B58"/>
    <w:rsid w:val="25A94C2E"/>
    <w:rsid w:val="25E10804"/>
    <w:rsid w:val="26725D36"/>
    <w:rsid w:val="290F1E22"/>
    <w:rsid w:val="291C5602"/>
    <w:rsid w:val="29EB6D49"/>
    <w:rsid w:val="2ADA4948"/>
    <w:rsid w:val="2BB67581"/>
    <w:rsid w:val="2CF13EEE"/>
    <w:rsid w:val="2D527C77"/>
    <w:rsid w:val="2DA136DD"/>
    <w:rsid w:val="2DB4176C"/>
    <w:rsid w:val="2DD10622"/>
    <w:rsid w:val="2E7543F6"/>
    <w:rsid w:val="2EA80D3A"/>
    <w:rsid w:val="2F1538D1"/>
    <w:rsid w:val="31E62464"/>
    <w:rsid w:val="33790F20"/>
    <w:rsid w:val="35BE56D3"/>
    <w:rsid w:val="368329CB"/>
    <w:rsid w:val="36B5281C"/>
    <w:rsid w:val="379C54C1"/>
    <w:rsid w:val="37F8758E"/>
    <w:rsid w:val="383A0D64"/>
    <w:rsid w:val="385A04C6"/>
    <w:rsid w:val="388F6429"/>
    <w:rsid w:val="38E465A9"/>
    <w:rsid w:val="39181D18"/>
    <w:rsid w:val="39762281"/>
    <w:rsid w:val="39DC780D"/>
    <w:rsid w:val="39F0269C"/>
    <w:rsid w:val="3A54059F"/>
    <w:rsid w:val="3A5B26BA"/>
    <w:rsid w:val="3ADD596D"/>
    <w:rsid w:val="3BF261E2"/>
    <w:rsid w:val="3C5702D3"/>
    <w:rsid w:val="3C9E1874"/>
    <w:rsid w:val="3D29039D"/>
    <w:rsid w:val="3DA76D70"/>
    <w:rsid w:val="3DE300F6"/>
    <w:rsid w:val="3E5021AE"/>
    <w:rsid w:val="3FD75218"/>
    <w:rsid w:val="40555265"/>
    <w:rsid w:val="40EE3B69"/>
    <w:rsid w:val="415003E0"/>
    <w:rsid w:val="446D4994"/>
    <w:rsid w:val="44CE6A88"/>
    <w:rsid w:val="44EA7911"/>
    <w:rsid w:val="45C35BD3"/>
    <w:rsid w:val="468048F2"/>
    <w:rsid w:val="469E61CA"/>
    <w:rsid w:val="47745CE5"/>
    <w:rsid w:val="483D4ABE"/>
    <w:rsid w:val="48662279"/>
    <w:rsid w:val="49031C4B"/>
    <w:rsid w:val="495303C4"/>
    <w:rsid w:val="4A340342"/>
    <w:rsid w:val="4B29528C"/>
    <w:rsid w:val="4CBF1880"/>
    <w:rsid w:val="4D341138"/>
    <w:rsid w:val="4E3D7F73"/>
    <w:rsid w:val="4EAA5A1D"/>
    <w:rsid w:val="4F327D17"/>
    <w:rsid w:val="509701F6"/>
    <w:rsid w:val="510B53B5"/>
    <w:rsid w:val="513C5630"/>
    <w:rsid w:val="5207281D"/>
    <w:rsid w:val="521308A2"/>
    <w:rsid w:val="52190D7D"/>
    <w:rsid w:val="5319120E"/>
    <w:rsid w:val="54AE6DBB"/>
    <w:rsid w:val="550F5162"/>
    <w:rsid w:val="55486CEB"/>
    <w:rsid w:val="554F7913"/>
    <w:rsid w:val="564165F1"/>
    <w:rsid w:val="57CD28A1"/>
    <w:rsid w:val="58F31572"/>
    <w:rsid w:val="598C4579"/>
    <w:rsid w:val="5A065FBE"/>
    <w:rsid w:val="5C312113"/>
    <w:rsid w:val="5C522843"/>
    <w:rsid w:val="5D315D25"/>
    <w:rsid w:val="5D6B1C7E"/>
    <w:rsid w:val="5E28527B"/>
    <w:rsid w:val="5E2A01C0"/>
    <w:rsid w:val="5F0C1BB8"/>
    <w:rsid w:val="5F677692"/>
    <w:rsid w:val="5FB1358B"/>
    <w:rsid w:val="5FF90C3E"/>
    <w:rsid w:val="60773A5C"/>
    <w:rsid w:val="60B55029"/>
    <w:rsid w:val="61CF1068"/>
    <w:rsid w:val="625E0BBA"/>
    <w:rsid w:val="63475714"/>
    <w:rsid w:val="640732AB"/>
    <w:rsid w:val="64122D23"/>
    <w:rsid w:val="64387C92"/>
    <w:rsid w:val="64C1109F"/>
    <w:rsid w:val="64EE4F5A"/>
    <w:rsid w:val="65AF49B0"/>
    <w:rsid w:val="66F53636"/>
    <w:rsid w:val="672E5B71"/>
    <w:rsid w:val="68103707"/>
    <w:rsid w:val="6A6F4C48"/>
    <w:rsid w:val="6B1B1B00"/>
    <w:rsid w:val="6C6A0376"/>
    <w:rsid w:val="6CF96089"/>
    <w:rsid w:val="6DE950DC"/>
    <w:rsid w:val="6EE32B7F"/>
    <w:rsid w:val="6F0C4B70"/>
    <w:rsid w:val="700A15BC"/>
    <w:rsid w:val="716B1BAE"/>
    <w:rsid w:val="72F92976"/>
    <w:rsid w:val="735A234E"/>
    <w:rsid w:val="73912C30"/>
    <w:rsid w:val="73CC4A99"/>
    <w:rsid w:val="73F2796C"/>
    <w:rsid w:val="74A84712"/>
    <w:rsid w:val="7578619F"/>
    <w:rsid w:val="773575ED"/>
    <w:rsid w:val="77617D7C"/>
    <w:rsid w:val="77937FE4"/>
    <w:rsid w:val="779C02D8"/>
    <w:rsid w:val="77B334CB"/>
    <w:rsid w:val="78255A6A"/>
    <w:rsid w:val="785216A1"/>
    <w:rsid w:val="78B63298"/>
    <w:rsid w:val="78F3221A"/>
    <w:rsid w:val="79C47175"/>
    <w:rsid w:val="79DF200E"/>
    <w:rsid w:val="7A467F8F"/>
    <w:rsid w:val="7CD343F3"/>
    <w:rsid w:val="7DDF4142"/>
    <w:rsid w:val="7E332C33"/>
    <w:rsid w:val="7EB60BC5"/>
    <w:rsid w:val="7F17395A"/>
    <w:rsid w:val="7F7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adjustRightInd w:val="0"/>
      <w:spacing w:line="360" w:lineRule="atLeast"/>
      <w:ind w:firstLine="600"/>
      <w:textAlignment w:val="baseline"/>
    </w:pPr>
    <w:rPr>
      <w:rFonts w:eastAsia="宋体" w:asciiTheme="minorAscii" w:hAnsiTheme="minorAscii"/>
      <w:sz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chart" Target="charts/chart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562285984178"/>
          <c:y val="0.163382072472982"/>
          <c:w val="0.76476561577518"/>
          <c:h val="0.71570247933884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上期</c:v>
                </c:pt>
              </c:strCache>
            </c:strRef>
          </c:tx>
          <c:spPr>
            <a:solidFill>
              <a:schemeClr val="accent1">
                <a:alpha val="51000"/>
              </a:schemeClr>
            </a:solidFill>
            <a:ln>
              <a:solidFill>
                <a:schemeClr val="accent1"/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0.00818241326641938"/>
                  <c:y val="-0.1859278162595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</a:t>
                    </a:r>
                    <a:r>
                      <a:rPr lang="en-US" altLang="zh-CN"/>
                      <a:t>57.89</a:t>
                    </a:r>
                    <a:endParaRPr lang="en-US" altLang="zh-CN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Sheet1!$B$1:$L$1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9.529</c:v>
                </c:pt>
                <c:pt idx="1">
                  <c:v>21.607</c:v>
                </c:pt>
                <c:pt idx="2">
                  <c:v>40.1256</c:v>
                </c:pt>
                <c:pt idx="3">
                  <c:v>54.8518</c:v>
                </c:pt>
                <c:pt idx="4">
                  <c:v>66.3717</c:v>
                </c:pt>
                <c:pt idx="5">
                  <c:v>76.5248</c:v>
                </c:pt>
                <c:pt idx="6">
                  <c:v>84.8348</c:v>
                </c:pt>
                <c:pt idx="7">
                  <c:v>91.7893</c:v>
                </c:pt>
                <c:pt idx="8">
                  <c:v>101.7994</c:v>
                </c:pt>
                <c:pt idx="9">
                  <c:v>110.3192</c:v>
                </c:pt>
                <c:pt idx="10">
                  <c:v>134.9235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当月</c:v>
                </c:pt>
              </c:strCache>
            </c:strRef>
          </c:tx>
          <c:spPr>
            <a:pattFill prst="lgGrid">
              <a:fgClr>
                <a:schemeClr val="accent1"/>
              </a:fgClr>
              <a:bgClr>
                <a:schemeClr val="bg1"/>
              </a:bgClr>
            </a:pattFill>
            <a:ln w="6350" cmpd="sng">
              <a:solidFill>
                <a:schemeClr val="accent1"/>
              </a:solidFill>
              <a:prstDash val="solid"/>
            </a:ln>
            <a:effectLst/>
          </c:spPr>
          <c:invertIfNegative val="0"/>
          <c:dLbls>
            <c:delete val="1"/>
          </c:dLbls>
          <c:cat>
            <c:strRef>
              <c:f>Sheet1!$B$1:$L$1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Sheet1!$B$3:$L$3</c:f>
              <c:numCache>
                <c:formatCode>0.00_ </c:formatCode>
                <c:ptCount val="11"/>
                <c:pt idx="0">
                  <c:v>21.607</c:v>
                </c:pt>
                <c:pt idx="1">
                  <c:v>18.5186</c:v>
                </c:pt>
                <c:pt idx="2">
                  <c:v>14.7262</c:v>
                </c:pt>
                <c:pt idx="3">
                  <c:v>11.5199</c:v>
                </c:pt>
                <c:pt idx="4">
                  <c:v>10.1531</c:v>
                </c:pt>
                <c:pt idx="5">
                  <c:v>8.31</c:v>
                </c:pt>
                <c:pt idx="6">
                  <c:v>6.9545</c:v>
                </c:pt>
                <c:pt idx="7">
                  <c:v>10.0101</c:v>
                </c:pt>
                <c:pt idx="8">
                  <c:v>8.5198</c:v>
                </c:pt>
                <c:pt idx="9">
                  <c:v>24.6043</c:v>
                </c:pt>
                <c:pt idx="10">
                  <c:v>22.9636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2903802"/>
        <c:axId val="707195971"/>
      </c:barChart>
      <c:lineChart>
        <c:grouping val="standar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增速</c:v>
                </c:pt>
              </c:strCache>
            </c:strRef>
          </c:tx>
          <c:spPr>
            <a:ln w="158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Sheet1!$B$1:$L$1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Sheet1!$B$4:$L$4</c:f>
              <c:numCache>
                <c:formatCode>0.0%</c:formatCode>
                <c:ptCount val="11"/>
                <c:pt idx="0">
                  <c:v>-0.229</c:v>
                </c:pt>
                <c:pt idx="1">
                  <c:v>-0.342</c:v>
                </c:pt>
                <c:pt idx="2">
                  <c:v>-0.25</c:v>
                </c:pt>
                <c:pt idx="3">
                  <c:v>-0.247</c:v>
                </c:pt>
                <c:pt idx="4">
                  <c:v>-0.248</c:v>
                </c:pt>
                <c:pt idx="5">
                  <c:v>-0.332</c:v>
                </c:pt>
                <c:pt idx="6">
                  <c:v>-0.356</c:v>
                </c:pt>
                <c:pt idx="7">
                  <c:v>-0.366</c:v>
                </c:pt>
                <c:pt idx="8">
                  <c:v>-0.343</c:v>
                </c:pt>
                <c:pt idx="9">
                  <c:v>-0.236</c:v>
                </c:pt>
                <c:pt idx="10">
                  <c:v>-0.185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76305980"/>
        <c:axId val="910800504"/>
      </c:lineChart>
      <c:catAx>
        <c:axId val="3629038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accent1"/>
            </a:solidFill>
            <a:round/>
            <a:headEnd type="none"/>
            <a:tailEnd type="triangle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7195971"/>
        <c:crosses val="autoZero"/>
        <c:auto val="1"/>
        <c:lblAlgn val="ctr"/>
        <c:lblOffset val="100"/>
        <c:noMultiLvlLbl val="0"/>
      </c:catAx>
      <c:valAx>
        <c:axId val="707195971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b="1"/>
                  <a:t>商品房销售面积（万平方米）</a:t>
                </a:r>
                <a:endParaRPr b="1"/>
              </a:p>
            </c:rich>
          </c:tx>
          <c:layout>
            <c:manualLayout>
              <c:xMode val="edge"/>
              <c:yMode val="edge"/>
              <c:x val="0.00354233085370174"/>
              <c:y val="0.21060561798718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mpd="sng">
            <a:solidFill>
              <a:schemeClr val="accent1"/>
            </a:solidFill>
            <a:prstDash val="solid"/>
            <a:tailEnd type="triangle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2903802"/>
        <c:crosses val="autoZero"/>
        <c:crossBetween val="between"/>
      </c:valAx>
      <c:catAx>
        <c:axId val="376305980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0800504"/>
        <c:crosses val="autoZero"/>
        <c:auto val="1"/>
        <c:lblAlgn val="ctr"/>
        <c:lblOffset val="100"/>
        <c:noMultiLvlLbl val="0"/>
      </c:catAx>
      <c:valAx>
        <c:axId val="910800504"/>
        <c:scaling>
          <c:orientation val="minMax"/>
          <c:min val="-1.6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商品房销售面积同比增速（</a:t>
                </a:r>
                <a:r>
                  <a:rPr lang="en-US" altLang="zh-CN"/>
                  <a:t>%</a:t>
                </a:r>
                <a:r>
                  <a:t>）</a:t>
                </a:r>
              </a:p>
            </c:rich>
          </c:tx>
          <c:layout>
            <c:manualLayout>
              <c:xMode val="edge"/>
              <c:yMode val="edge"/>
              <c:x val="0.964104380682489"/>
              <c:y val="0.21380887544259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6305980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612878526189615"/>
          <c:y val="0.00635727908455181"/>
          <c:w val="0.383579142956683"/>
          <c:h val="0.10944700460829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noFill/>
      <a:prstDash val="solid"/>
      <a:round/>
    </a:ln>
    <a:effectLst/>
  </c:spPr>
  <c:txPr>
    <a:bodyPr/>
    <a:lstStyle/>
    <a:p>
      <a:pPr>
        <a:defRPr lang="zh-CN" b="1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15875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2597</Words>
  <Characters>3098</Characters>
  <Lines>0</Lines>
  <Paragraphs>0</Paragraphs>
  <ScaleCrop>false</ScaleCrop>
  <LinksUpToDate>false</LinksUpToDate>
  <CharactersWithSpaces>3111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2021-04-13T01:15:00Z</dcterms:created>
  <dc:creator>lmx</dc:creator>
  <cp:lastModifiedBy>HP</cp:lastModifiedBy>
  <cp:lastPrinted>2023-01-30T08:57:00Z</cp:lastPrinted>
  <dcterms:modified xsi:type="dcterms:W3CDTF">2023-02-20T03:29:35Z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  <property fmtid="{D5CDD505-2E9C-101B-9397-08002B2CF9AE}" pid="3" name="ICV">
    <vt:lpwstr>63120384B8C04495A7F5E8EC13D2F472</vt:lpwstr>
  </property>
</Properties>
</file>