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61312;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南安市统计局  编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13</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62336;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ind w:left="0" w:leftChars="0" w:right="0" w:rightChars="0" w:firstLine="0" w:firstLineChars="0"/>
        <w:jc w:val="center"/>
        <w:textAlignment w:val="auto"/>
        <w:outlineLvl w:val="0"/>
        <w:rPr>
          <w:rFonts w:hint="eastAsia" w:ascii="黑体" w:hAnsi="黑体" w:eastAsia="黑体" w:cs="黑体"/>
          <w:b/>
          <w:bCs/>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2022年南安市建筑业生产稳健增长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2022年，全市建筑企业共克时艰，努力克服点状疫情散发、材料价格变动、房地产市场低迷、资金回笼不足等不利因素影响，生产经营活动稳步推进，总体保持稳健增长态势。</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总体运行情况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全市在库建筑业企业数量继续增多，总承包和专业承包资质建筑业总产值保持平稳增长，签订合同额稳步提高，劳动生产率有所提高，但全市企业行业外向度降低，利润总额降低，行业产值利润率下降，推动建筑业平稳向好发展还需继续加力。</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2022年我市在统资质以上建筑业企业161家，实现建筑业产值152.12亿元，增长17.5%。从增长曲线看（图1），近两年建筑业产值增速呈波动增长态势，整体态势趋稳。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eastAsia="仿宋_GB2312" w:hAnsiTheme="minorEastAsia" w:cstheme="minorEastAsia"/>
          <w:color w:val="auto"/>
          <w:kern w:val="0"/>
          <w:sz w:val="32"/>
          <w:szCs w:val="32"/>
          <w:highlight w:val="none"/>
          <w:lang w:val="en-US" w:eastAsia="zh-CN" w:bidi="ar-SA"/>
        </w:rPr>
      </w:pPr>
      <w:r>
        <w:rPr>
          <w:rFonts w:hint="eastAsia" w:ascii="仿宋_GB2312" w:eastAsia="仿宋_GB2312" w:hAnsiTheme="minorEastAsia" w:cstheme="minorEastAsia"/>
          <w:color w:val="auto"/>
          <w:kern w:val="0"/>
          <w:sz w:val="32"/>
          <w:szCs w:val="32"/>
          <w:highlight w:val="none"/>
          <w:lang w:val="en-US" w:eastAsia="zh-CN" w:bidi="ar-SA"/>
        </w:rPr>
        <w:drawing>
          <wp:inline distT="0" distB="0" distL="114300" distR="114300">
            <wp:extent cx="5168265" cy="2571750"/>
            <wp:effectExtent l="0" t="0" r="13335" b="38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eastAsia="仿宋_GB2312" w:hAnsiTheme="minorEastAsia" w:cstheme="minorEastAsia"/>
          <w:b/>
          <w:bCs/>
          <w:color w:val="auto"/>
          <w:kern w:val="0"/>
          <w:sz w:val="32"/>
          <w:szCs w:val="32"/>
          <w:highlight w:val="none"/>
          <w:lang w:val="en-US" w:eastAsia="zh-CN"/>
        </w:rPr>
      </w:pPr>
      <w:r>
        <w:rPr>
          <w:rFonts w:hint="eastAsia" w:ascii="楷体" w:hAnsi="楷体" w:eastAsia="楷体" w:cs="楷体"/>
          <w:b w:val="0"/>
          <w:bCs w:val="0"/>
          <w:color w:val="auto"/>
          <w:kern w:val="0"/>
          <w:sz w:val="30"/>
          <w:szCs w:val="30"/>
          <w:highlight w:val="none"/>
          <w:lang w:val="en-US" w:eastAsia="zh-CN"/>
        </w:rPr>
        <w:t>图1  2021-2022年南安市建筑业产值增速图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580" w:lineRule="exact"/>
        <w:ind w:left="0" w:leftChars="0" w:right="0" w:rightChars="0" w:firstLine="640" w:firstLineChars="200"/>
        <w:jc w:val="both"/>
        <w:textAlignment w:val="auto"/>
        <w:outlineLvl w:val="9"/>
        <w:rPr>
          <w:rFonts w:hint="eastAsia" w:ascii="楷体" w:hAnsi="楷体" w:eastAsia="楷体" w:cs="楷体"/>
          <w:b w:val="0"/>
          <w:bCs w:val="0"/>
          <w:color w:val="auto"/>
          <w:kern w:val="0"/>
          <w:sz w:val="30"/>
          <w:szCs w:val="30"/>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269875</wp:posOffset>
            </wp:positionH>
            <wp:positionV relativeFrom="page">
              <wp:posOffset>5852160</wp:posOffset>
            </wp:positionV>
            <wp:extent cx="5013960" cy="2049780"/>
            <wp:effectExtent l="0" t="0" r="0" b="7620"/>
            <wp:wrapTopAndBottom/>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rcRect l="7745" t="18042" r="1381" b="14708"/>
                    <a:stretch>
                      <a:fillRect/>
                    </a:stretch>
                  </pic:blipFill>
                  <pic:spPr>
                    <a:xfrm>
                      <a:off x="0" y="0"/>
                      <a:ext cx="5013960" cy="2049780"/>
                    </a:xfrm>
                    <a:prstGeom prst="rect">
                      <a:avLst/>
                    </a:prstGeom>
                  </pic:spPr>
                </pic:pic>
              </a:graphicData>
            </a:graphic>
          </wp:anchor>
        </w:drawing>
      </w:r>
      <w:r>
        <w:rPr>
          <w:rFonts w:hint="default" w:ascii="Times New Roman" w:hAnsi="Times New Roman" w:eastAsia="仿宋_GB2312" w:cs="Times New Roman"/>
          <w:b/>
          <w:bCs/>
          <w:color w:val="auto"/>
          <w:kern w:val="0"/>
          <w:sz w:val="32"/>
          <w:szCs w:val="32"/>
          <w:highlight w:val="none"/>
          <w:lang w:val="en-US" w:eastAsia="zh-CN" w:bidi="ar-SA"/>
        </w:rPr>
        <w:t>从地域划分看，省内完成产值强力拉动。</w:t>
      </w:r>
      <w:r>
        <w:rPr>
          <w:rFonts w:hint="default" w:ascii="Times New Roman" w:hAnsi="Times New Roman" w:eastAsia="仿宋_GB2312" w:cs="Times New Roman"/>
          <w:color w:val="auto"/>
          <w:kern w:val="0"/>
          <w:sz w:val="32"/>
          <w:szCs w:val="32"/>
          <w:highlight w:val="none"/>
          <w:lang w:val="en-US" w:eastAsia="zh-CN" w:bidi="ar-SA"/>
        </w:rPr>
        <w:t>省内完成102.36亿元，占总产值的67.3%，增长25.9%，拉动增长16.3个百分点，贡献率达93.1%；外省完成产值49.76亿元，仅拉动增长1.2个百分点。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楷体" w:hAnsi="楷体" w:eastAsia="楷体" w:cs="楷体"/>
          <w:b/>
          <w:bCs/>
          <w:color w:val="auto"/>
          <w:kern w:val="0"/>
          <w:sz w:val="30"/>
          <w:szCs w:val="30"/>
          <w:highlight w:val="none"/>
          <w:lang w:val="en-US" w:eastAsia="zh-CN"/>
        </w:rPr>
      </w:pPr>
      <w:r>
        <w:rPr>
          <w:rFonts w:hint="eastAsia" w:ascii="楷体" w:hAnsi="楷体" w:eastAsia="楷体" w:cs="楷体"/>
          <w:b w:val="0"/>
          <w:bCs w:val="0"/>
          <w:color w:val="auto"/>
          <w:kern w:val="0"/>
          <w:sz w:val="30"/>
          <w:szCs w:val="30"/>
          <w:highlight w:val="none"/>
          <w:lang w:val="en-US" w:eastAsia="zh-CN"/>
        </w:rPr>
        <w:t>图2  2022年南安市建筑业产值结构图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仿宋_GB2312" w:cs="Times New Roman"/>
          <w:b/>
          <w:bCs/>
          <w:color w:val="auto"/>
          <w:kern w:val="0"/>
          <w:sz w:val="32"/>
          <w:szCs w:val="32"/>
          <w:highlight w:val="none"/>
          <w:lang w:val="en-US" w:eastAsia="zh-CN" w:bidi="ar-SA"/>
        </w:rPr>
      </w:pPr>
      <w:r>
        <w:rPr>
          <w:rFonts w:hint="eastAsia" w:ascii="仿宋_GB2312" w:eastAsia="仿宋_GB2312" w:hAnsiTheme="minorEastAsia" w:cstheme="minorEastAsia"/>
          <w:b/>
          <w:bCs/>
          <w:color w:val="auto"/>
          <w:kern w:val="0"/>
          <w:sz w:val="32"/>
          <w:szCs w:val="32"/>
          <w:highlight w:val="none"/>
          <w:lang w:val="en-US" w:eastAsia="zh-CN" w:bidi="ar-SA"/>
        </w:rPr>
        <w:t>从</w:t>
      </w:r>
      <w:r>
        <w:rPr>
          <w:rFonts w:hint="default" w:ascii="Times New Roman" w:hAnsi="Times New Roman" w:eastAsia="仿宋_GB2312" w:cs="Times New Roman"/>
          <w:b/>
          <w:bCs/>
          <w:color w:val="auto"/>
          <w:kern w:val="0"/>
          <w:sz w:val="32"/>
          <w:szCs w:val="32"/>
          <w:highlight w:val="none"/>
          <w:lang w:val="en-US" w:eastAsia="zh-CN" w:bidi="ar-SA"/>
        </w:rPr>
        <w:t>产值构成看，建筑工程产值是增长的主力军。</w:t>
      </w:r>
      <w:r>
        <w:rPr>
          <w:rFonts w:hint="default" w:ascii="Times New Roman" w:hAnsi="Times New Roman" w:eastAsia="仿宋_GB2312" w:cs="Times New Roman"/>
          <w:b w:val="0"/>
          <w:bCs w:val="0"/>
          <w:color w:val="auto"/>
          <w:kern w:val="0"/>
          <w:sz w:val="32"/>
          <w:szCs w:val="32"/>
          <w:highlight w:val="none"/>
          <w:lang w:val="en-US" w:eastAsia="zh-CN" w:bidi="ar-SA"/>
        </w:rPr>
        <w:t>建筑工程产值142.35亿元，占总产值的93.6%，增长17.6%，拉动增长16.5个百分点，贡献率达94.2%；安装工程产值4.92亿元，下降25.9%；其他建筑业产值4.85亿元，拉动增长2.3个百分点。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从行业类型看，房屋建筑业产值一骑绝尘，</w:t>
      </w:r>
      <w:r>
        <w:rPr>
          <w:rFonts w:hint="default" w:ascii="Times New Roman" w:hAnsi="Times New Roman" w:eastAsia="仿宋_GB2312" w:cs="Times New Roman"/>
          <w:b w:val="0"/>
          <w:bCs w:val="0"/>
          <w:color w:val="auto"/>
          <w:kern w:val="0"/>
          <w:sz w:val="32"/>
          <w:szCs w:val="32"/>
          <w:highlight w:val="none"/>
          <w:lang w:val="en-US" w:eastAsia="zh-CN" w:bidi="ar-SA"/>
        </w:rPr>
        <w:t>房屋建筑业产值96.63亿元，增长30.9%，拉动增长17.6个百分点；土木工程建筑业产值33.89亿元，增长4.1%，拉动增长1.0个百分点，两者的强势拉动有效抵减了建筑安装业、建筑装饰、装修和其他建筑业负增长带来的影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0"/>
          <w:sz w:val="32"/>
          <w:szCs w:val="32"/>
          <w:highlight w:val="none"/>
          <w:lang w:val="en-US" w:eastAsia="zh-CN" w:bidi="ar-SA"/>
        </w:rPr>
        <w:t>从经济类型看，民营企业主导地位进一步稳固。</w:t>
      </w:r>
      <w:r>
        <w:rPr>
          <w:rFonts w:hint="default" w:ascii="Times New Roman" w:hAnsi="Times New Roman" w:eastAsia="仿宋_GB2312" w:cs="Times New Roman"/>
          <w:color w:val="auto"/>
          <w:kern w:val="0"/>
          <w:sz w:val="32"/>
          <w:szCs w:val="32"/>
          <w:highlight w:val="none"/>
          <w:lang w:val="en-US" w:eastAsia="zh-CN" w:bidi="ar-SA"/>
        </w:rPr>
        <w:t>159家民营企业完成产值151.90亿元，增长17.6%；总量占全市总产值的99.9%。</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主要运行特点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市场主体培育逐步显现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新增入库建筑业企业20家，完成产值4.87亿元，拉动建筑业总产值增长3.8个百分点，贡献率达21.5%，极大推动建筑业产值增长；签订合同额7.21亿元，占全市签订合同的2.8%，拉动本年签订合同额增长3.4个百分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重点企业发挥头雁效应</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从产值贡献看，</w:t>
      </w:r>
      <w:r>
        <w:rPr>
          <w:rFonts w:hint="default" w:ascii="Times New Roman" w:hAnsi="Times New Roman" w:eastAsia="仿宋_GB2312" w:cs="Times New Roman"/>
          <w:color w:val="auto"/>
          <w:kern w:val="0"/>
          <w:sz w:val="32"/>
          <w:szCs w:val="32"/>
          <w:highlight w:val="none"/>
          <w:lang w:val="en-US" w:eastAsia="zh-CN" w:bidi="ar-SA"/>
        </w:rPr>
        <w:t>全市产值前30强企业共完成产值134.93亿元，比增28.8%。其中，产值前10强企业完成产值108.30亿元，比增29.0%，高于整体建筑业总产值增速11.5个百分点，呈现出明显的聚集发展态势。  </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rPr>
          <w:rFonts w:hint="default" w:ascii="仿宋_GB2312" w:eastAsia="仿宋_GB2312" w:hAnsiTheme="minorEastAsia" w:cstheme="minorEastAsia"/>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从拉动作用说，一级企业拉动作用显著。</w:t>
      </w:r>
      <w:r>
        <w:rPr>
          <w:rFonts w:hint="default" w:ascii="Times New Roman" w:hAnsi="Times New Roman" w:eastAsia="仿宋_GB2312" w:cs="Times New Roman"/>
          <w:color w:val="auto"/>
          <w:kern w:val="0"/>
          <w:sz w:val="32"/>
          <w:szCs w:val="32"/>
          <w:highlight w:val="none"/>
          <w:lang w:val="en-US" w:eastAsia="zh-CN" w:bidi="ar-SA"/>
        </w:rPr>
        <w:t>我市一级资质建筑企业33家，约占全市建筑业企业的五分之一；完成产值121.26亿元，增长41.6%，拉动增长27.5个百分点</w:t>
      </w:r>
      <w:r>
        <w:rPr>
          <w:rFonts w:hint="default" w:ascii="仿宋_GB2312" w:eastAsia="仿宋_GB2312" w:hAnsiTheme="minorEastAsia" w:cstheme="minorEastAsia"/>
          <w:color w:val="auto"/>
          <w:kern w:val="0"/>
          <w:sz w:val="32"/>
          <w:szCs w:val="32"/>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黑体" w:hAnsi="黑体" w:eastAsia="黑体" w:cs="黑体"/>
          <w:b w:val="0"/>
          <w:bCs w:val="0"/>
          <w:color w:val="auto"/>
          <w:kern w:val="0"/>
          <w:sz w:val="30"/>
          <w:szCs w:val="30"/>
          <w:highlight w:val="none"/>
          <w:lang w:val="en-US" w:eastAsia="zh-CN"/>
        </w:rPr>
      </w:pPr>
      <w:r>
        <w:rPr>
          <w:rFonts w:hint="eastAsia" w:ascii="楷体" w:hAnsi="楷体" w:eastAsia="楷体" w:cs="楷体"/>
          <w:b w:val="0"/>
          <w:bCs w:val="0"/>
          <w:color w:val="auto"/>
          <w:kern w:val="0"/>
          <w:sz w:val="30"/>
          <w:szCs w:val="30"/>
          <w:highlight w:val="none"/>
          <w:lang w:val="en-US" w:eastAsia="zh-CN"/>
        </w:rPr>
        <w:t xml:space="preserve"> 表1  2022年南安市资质建筑业产值表（分级别</w:t>
      </w:r>
      <w:r>
        <w:rPr>
          <w:rFonts w:hint="eastAsia" w:ascii="黑体" w:hAnsi="黑体" w:eastAsia="黑体" w:cs="黑体"/>
          <w:b w:val="0"/>
          <w:bCs w:val="0"/>
          <w:color w:val="auto"/>
          <w:kern w:val="0"/>
          <w:sz w:val="30"/>
          <w:szCs w:val="30"/>
          <w:highlight w:val="none"/>
          <w:lang w:val="en-US" w:eastAsia="zh-CN"/>
        </w:rPr>
        <w:t>）</w:t>
      </w:r>
    </w:p>
    <w:tbl>
      <w:tblPr>
        <w:tblStyle w:val="16"/>
        <w:tblW w:w="8342"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200"/>
        <w:gridCol w:w="1347"/>
        <w:gridCol w:w="1409"/>
        <w:gridCol w:w="1567"/>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8" w:type="dxa"/>
            <w:vMerge w:val="restart"/>
            <w:tcBorders>
              <w:top w:val="single" w:color="auto" w:sz="12" w:space="0"/>
              <w:lef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资质级别</w:t>
            </w:r>
          </w:p>
        </w:tc>
        <w:tc>
          <w:tcPr>
            <w:tcW w:w="1200" w:type="dxa"/>
            <w:tcBorders>
              <w:top w:val="single" w:color="auto" w:sz="12"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企业数</w:t>
            </w:r>
          </w:p>
        </w:tc>
        <w:tc>
          <w:tcPr>
            <w:tcW w:w="1347" w:type="dxa"/>
            <w:tcBorders>
              <w:top w:val="single" w:color="auto" w:sz="12" w:space="0"/>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企业数</w:t>
            </w:r>
          </w:p>
        </w:tc>
        <w:tc>
          <w:tcPr>
            <w:tcW w:w="1409" w:type="dxa"/>
            <w:tcBorders>
              <w:top w:val="single" w:color="auto" w:sz="12" w:space="0"/>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产值</w:t>
            </w:r>
          </w:p>
        </w:tc>
        <w:tc>
          <w:tcPr>
            <w:tcW w:w="1567" w:type="dxa"/>
            <w:tcBorders>
              <w:top w:val="single" w:color="auto" w:sz="12" w:space="0"/>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产值</w:t>
            </w:r>
          </w:p>
        </w:tc>
        <w:tc>
          <w:tcPr>
            <w:tcW w:w="1321" w:type="dxa"/>
            <w:vMerge w:val="restart"/>
            <w:tcBorders>
              <w:top w:val="single" w:color="auto" w:sz="12" w:space="0"/>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比增（%）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98" w:type="dxa"/>
            <w:vMerge w:val="continue"/>
            <w:tcBorders>
              <w:lef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（个）</w:t>
            </w:r>
          </w:p>
        </w:tc>
        <w:tc>
          <w:tcPr>
            <w:tcW w:w="1347" w:type="dxa"/>
            <w:tcBorders>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占比（%）</w:t>
            </w:r>
          </w:p>
        </w:tc>
        <w:tc>
          <w:tcPr>
            <w:tcW w:w="1409" w:type="dxa"/>
            <w:tcBorders>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（亿元）</w:t>
            </w:r>
          </w:p>
        </w:tc>
        <w:tc>
          <w:tcPr>
            <w:tcW w:w="1567" w:type="dxa"/>
            <w:tcBorders>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占比（%）</w:t>
            </w:r>
          </w:p>
        </w:tc>
        <w:tc>
          <w:tcPr>
            <w:tcW w:w="1321" w:type="dxa"/>
            <w:vMerge w:val="continue"/>
            <w:tcBorders>
              <w:righ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498" w:type="dxa"/>
            <w:tcBorders>
              <w:lef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一级</w:t>
            </w:r>
          </w:p>
        </w:tc>
        <w:tc>
          <w:tcPr>
            <w:tcW w:w="1200" w:type="dxa"/>
            <w:tcBorders>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33</w:t>
            </w:r>
          </w:p>
        </w:tc>
        <w:tc>
          <w:tcPr>
            <w:tcW w:w="1347"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20.5%</w:t>
            </w:r>
          </w:p>
        </w:tc>
        <w:tc>
          <w:tcPr>
            <w:tcW w:w="1409"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 xml:space="preserve">121.26 </w:t>
            </w:r>
          </w:p>
        </w:tc>
        <w:tc>
          <w:tcPr>
            <w:tcW w:w="1567"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79.7%</w:t>
            </w:r>
          </w:p>
        </w:tc>
        <w:tc>
          <w:tcPr>
            <w:tcW w:w="1321"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498" w:type="dxa"/>
            <w:tcBorders>
              <w:left w:val="nil"/>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二级</w:t>
            </w:r>
          </w:p>
        </w:tc>
        <w:tc>
          <w:tcPr>
            <w:tcW w:w="1200" w:type="dxa"/>
            <w:tcBorders>
              <w:top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50</w:t>
            </w:r>
          </w:p>
        </w:tc>
        <w:tc>
          <w:tcPr>
            <w:tcW w:w="1347"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31.1%</w:t>
            </w:r>
          </w:p>
        </w:tc>
        <w:tc>
          <w:tcPr>
            <w:tcW w:w="1409"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 xml:space="preserve">15.85 </w:t>
            </w:r>
          </w:p>
        </w:tc>
        <w:tc>
          <w:tcPr>
            <w:tcW w:w="1567"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10.4%</w:t>
            </w:r>
          </w:p>
        </w:tc>
        <w:tc>
          <w:tcPr>
            <w:tcW w:w="1321" w:type="dxa"/>
            <w:tcBorders>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98" w:type="dxa"/>
            <w:tcBorders>
              <w:left w:val="nil"/>
              <w:bottom w:val="single" w:color="auto" w:sz="12"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三级</w:t>
            </w:r>
          </w:p>
        </w:tc>
        <w:tc>
          <w:tcPr>
            <w:tcW w:w="1200" w:type="dxa"/>
            <w:tcBorders>
              <w:top w:val="single" w:color="000000" w:sz="4" w:space="0"/>
              <w:bottom w:val="single" w:color="auto" w:sz="12"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78</w:t>
            </w:r>
          </w:p>
        </w:tc>
        <w:tc>
          <w:tcPr>
            <w:tcW w:w="1347" w:type="dxa"/>
            <w:tcBorders>
              <w:bottom w:val="single" w:color="auto" w:sz="12" w:space="0"/>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48.4%</w:t>
            </w:r>
          </w:p>
        </w:tc>
        <w:tc>
          <w:tcPr>
            <w:tcW w:w="1409" w:type="dxa"/>
            <w:tcBorders>
              <w:bottom w:val="single" w:color="auto" w:sz="12" w:space="0"/>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 xml:space="preserve">15.01 </w:t>
            </w:r>
          </w:p>
        </w:tc>
        <w:tc>
          <w:tcPr>
            <w:tcW w:w="1567" w:type="dxa"/>
            <w:tcBorders>
              <w:bottom w:val="single" w:color="auto" w:sz="12" w:space="0"/>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9.9%</w:t>
            </w:r>
          </w:p>
        </w:tc>
        <w:tc>
          <w:tcPr>
            <w:tcW w:w="1321" w:type="dxa"/>
            <w:tcBorders>
              <w:bottom w:val="single" w:color="auto" w:sz="12" w:space="0"/>
              <w:right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57.3%</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劳动生产效率明显提升</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我市从事建筑业活动的从业人员平均人数达4.89万人，增长2.3%。有效缓解了人口就业压力，同时也为全市的经济增长和人民增收做出了重要贡献。随着技术进步、设备更新加快，全市生产效率也不断提高。我市建筑业企业劳动生产率为31.09万元/人，增长14.8%。建筑业企业劳动生产率明显提升，经济效益不断优化。</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新签合同额快速增长</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outlineLvl w:val="9"/>
        <w:rPr>
          <w:rFonts w:hint="default" w:ascii="仿宋_GB2312" w:eastAsia="仿宋_GB2312" w:hAnsiTheme="minorEastAsia" w:cstheme="minorEastAsia"/>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我市在统资质以上建筑业企业共签订建筑合同额259.30亿元，增长23.3%。其中上年结转建筑合同额110.28亿元，增长34.3%，本年新签合同额149.02亿元，增长16.2%。建筑业企业新签订单储备充足，为2022年全市建筑业稳步增长提供了有力保障</w:t>
      </w:r>
      <w:r>
        <w:rPr>
          <w:rFonts w:hint="eastAsia" w:ascii="仿宋_GB2312" w:eastAsia="仿宋_GB2312" w:hAnsiTheme="minorEastAsia" w:cstheme="minorEastAsia"/>
          <w:color w:val="auto"/>
          <w:kern w:val="0"/>
          <w:sz w:val="32"/>
          <w:szCs w:val="32"/>
          <w:highlight w:val="none"/>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建筑业产值掣肘问题</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房屋竣工面积增幅高于施工面积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我市房屋施工面积988.47万平方米，增长27.3%，其中一级资质企业施工面积749.36万平方米，占我市建筑施工面积的75.8%，增长71.9%。房屋竣工面积282.24万平方米，增长55.1%。房屋竣工面积增幅远远高于房屋施工面积增幅，表明企业施工项目周期速缩短，后续承揽工程压力较大。</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省外市场产值占比进一步下降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color w:val="0000FF"/>
          <w:lang w:val="en-US" w:eastAsia="zh-CN"/>
        </w:rPr>
      </w:pPr>
      <w:r>
        <w:drawing>
          <wp:anchor distT="0" distB="0" distL="114300" distR="114300" simplePos="0" relativeHeight="251664384" behindDoc="0" locked="0" layoutInCell="1" allowOverlap="1">
            <wp:simplePos x="0" y="0"/>
            <wp:positionH relativeFrom="column">
              <wp:posOffset>-212725</wp:posOffset>
            </wp:positionH>
            <wp:positionV relativeFrom="page">
              <wp:posOffset>6137275</wp:posOffset>
            </wp:positionV>
            <wp:extent cx="5471795" cy="3392170"/>
            <wp:effectExtent l="0" t="0" r="0" b="0"/>
            <wp:wrapTopAndBottom/>
            <wp:docPr id="18640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仿宋_GB2312" w:cs="Times New Roman"/>
          <w:color w:val="auto"/>
          <w:kern w:val="0"/>
          <w:sz w:val="32"/>
          <w:szCs w:val="32"/>
          <w:highlight w:val="none"/>
          <w:lang w:val="en-US" w:eastAsia="zh-CN" w:bidi="ar-SA"/>
        </w:rPr>
        <w:t>到2022年底，我市外省完成产值49.76亿元，增长3.2%，增长贡献率仅6.9%。建筑业企业外向度为32.7%，较去年同期（37.2%）下降4.5个百分点，一定程度上反映我市外省建筑业市场融合度的减弱。从分布省份看，我市建筑业企业外省承揽工程涉足28个省份，遍及全国，其中海南、江苏工程量最多，浙江、四川和辽宁次之。</w:t>
      </w:r>
      <w:r>
        <w:rPr>
          <w:rFonts w:hint="eastAsia" w:ascii="仿宋_GB2312" w:eastAsia="仿宋_GB2312" w:hAnsiTheme="minorEastAsia" w:cstheme="minorEastAsia"/>
          <w:color w:val="auto"/>
          <w:kern w:val="0"/>
          <w:sz w:val="32"/>
          <w:szCs w:val="32"/>
          <w:highlight w:val="none"/>
          <w:lang w:val="en-US" w:eastAsia="zh-CN" w:bidi="ar-SA"/>
        </w:rPr>
        <w:t> </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企业增收不盈利现象较突出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hAnsiTheme="minorEastAsia" w:cstheme="minorEastAsia"/>
          <w:color w:val="auto"/>
          <w:kern w:val="0"/>
          <w:sz w:val="32"/>
          <w:szCs w:val="32"/>
          <w:highlight w:val="none"/>
          <w:lang w:val="en-US" w:eastAsia="zh-CN" w:bidi="ar-SA"/>
        </w:rPr>
      </w:pPr>
      <w:r>
        <w:rPr>
          <w:rFonts w:hint="eastAsia" w:ascii="仿宋_GB2312" w:eastAsia="仿宋_GB2312" w:hAnsiTheme="minorEastAsia" w:cstheme="minorEastAsia"/>
          <w:color w:val="auto"/>
          <w:kern w:val="0"/>
          <w:sz w:val="32"/>
          <w:szCs w:val="32"/>
          <w:highlight w:val="none"/>
          <w:lang w:val="en-US" w:eastAsia="zh-CN" w:bidi="ar-SA"/>
        </w:rPr>
        <w:t>2022年受全国点状疫情散发、本地疫情防控、雨季延误施工进度、环保压力升级、拖欠工程款等多重因素影响，建筑业企业盈利能力进一步减弱。我市在统建筑业企业实现营业收入101.64亿元，增长4.5%；营业成本90.72亿元，增长4.1%，占收入的比重89.6%。企业利润总额5.19亿元，下降10.2%，</w:t>
      </w:r>
      <w:r>
        <w:rPr>
          <w:rFonts w:hint="default" w:ascii="仿宋_GB2312" w:eastAsia="仿宋_GB2312" w:hAnsiTheme="minorEastAsia" w:cstheme="minorEastAsia"/>
          <w:color w:val="auto"/>
          <w:kern w:val="0"/>
          <w:sz w:val="32"/>
          <w:szCs w:val="32"/>
          <w:highlight w:val="none"/>
          <w:lang w:val="en-US" w:eastAsia="zh-CN" w:bidi="ar-SA"/>
        </w:rPr>
        <w:t>陷入增收不盈利的困局。</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黑体" w:hAnsi="黑体" w:eastAsia="黑体" w:cstheme="minorEastAsia"/>
          <w:bCs/>
          <w:color w:val="auto"/>
          <w:kern w:val="0"/>
          <w:sz w:val="32"/>
          <w:szCs w:val="32"/>
          <w:highlight w:val="none"/>
          <w:lang w:val="en-US" w:eastAsia="zh-CN"/>
        </w:rPr>
      </w:pPr>
      <w:r>
        <w:rPr>
          <w:rFonts w:hint="eastAsia" w:ascii="黑体" w:hAnsi="黑体" w:eastAsia="黑体" w:cstheme="minorEastAsia"/>
          <w:bCs/>
          <w:color w:val="auto"/>
          <w:kern w:val="0"/>
          <w:sz w:val="32"/>
          <w:szCs w:val="32"/>
          <w:highlight w:val="none"/>
          <w:lang w:val="en-US" w:eastAsia="zh-CN"/>
        </w:rPr>
        <w:t>建筑业未来发展建议</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坚持培优扶强，提高整体竞争力</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eastAsia="仿宋_GB2312" w:hAnsiTheme="minorEastAsia" w:cstheme="minorEastAsia"/>
          <w:color w:val="auto"/>
          <w:kern w:val="0"/>
          <w:sz w:val="32"/>
          <w:szCs w:val="32"/>
          <w:highlight w:val="none"/>
          <w:lang w:val="en-US" w:eastAsia="zh-CN" w:bidi="ar-SA"/>
        </w:rPr>
      </w:pPr>
      <w:r>
        <w:rPr>
          <w:rFonts w:hint="eastAsia" w:ascii="仿宋_GB2312" w:eastAsia="仿宋_GB2312" w:hAnsiTheme="minorEastAsia" w:cstheme="minorEastAsia"/>
          <w:color w:val="auto"/>
          <w:kern w:val="0"/>
          <w:sz w:val="32"/>
          <w:szCs w:val="32"/>
          <w:highlight w:val="none"/>
          <w:lang w:val="en-US" w:eastAsia="zh-CN" w:bidi="ar-SA"/>
        </w:rPr>
        <w:t>从企业内部看，应加强内部经营管理，优化从业人员结构，提高人员素质；从经营环境看，应加大政策引导和扶持力度，加强人才的激励和培养，鼓励、引导、扶持企业提升资质等级。坚持培优扶强，着力培育一批具有核心竞争力和品牌影响力的企业，充分发挥示范引领作用，全面提升全市建筑业企业的综合实力和整体竞争能力。 </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加大政策支持，缓解企业经营压力</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eastAsia="仿宋_GB2312" w:hAnsiTheme="minorEastAsia" w:cstheme="minorEastAsia"/>
          <w:color w:val="auto"/>
          <w:kern w:val="0"/>
          <w:sz w:val="32"/>
          <w:szCs w:val="32"/>
          <w:highlight w:val="none"/>
          <w:lang w:val="en-US" w:eastAsia="zh-CN" w:bidi="ar-SA"/>
        </w:rPr>
      </w:pPr>
      <w:r>
        <w:rPr>
          <w:rFonts w:hint="eastAsia" w:ascii="仿宋_GB2312" w:eastAsia="仿宋_GB2312" w:hAnsiTheme="minorEastAsia" w:cstheme="minorEastAsia"/>
          <w:color w:val="auto"/>
          <w:kern w:val="0"/>
          <w:sz w:val="32"/>
          <w:szCs w:val="32"/>
          <w:highlight w:val="none"/>
          <w:lang w:val="en-US" w:eastAsia="zh-CN" w:bidi="ar-SA"/>
        </w:rPr>
        <w:t>应进一步落实已出台政策，缓解企业资金压力。加强惠企政策宣传力度，指导用好政策工具箱，增加企业流动资金，降低企业资金成本，助力企业缓解资金压力。 </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努力提升实力，抢占市场新蓝海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hAnsiTheme="minorEastAsia" w:cstheme="minorEastAsia"/>
          <w:color w:val="auto"/>
          <w:kern w:val="0"/>
          <w:sz w:val="32"/>
          <w:szCs w:val="32"/>
          <w:highlight w:val="none"/>
          <w:lang w:val="en-US" w:eastAsia="zh-CN" w:bidi="ar-SA"/>
        </w:rPr>
      </w:pPr>
      <w:r>
        <w:rPr>
          <w:rFonts w:hint="eastAsia" w:ascii="仿宋_GB2312" w:eastAsia="仿宋_GB2312" w:hAnsiTheme="minorEastAsia" w:cstheme="minorEastAsia"/>
          <w:color w:val="auto"/>
          <w:kern w:val="0"/>
          <w:sz w:val="32"/>
          <w:szCs w:val="32"/>
          <w:highlight w:val="none"/>
          <w:lang w:val="en-US" w:eastAsia="zh-CN" w:bidi="ar-SA"/>
        </w:rPr>
        <w:t>建筑业企业要努力加大力度开拓市内外市场，紧紧抓住国内基础设施建设、新基建、城镇老旧小区改造等发展新机遇，加强</w:t>
      </w:r>
      <w:bookmarkStart w:id="0" w:name="_GoBack"/>
      <w:bookmarkEnd w:id="0"/>
      <w:r>
        <w:rPr>
          <w:rFonts w:hint="eastAsia" w:ascii="仿宋_GB2312" w:eastAsia="仿宋_GB2312" w:hAnsiTheme="minorEastAsia" w:cstheme="minorEastAsia"/>
          <w:color w:val="auto"/>
          <w:kern w:val="0"/>
          <w:sz w:val="32"/>
          <w:szCs w:val="32"/>
          <w:highlight w:val="none"/>
          <w:lang w:val="en-US" w:eastAsia="zh-CN" w:bidi="ar-SA"/>
        </w:rPr>
        <w:t>企业技术装备，提升企业在绿色节能、低碳环保和新能源领域的施工能力，努力打造企业品牌抢占高端建筑市场，培育我市建筑业企业产业化发展的新领域，为持续发展提供新动力。</w:t>
      </w:r>
    </w:p>
    <w:p>
      <w:pPr>
        <w:pStyle w:val="2"/>
        <w:rPr>
          <w:rFonts w:hint="eastAsia" w:ascii="仿宋_GB2312" w:eastAsia="仿宋_GB2312" w:hAnsiTheme="minorEastAsia" w:cstheme="minorEastAsia"/>
          <w:color w:val="auto"/>
          <w:kern w:val="0"/>
          <w:sz w:val="32"/>
          <w:szCs w:val="32"/>
          <w:highlight w:val="none"/>
          <w:lang w:val="en-US" w:eastAsia="zh-CN" w:bidi="ar-SA"/>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240" w:lineRule="auto"/>
        <w:ind w:left="0" w:leftChars="0" w:right="0" w:rightChars="0" w:firstLine="640" w:firstLineChars="200"/>
        <w:jc w:val="right"/>
        <w:textAlignment w:val="auto"/>
        <w:outlineLvl w:val="9"/>
        <w:rPr>
          <w:rFonts w:hint="eastAsia" w:ascii="仿宋_GB2312" w:eastAsia="仿宋_GB2312" w:hAnsiTheme="minorEastAsia" w:cstheme="minorEastAsia"/>
          <w:color w:val="auto"/>
          <w:kern w:val="0"/>
          <w:sz w:val="32"/>
          <w:szCs w:val="32"/>
          <w:highlight w:val="none"/>
          <w:lang w:val="en-US" w:eastAsia="zh-CN"/>
        </w:rPr>
      </w:pPr>
      <w:r>
        <w:rPr>
          <w:rFonts w:hint="eastAsia" w:ascii="仿宋_GB2312" w:eastAsia="仿宋_GB2312" w:hAnsiTheme="minorEastAsia" w:cstheme="minorEastAsia"/>
          <w:color w:val="auto"/>
          <w:kern w:val="0"/>
          <w:sz w:val="32"/>
          <w:szCs w:val="32"/>
          <w:highlight w:val="none"/>
          <w:lang w:val="en-US" w:eastAsia="zh-CN"/>
        </w:rPr>
        <w:t>（南安市统计局　赖艺婷）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仿宋_GB2312"/>
          <w:lang w:eastAsia="zh-CN"/>
        </w:rPr>
      </w:pPr>
      <w:r>
        <w:rPr>
          <w:rFonts w:hint="eastAsia" w:eastAsia="仿宋_GB2312"/>
          <w:lang w:eastAsia="zh-CN"/>
        </w:rPr>
        <w:drawing>
          <wp:inline distT="0" distB="0" distL="114300" distR="114300">
            <wp:extent cx="901700" cy="892175"/>
            <wp:effectExtent l="0" t="0" r="12700" b="6985"/>
            <wp:docPr id="4"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qrcode_for_gh_1eebab0522fd_258"/>
                    <pic:cNvPicPr>
                      <a:picLocks noChangeAspect="1"/>
                    </pic:cNvPicPr>
                  </pic:nvPicPr>
                  <pic:blipFill>
                    <a:blip r:embed="rId8"/>
                    <a:stretch>
                      <a:fillRect/>
                    </a:stretch>
                  </pic:blipFill>
                  <pic:spPr>
                    <a:xfrm>
                      <a:off x="0" y="0"/>
                      <a:ext cx="901700" cy="8921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24"/>
          <w:szCs w:val="24"/>
          <w:lang w:val="en-US" w:eastAsia="zh-CN"/>
        </w:rPr>
        <w:t>扫码关注南安市统计局</w:t>
      </w:r>
    </w:p>
    <w:p>
      <w:pPr>
        <w:pStyle w:val="2"/>
        <w:rPr>
          <w:rFonts w:hint="default"/>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指标解释：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建筑业总产值</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指以货币表现的建筑业企业在一定时期内生产的建筑业产品和服务的总和。建筑业总产值包括建筑工程产值、安装工程产值和其他产值三部分内容。 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从事建筑业活动的平均人数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指建筑业企业（或单位）报告期实际拥有的、与建筑施工活动有关的人员的平均人数。 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签订合同额</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指建筑业企业在报告期直接同建设单位签订的各种国内工程合同的总价款和以前年度同建设单位签订的各种国内工程合同的未完工程跨入本年度继续施工工程合同的总价款余额。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房屋施工面积</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多层建筑应填各层建筑面积之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房屋</w:t>
      </w:r>
      <w:r>
        <w:rPr>
          <w:rFonts w:hint="eastAsia" w:ascii="仿宋_GB2312" w:hAnsi="仿宋_GB2312" w:eastAsia="仿宋_GB2312" w:cs="仿宋_GB2312"/>
          <w:b/>
          <w:bCs/>
          <w:color w:val="auto"/>
          <w:sz w:val="28"/>
          <w:szCs w:val="28"/>
          <w:highlight w:val="none"/>
          <w:lang w:eastAsia="zh-CN"/>
        </w:rPr>
        <w:t>竣工</w:t>
      </w:r>
      <w:r>
        <w:rPr>
          <w:rFonts w:hint="eastAsia" w:ascii="仿宋_GB2312" w:hAnsi="仿宋_GB2312" w:eastAsia="仿宋_GB2312" w:cs="仿宋_GB2312"/>
          <w:b/>
          <w:bCs/>
          <w:color w:val="auto"/>
          <w:sz w:val="28"/>
          <w:szCs w:val="28"/>
          <w:highlight w:val="none"/>
        </w:rPr>
        <w:t>面积</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指报告期内房屋建筑按照设计要求已全部完工，达到住人和使用条件，经验收鉴定合格或达到竣工验收标准，可正式移交使用的各栋房屋建筑面积的总和。竣工面积以房屋单位工程（栋）为核算对象</w:t>
      </w:r>
      <w:r>
        <w:rPr>
          <w:rFonts w:hint="eastAsia" w:ascii="仿宋_GB2312" w:hAnsi="仿宋_GB2312" w:eastAsia="仿宋_GB2312" w:cs="仿宋_GB2312"/>
          <w:color w:val="auto"/>
          <w:sz w:val="28"/>
          <w:szCs w:val="28"/>
          <w:highlight w:val="none"/>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8C100"/>
    <w:multiLevelType w:val="singleLevel"/>
    <w:tmpl w:val="C808C100"/>
    <w:lvl w:ilvl="0" w:tentative="0">
      <w:start w:val="1"/>
      <w:numFmt w:val="chineseCounting"/>
      <w:suff w:val="nothing"/>
      <w:lvlText w:val="（%1）"/>
      <w:lvlJc w:val="left"/>
      <w:pPr>
        <w:ind w:left="420"/>
      </w:pPr>
      <w:rPr>
        <w:rFonts w:hint="eastAsia"/>
      </w:rPr>
    </w:lvl>
  </w:abstractNum>
  <w:abstractNum w:abstractNumId="1">
    <w:nsid w:val="F3F0F60C"/>
    <w:multiLevelType w:val="singleLevel"/>
    <w:tmpl w:val="F3F0F60C"/>
    <w:lvl w:ilvl="0" w:tentative="0">
      <w:start w:val="1"/>
      <w:numFmt w:val="chineseCounting"/>
      <w:suff w:val="nothing"/>
      <w:lvlText w:val="%1、"/>
      <w:lvlJc w:val="left"/>
      <w:rPr>
        <w:rFonts w:hint="eastAsia"/>
      </w:rPr>
    </w:lvl>
  </w:abstractNum>
  <w:abstractNum w:abstractNumId="2">
    <w:nsid w:val="407D298E"/>
    <w:multiLevelType w:val="singleLevel"/>
    <w:tmpl w:val="407D298E"/>
    <w:lvl w:ilvl="0" w:tentative="0">
      <w:start w:val="1"/>
      <w:numFmt w:val="chineseCounting"/>
      <w:suff w:val="nothing"/>
      <w:lvlText w:val="（%1）"/>
      <w:lvlJc w:val="left"/>
      <w:pPr>
        <w:ind w:left="0" w:firstLine="420"/>
      </w:pPr>
      <w:rPr>
        <w:rFonts w:hint="eastAsia"/>
      </w:rPr>
    </w:lvl>
  </w:abstractNum>
  <w:abstractNum w:abstractNumId="3">
    <w:nsid w:val="661DA632"/>
    <w:multiLevelType w:val="singleLevel"/>
    <w:tmpl w:val="661DA63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06FF"/>
    <w:rsid w:val="005602CD"/>
    <w:rsid w:val="005C387B"/>
    <w:rsid w:val="00D63400"/>
    <w:rsid w:val="019B09AB"/>
    <w:rsid w:val="01A971BF"/>
    <w:rsid w:val="01B37712"/>
    <w:rsid w:val="021C5BEB"/>
    <w:rsid w:val="026155C3"/>
    <w:rsid w:val="02896632"/>
    <w:rsid w:val="03A92A86"/>
    <w:rsid w:val="04DF61FD"/>
    <w:rsid w:val="05F53DFF"/>
    <w:rsid w:val="0614482F"/>
    <w:rsid w:val="062B01DC"/>
    <w:rsid w:val="07672DA9"/>
    <w:rsid w:val="08100796"/>
    <w:rsid w:val="08A00E3D"/>
    <w:rsid w:val="08BC4173"/>
    <w:rsid w:val="09B949F1"/>
    <w:rsid w:val="09D761D8"/>
    <w:rsid w:val="0BB800E5"/>
    <w:rsid w:val="0BC82066"/>
    <w:rsid w:val="0BD22552"/>
    <w:rsid w:val="0BD24B19"/>
    <w:rsid w:val="0D893B59"/>
    <w:rsid w:val="0E491310"/>
    <w:rsid w:val="0EEE6BFF"/>
    <w:rsid w:val="0F9A6099"/>
    <w:rsid w:val="0FF60EE5"/>
    <w:rsid w:val="0FFD314D"/>
    <w:rsid w:val="117446FF"/>
    <w:rsid w:val="11C065CA"/>
    <w:rsid w:val="121C0E3E"/>
    <w:rsid w:val="14AA4579"/>
    <w:rsid w:val="14C80A53"/>
    <w:rsid w:val="157109B3"/>
    <w:rsid w:val="15E43B71"/>
    <w:rsid w:val="15F3690F"/>
    <w:rsid w:val="17EB69FE"/>
    <w:rsid w:val="1A266173"/>
    <w:rsid w:val="1B131C19"/>
    <w:rsid w:val="1C597647"/>
    <w:rsid w:val="1F737F13"/>
    <w:rsid w:val="1FE25145"/>
    <w:rsid w:val="1FE676E7"/>
    <w:rsid w:val="1FED0E68"/>
    <w:rsid w:val="200839E8"/>
    <w:rsid w:val="213D3E8D"/>
    <w:rsid w:val="21F02941"/>
    <w:rsid w:val="2348701C"/>
    <w:rsid w:val="23775BE5"/>
    <w:rsid w:val="24C95AB5"/>
    <w:rsid w:val="24FB2EC9"/>
    <w:rsid w:val="25F54C58"/>
    <w:rsid w:val="27214819"/>
    <w:rsid w:val="27561A88"/>
    <w:rsid w:val="27FF30EC"/>
    <w:rsid w:val="282D6248"/>
    <w:rsid w:val="28584643"/>
    <w:rsid w:val="288B3D64"/>
    <w:rsid w:val="289B7B9F"/>
    <w:rsid w:val="29CF66E4"/>
    <w:rsid w:val="2B163A97"/>
    <w:rsid w:val="2B1B0ECA"/>
    <w:rsid w:val="2C4E09E4"/>
    <w:rsid w:val="2CD26A60"/>
    <w:rsid w:val="2DDE06FF"/>
    <w:rsid w:val="2EC8726C"/>
    <w:rsid w:val="302C6A9B"/>
    <w:rsid w:val="30615AA2"/>
    <w:rsid w:val="311B7E29"/>
    <w:rsid w:val="31CD02A2"/>
    <w:rsid w:val="32F4042A"/>
    <w:rsid w:val="32FD190D"/>
    <w:rsid w:val="34073E23"/>
    <w:rsid w:val="34D72066"/>
    <w:rsid w:val="34E71D02"/>
    <w:rsid w:val="34EE371E"/>
    <w:rsid w:val="355C49BE"/>
    <w:rsid w:val="36083E08"/>
    <w:rsid w:val="36222A2E"/>
    <w:rsid w:val="3640540C"/>
    <w:rsid w:val="37127187"/>
    <w:rsid w:val="38B742BC"/>
    <w:rsid w:val="38B83F07"/>
    <w:rsid w:val="399F5ACE"/>
    <w:rsid w:val="3A624ED7"/>
    <w:rsid w:val="3B0048D6"/>
    <w:rsid w:val="3D337899"/>
    <w:rsid w:val="3DC06B2B"/>
    <w:rsid w:val="3E5F3893"/>
    <w:rsid w:val="3F071330"/>
    <w:rsid w:val="405A283B"/>
    <w:rsid w:val="40F83F15"/>
    <w:rsid w:val="4103299F"/>
    <w:rsid w:val="4252797B"/>
    <w:rsid w:val="42A1443F"/>
    <w:rsid w:val="444A5C6B"/>
    <w:rsid w:val="44C3146E"/>
    <w:rsid w:val="45016C93"/>
    <w:rsid w:val="45200CCC"/>
    <w:rsid w:val="452B658E"/>
    <w:rsid w:val="45920B41"/>
    <w:rsid w:val="47C957AC"/>
    <w:rsid w:val="47CE1BD0"/>
    <w:rsid w:val="4AA05D69"/>
    <w:rsid w:val="4AC57F79"/>
    <w:rsid w:val="4B374310"/>
    <w:rsid w:val="4B626C07"/>
    <w:rsid w:val="4B6C7436"/>
    <w:rsid w:val="4C925070"/>
    <w:rsid w:val="4CD1451E"/>
    <w:rsid w:val="4D153D63"/>
    <w:rsid w:val="4D7F29D7"/>
    <w:rsid w:val="4D8526B6"/>
    <w:rsid w:val="4DAA69C7"/>
    <w:rsid w:val="4DF71E7B"/>
    <w:rsid w:val="4E766D10"/>
    <w:rsid w:val="4F467513"/>
    <w:rsid w:val="4F4916E5"/>
    <w:rsid w:val="500712B4"/>
    <w:rsid w:val="50B14D89"/>
    <w:rsid w:val="50E0669A"/>
    <w:rsid w:val="50FE12F4"/>
    <w:rsid w:val="5126114E"/>
    <w:rsid w:val="51A436FF"/>
    <w:rsid w:val="530108B7"/>
    <w:rsid w:val="542E7BEC"/>
    <w:rsid w:val="54FF114D"/>
    <w:rsid w:val="552D4BF3"/>
    <w:rsid w:val="55887214"/>
    <w:rsid w:val="563D17DA"/>
    <w:rsid w:val="569E478C"/>
    <w:rsid w:val="5759629C"/>
    <w:rsid w:val="57DB57FD"/>
    <w:rsid w:val="58700711"/>
    <w:rsid w:val="588F2518"/>
    <w:rsid w:val="59A504D4"/>
    <w:rsid w:val="59BA1D3C"/>
    <w:rsid w:val="5A5A2219"/>
    <w:rsid w:val="5AA33B94"/>
    <w:rsid w:val="5AA97CDE"/>
    <w:rsid w:val="5AD82BEE"/>
    <w:rsid w:val="5BF476FF"/>
    <w:rsid w:val="5BFA4282"/>
    <w:rsid w:val="5C666B8D"/>
    <w:rsid w:val="5C8D4FAA"/>
    <w:rsid w:val="5DDC5C60"/>
    <w:rsid w:val="5EBC6B98"/>
    <w:rsid w:val="5F50380C"/>
    <w:rsid w:val="5FA96F65"/>
    <w:rsid w:val="5FD76467"/>
    <w:rsid w:val="604B0380"/>
    <w:rsid w:val="610E1686"/>
    <w:rsid w:val="61CA1C7B"/>
    <w:rsid w:val="62005DE5"/>
    <w:rsid w:val="62587808"/>
    <w:rsid w:val="62A0176A"/>
    <w:rsid w:val="64570C18"/>
    <w:rsid w:val="65137CE8"/>
    <w:rsid w:val="665931A6"/>
    <w:rsid w:val="66C43361"/>
    <w:rsid w:val="671B2008"/>
    <w:rsid w:val="68537F01"/>
    <w:rsid w:val="68695119"/>
    <w:rsid w:val="692546FF"/>
    <w:rsid w:val="6A03134C"/>
    <w:rsid w:val="6A24675E"/>
    <w:rsid w:val="6B5965CE"/>
    <w:rsid w:val="6BE9405D"/>
    <w:rsid w:val="6D5F0F2E"/>
    <w:rsid w:val="6DB00BBD"/>
    <w:rsid w:val="6F206CAA"/>
    <w:rsid w:val="701B2F3F"/>
    <w:rsid w:val="703D0592"/>
    <w:rsid w:val="70CC2107"/>
    <w:rsid w:val="70FF210C"/>
    <w:rsid w:val="71071493"/>
    <w:rsid w:val="71AD6702"/>
    <w:rsid w:val="722A5E92"/>
    <w:rsid w:val="7309303A"/>
    <w:rsid w:val="73895159"/>
    <w:rsid w:val="73A07C0C"/>
    <w:rsid w:val="7492412F"/>
    <w:rsid w:val="759E5BCB"/>
    <w:rsid w:val="76A35D53"/>
    <w:rsid w:val="76FF6781"/>
    <w:rsid w:val="77472726"/>
    <w:rsid w:val="778B7FB5"/>
    <w:rsid w:val="77CB101B"/>
    <w:rsid w:val="78135030"/>
    <w:rsid w:val="79D76F41"/>
    <w:rsid w:val="79FB254E"/>
    <w:rsid w:val="7B4F42CA"/>
    <w:rsid w:val="7B746295"/>
    <w:rsid w:val="7B891E74"/>
    <w:rsid w:val="7DC010CC"/>
    <w:rsid w:val="7EE00120"/>
    <w:rsid w:val="7F2E1511"/>
    <w:rsid w:val="7FE3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9">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spacing w:line="280" w:lineRule="atLeast"/>
      <w:ind w:left="-100" w:leftChars="-100" w:hanging="389" w:hangingChars="216"/>
    </w:pPr>
    <w:rPr>
      <w:rFonts w:ascii="宋体" w:hAnsi="宋体"/>
      <w:sz w:val="18"/>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character" w:styleId="14">
    <w:name w:val="footnote reference"/>
    <w:basedOn w:val="9"/>
    <w:qFormat/>
    <w:uiPriority w:val="0"/>
    <w:rPr>
      <w:vertAlign w:val="superscript"/>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icon"/>
    <w:basedOn w:val="9"/>
    <w:qFormat/>
    <w:uiPriority w:val="0"/>
  </w:style>
  <w:style w:type="character" w:customStyle="1" w:styleId="18">
    <w:name w:val="icon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F:\2022&#24180;&#26376;&#25253;\&#65288;&#9733;&#65289;0&#12289;&#20027;&#35201;&#25351;&#26631;\2022&#24180;&#24314;&#31569;&#19994;&#26126;&#32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06890459364"/>
          <c:y val="0.128731343283582"/>
          <c:w val="0.867424911660777"/>
          <c:h val="0.823175787728027"/>
        </c:manualLayout>
      </c:layout>
      <c:lineChart>
        <c:grouping val="standard"/>
        <c:varyColors val="0"/>
        <c:ser>
          <c:idx val="0"/>
          <c:order val="0"/>
          <c:tx>
            <c:strRef>
              <c:f>Sheet1!$B$1</c:f>
              <c:strCache>
                <c:ptCount val="1"/>
                <c:pt idx="0">
                  <c:v>泉州</c:v>
                </c:pt>
              </c:strCache>
            </c:strRef>
          </c:tx>
          <c:spPr>
            <a:ln w="15875" cap="rnd">
              <a:solidFill>
                <a:schemeClr val="accent1"/>
              </a:solidFill>
              <a:prstDash val="sysDash"/>
              <a:round/>
            </a:ln>
            <a:effectLst>
              <a:outerShdw blurRad="57150" dist="19050" dir="5400000" algn="ctr" rotWithShape="0">
                <a:srgbClr val="000000">
                  <a:alpha val="63000"/>
                </a:srgbClr>
              </a:outerShdw>
            </a:effectLst>
          </c:spPr>
          <c:marker>
            <c:symbol val="none"/>
          </c:marker>
          <c:dLbls>
            <c:dLbl>
              <c:idx val="0"/>
              <c:layout>
                <c:manualLayout>
                  <c:x val="0.0516033910799853"/>
                  <c:y val="-0.02997751686235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5424494209479"/>
                  <c:y val="-0.019918622492813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04770318021201"/>
                  <c:y val="-0.0771144278606965"/>
                </c:manualLayout>
              </c:layout>
              <c:dLblPos val="b"/>
              <c:showLegendKey val="0"/>
              <c:showVal val="1"/>
              <c:showCatName val="0"/>
              <c:showSerName val="0"/>
              <c:showPercent val="0"/>
              <c:showBubbleSize val="0"/>
              <c:extLst>
                <c:ext xmlns:c15="http://schemas.microsoft.com/office/drawing/2012/chart" uri="{CE6537A1-D6FC-4f65-9D91-7224C49458BB}">
                  <c15:layout>
                    <c:manualLayout>
                      <c:w val="0.0588731037803997"/>
                      <c:h val="0.0503067484662577"/>
                    </c:manualLayout>
                  </c15:layout>
                </c:ext>
              </c:extLst>
            </c:dLbl>
            <c:dLbl>
              <c:idx val="3"/>
              <c:layout>
                <c:manualLayout>
                  <c:x val="0.00265017667844524"/>
                  <c:y val="-0.10352061824278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0627678573707"/>
                  <c:y val="-0.098107621402191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58288537031331"/>
                  <c:y val="-0.019979782363084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31305394463289"/>
                  <c:y val="-0.035856573705179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Sheet1!$A$6:$A$12</c:f>
              <c:strCache>
                <c:ptCount val="7"/>
                <c:pt idx="0">
                  <c:v>2021Q2</c:v>
                </c:pt>
                <c:pt idx="1">
                  <c:v>2021Q3</c:v>
                </c:pt>
                <c:pt idx="2">
                  <c:v>2021Q4</c:v>
                </c:pt>
                <c:pt idx="3">
                  <c:v>2022Q1</c:v>
                </c:pt>
                <c:pt idx="4">
                  <c:v>2022Q2</c:v>
                </c:pt>
                <c:pt idx="5">
                  <c:v>2022Q3</c:v>
                </c:pt>
                <c:pt idx="6">
                  <c:v>2022Q4</c:v>
                </c:pt>
              </c:strCache>
            </c:strRef>
          </c:cat>
          <c:val>
            <c:numRef>
              <c:f>Sheet1!$B$6:$B$12</c:f>
              <c:numCache>
                <c:formatCode>0.0_ </c:formatCode>
                <c:ptCount val="7"/>
                <c:pt idx="0">
                  <c:v>19.6</c:v>
                </c:pt>
                <c:pt idx="1">
                  <c:v>10.1</c:v>
                </c:pt>
                <c:pt idx="2">
                  <c:v>11</c:v>
                </c:pt>
                <c:pt idx="3">
                  <c:v>4.7</c:v>
                </c:pt>
                <c:pt idx="4">
                  <c:v>1.1</c:v>
                </c:pt>
                <c:pt idx="5">
                  <c:v>4</c:v>
                </c:pt>
                <c:pt idx="6">
                  <c:v>6.8</c:v>
                </c:pt>
              </c:numCache>
            </c:numRef>
          </c:val>
          <c:smooth val="1"/>
        </c:ser>
        <c:ser>
          <c:idx val="1"/>
          <c:order val="1"/>
          <c:tx>
            <c:strRef>
              <c:f>Sheet1!$C$1</c:f>
              <c:strCache>
                <c:ptCount val="1"/>
                <c:pt idx="0">
                  <c:v>南安</c:v>
                </c:pt>
              </c:strCache>
            </c:strRef>
          </c:tx>
          <c:spPr>
            <a:ln w="1587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00752120727448915"/>
                  <c:y val="0.10301042874560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47628763820003"/>
                  <c:y val="0.024676382309113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3982013489882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65017667844523"/>
                  <c:y val="0.12278179653877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4285862576244"/>
                  <c:y val="0.1312364557580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32388489976364"/>
                  <c:y val="0.018978811123664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Sheet1!$A$6:$A$12</c:f>
              <c:strCache>
                <c:ptCount val="7"/>
                <c:pt idx="0">
                  <c:v>2021Q2</c:v>
                </c:pt>
                <c:pt idx="1">
                  <c:v>2021Q3</c:v>
                </c:pt>
                <c:pt idx="2">
                  <c:v>2021Q4</c:v>
                </c:pt>
                <c:pt idx="3">
                  <c:v>2022Q1</c:v>
                </c:pt>
                <c:pt idx="4">
                  <c:v>2022Q2</c:v>
                </c:pt>
                <c:pt idx="5">
                  <c:v>2022Q3</c:v>
                </c:pt>
                <c:pt idx="6">
                  <c:v>2022Q4</c:v>
                </c:pt>
              </c:strCache>
            </c:strRef>
          </c:cat>
          <c:val>
            <c:numRef>
              <c:f>Sheet1!$C$6:$C$12</c:f>
              <c:numCache>
                <c:formatCode>0.0_ </c:formatCode>
                <c:ptCount val="7"/>
                <c:pt idx="0">
                  <c:v>16.8</c:v>
                </c:pt>
                <c:pt idx="1">
                  <c:v>12.2</c:v>
                </c:pt>
                <c:pt idx="2">
                  <c:v>13.5</c:v>
                </c:pt>
                <c:pt idx="3">
                  <c:v>11.9</c:v>
                </c:pt>
                <c:pt idx="4">
                  <c:v>10.7</c:v>
                </c:pt>
                <c:pt idx="5">
                  <c:v>16.3</c:v>
                </c:pt>
                <c:pt idx="6">
                  <c:v>17.5</c:v>
                </c:pt>
              </c:numCache>
            </c:numRef>
          </c:val>
          <c:smooth val="1"/>
        </c:ser>
        <c:dLbls>
          <c:showLegendKey val="0"/>
          <c:showVal val="1"/>
          <c:showCatName val="0"/>
          <c:showSerName val="0"/>
          <c:showPercent val="0"/>
          <c:showBubbleSize val="0"/>
        </c:dLbls>
        <c:marker val="0"/>
        <c:smooth val="1"/>
        <c:axId val="214788301"/>
        <c:axId val="163401505"/>
      </c:lineChart>
      <c:catAx>
        <c:axId val="214788301"/>
        <c:scaling>
          <c:orientation val="minMax"/>
        </c:scaling>
        <c:delete val="0"/>
        <c:axPos val="b"/>
        <c:majorTickMark val="none"/>
        <c:minorTickMark val="none"/>
        <c:tickLblPos val="nextTo"/>
        <c:spPr>
          <a:noFill/>
          <a:ln w="28575" cap="flat" cmpd="sng" algn="ctr">
            <a:solidFill>
              <a:schemeClr val="tx1">
                <a:alpha val="56000"/>
              </a:schemeClr>
            </a:solidFill>
            <a:miter lim="800000"/>
            <a:tailEnd type="stealth"/>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3401505"/>
        <c:crosses val="autoZero"/>
        <c:auto val="1"/>
        <c:lblAlgn val="ctr"/>
        <c:lblOffset val="100"/>
        <c:noMultiLvlLbl val="0"/>
      </c:catAx>
      <c:valAx>
        <c:axId val="16340150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b="1"/>
                  <a:t>增速（</a:t>
                </a:r>
                <a:r>
                  <a:rPr lang="en-US" altLang="zh-CN" b="1"/>
                  <a:t>%</a:t>
                </a:r>
                <a:r>
                  <a:rPr b="1"/>
                  <a:t>）</a:t>
                </a:r>
                <a:endParaRPr b="1"/>
              </a:p>
            </c:rich>
          </c:tx>
          <c:layout/>
          <c:overlay val="0"/>
          <c:spPr>
            <a:noFill/>
            <a:ln>
              <a:noFill/>
            </a:ln>
            <a:effectLst/>
          </c:spPr>
        </c:title>
        <c:numFmt formatCode="0.0_ " sourceLinked="1"/>
        <c:majorTickMark val="none"/>
        <c:minorTickMark val="none"/>
        <c:tickLblPos val="nextTo"/>
        <c:spPr>
          <a:noFill/>
          <a:ln w="28575" cmpd="sng">
            <a:solidFill>
              <a:schemeClr val="tx1">
                <a:alpha val="53000"/>
              </a:schemeClr>
            </a:solidFill>
            <a:prstDash val="solid"/>
            <a:miter lim="800000"/>
            <a:headEnd type="stealth"/>
            <a:tailEnd type="stealth"/>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14788301"/>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54384881422925"/>
          <c:y val="0.0401002506265664"/>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500" b="0" i="0" u="none" strike="noStrike" baseline="0">
                <a:solidFill>
                  <a:srgbClr val="333333"/>
                </a:solidFill>
                <a:latin typeface="楷体" panose="02010609060101010101" charset="-122"/>
                <a:ea typeface="楷体" panose="02010609060101010101" charset="-122"/>
                <a:cs typeface="黑体" panose="02010609060101010101" charset="-122"/>
              </a:rPr>
              <a:t>图</a:t>
            </a:r>
            <a:r>
              <a:rPr lang="en-US" altLang="zh-CN" sz="1500" b="0" i="0" u="none" strike="noStrike" baseline="0">
                <a:solidFill>
                  <a:srgbClr val="333333"/>
                </a:solidFill>
                <a:latin typeface="楷体" panose="02010609060101010101" charset="-122"/>
                <a:ea typeface="楷体" panose="02010609060101010101" charset="-122"/>
                <a:cs typeface="黑体" panose="02010609060101010101" charset="-122"/>
              </a:rPr>
              <a:t>3</a:t>
            </a:r>
            <a:r>
              <a:rPr altLang="en-US" sz="1500" b="0" i="0" u="none" strike="noStrike" baseline="0">
                <a:solidFill>
                  <a:srgbClr val="333333"/>
                </a:solidFill>
                <a:latin typeface="楷体" panose="02010609060101010101" charset="-122"/>
                <a:ea typeface="楷体" panose="02010609060101010101" charset="-122"/>
                <a:cs typeface="黑体" panose="02010609060101010101" charset="-122"/>
              </a:rPr>
              <a:t>  南安市</a:t>
            </a:r>
            <a:r>
              <a:rPr lang="en-US" altLang="zh-CN" sz="1500" b="0" i="0" u="none" strike="noStrike" baseline="0">
                <a:solidFill>
                  <a:srgbClr val="333333"/>
                </a:solidFill>
                <a:latin typeface="楷体" panose="02010609060101010101" charset="-122"/>
                <a:ea typeface="楷体" panose="02010609060101010101" charset="-122"/>
                <a:cs typeface="黑体" panose="02010609060101010101" charset="-122"/>
              </a:rPr>
              <a:t>2022</a:t>
            </a:r>
            <a:r>
              <a:rPr altLang="en-US" sz="1500" b="0" i="0" u="none" strike="noStrike" baseline="0">
                <a:solidFill>
                  <a:srgbClr val="333333"/>
                </a:solidFill>
                <a:latin typeface="楷体" panose="02010609060101010101" charset="-122"/>
                <a:ea typeface="楷体" panose="02010609060101010101" charset="-122"/>
                <a:cs typeface="黑体" panose="02010609060101010101" charset="-122"/>
              </a:rPr>
              <a:t>年外省完成产值（前</a:t>
            </a:r>
            <a:r>
              <a:rPr lang="en-US" altLang="zh-CN" sz="1500" b="0" i="0" u="none" strike="noStrike" baseline="0">
                <a:solidFill>
                  <a:srgbClr val="333333"/>
                </a:solidFill>
                <a:latin typeface="楷体" panose="02010609060101010101" charset="-122"/>
                <a:ea typeface="楷体" panose="02010609060101010101" charset="-122"/>
                <a:cs typeface="黑体" panose="02010609060101010101" charset="-122"/>
              </a:rPr>
              <a:t>10</a:t>
            </a:r>
            <a:r>
              <a:rPr altLang="en-US" sz="1500" b="0" i="0" u="none" strike="noStrike" baseline="0">
                <a:solidFill>
                  <a:srgbClr val="333333"/>
                </a:solidFill>
                <a:latin typeface="楷体" panose="02010609060101010101" charset="-122"/>
                <a:ea typeface="楷体" panose="02010609060101010101" charset="-122"/>
                <a:cs typeface="黑体" panose="02010609060101010101" charset="-122"/>
              </a:rPr>
              <a:t>省份）</a:t>
            </a:r>
            <a:endParaRPr sz="1500" b="0" i="0" u="none" strike="noStrike" baseline="0">
              <a:solidFill>
                <a:srgbClr val="000000"/>
              </a:solidFill>
              <a:latin typeface="楷体" panose="02010609060101010101" charset="-122"/>
              <a:ea typeface="楷体" panose="02010609060101010101" charset="-122"/>
              <a:cs typeface="Arial" panose="020B0604020202020204" charset="0"/>
            </a:endParaRPr>
          </a:p>
        </c:rich>
      </c:tx>
      <c:layout>
        <c:manualLayout>
          <c:xMode val="edge"/>
          <c:yMode val="edge"/>
          <c:x val="0.206563229618593"/>
          <c:y val="0.916510670160988"/>
        </c:manualLayout>
      </c:layout>
      <c:overlay val="0"/>
      <c:spPr>
        <a:noFill/>
        <a:ln>
          <a:noFill/>
        </a:ln>
        <a:effectLst/>
      </c:spPr>
    </c:title>
    <c:autoTitleDeleted val="0"/>
    <c:plotArea>
      <c:layout>
        <c:manualLayout>
          <c:layoutTarget val="inner"/>
          <c:xMode val="edge"/>
          <c:yMode val="edge"/>
          <c:x val="0.0540791458744343"/>
          <c:y val="0.0526020217147136"/>
          <c:w val="0.942439364047812"/>
          <c:h val="0.814301759640584"/>
        </c:manualLayout>
      </c:layout>
      <c:barChart>
        <c:barDir val="bar"/>
        <c:grouping val="clustered"/>
        <c:varyColors val="0"/>
        <c:ser>
          <c:idx val="0"/>
          <c:order val="0"/>
          <c:tx>
            <c:strRef>
              <c:f>[2022年建筑业明细.xls]Q4分析!$O$1</c:f>
              <c:strCache>
                <c:ptCount val="1"/>
                <c:pt idx="0">
                  <c:v>去年</c:v>
                </c:pt>
              </c:strCache>
            </c:strRef>
          </c:tx>
          <c:spPr>
            <a:solidFill>
              <a:schemeClr val="accent1"/>
            </a:solidFill>
            <a:ln>
              <a:noFill/>
            </a:ln>
            <a:effectLst/>
          </c:spPr>
          <c:invertIfNegative val="0"/>
          <c:dLbls>
            <c:dLbl>
              <c:idx val="6"/>
              <c:layout>
                <c:manualLayout>
                  <c:x val="-0.0526893523600439"/>
                  <c:y val="-0.005571030640668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[2022年建筑业明细.xls]Q4分析!$N$2:$N$11</c:f>
              <c:strCache>
                <c:ptCount val="10"/>
                <c:pt idx="0">
                  <c:v>海南</c:v>
                </c:pt>
                <c:pt idx="1">
                  <c:v>江苏</c:v>
                </c:pt>
                <c:pt idx="2">
                  <c:v>浙江</c:v>
                </c:pt>
                <c:pt idx="3">
                  <c:v>四川</c:v>
                </c:pt>
                <c:pt idx="4">
                  <c:v>辽宁</c:v>
                </c:pt>
                <c:pt idx="5">
                  <c:v>湖北</c:v>
                </c:pt>
                <c:pt idx="6">
                  <c:v>江西</c:v>
                </c:pt>
                <c:pt idx="7">
                  <c:v>广东</c:v>
                </c:pt>
                <c:pt idx="8">
                  <c:v>山西</c:v>
                </c:pt>
                <c:pt idx="9">
                  <c:v>河北</c:v>
                </c:pt>
              </c:strCache>
            </c:strRef>
          </c:cat>
          <c:val>
            <c:numRef>
              <c:f>[2022年建筑业明细.xls]Q4分析!$O$2:$O$11</c:f>
              <c:numCache>
                <c:formatCode>#.00;#.00;0.00;</c:formatCode>
                <c:ptCount val="10"/>
                <c:pt idx="0">
                  <c:v>-88.241</c:v>
                </c:pt>
                <c:pt idx="1">
                  <c:v>-99.0884</c:v>
                </c:pt>
                <c:pt idx="2">
                  <c:v>-30.8314</c:v>
                </c:pt>
                <c:pt idx="3">
                  <c:v>-18.0198</c:v>
                </c:pt>
                <c:pt idx="4">
                  <c:v>-37.1843</c:v>
                </c:pt>
                <c:pt idx="5">
                  <c:v>-14.9467</c:v>
                </c:pt>
                <c:pt idx="6">
                  <c:v>-5.3019</c:v>
                </c:pt>
                <c:pt idx="7">
                  <c:v>-35.4308</c:v>
                </c:pt>
                <c:pt idx="8">
                  <c:v>-13.1769</c:v>
                </c:pt>
                <c:pt idx="9">
                  <c:v>-14.551</c:v>
                </c:pt>
              </c:numCache>
            </c:numRef>
          </c:val>
        </c:ser>
        <c:ser>
          <c:idx val="1"/>
          <c:order val="1"/>
          <c:tx>
            <c:strRef>
              <c:f>[2022年建筑业明细.xls]Q4分析!$P$1</c:f>
              <c:strCache>
                <c:ptCount val="1"/>
                <c:pt idx="0">
                  <c:v>本年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[2022年建筑业明细.xls]Q4分析!$N$2:$N$11</c:f>
              <c:strCache>
                <c:ptCount val="10"/>
                <c:pt idx="0">
                  <c:v>海南</c:v>
                </c:pt>
                <c:pt idx="1">
                  <c:v>江苏</c:v>
                </c:pt>
                <c:pt idx="2">
                  <c:v>浙江</c:v>
                </c:pt>
                <c:pt idx="3">
                  <c:v>四川</c:v>
                </c:pt>
                <c:pt idx="4">
                  <c:v>辽宁</c:v>
                </c:pt>
                <c:pt idx="5">
                  <c:v>湖北</c:v>
                </c:pt>
                <c:pt idx="6">
                  <c:v>江西</c:v>
                </c:pt>
                <c:pt idx="7">
                  <c:v>广东</c:v>
                </c:pt>
                <c:pt idx="8">
                  <c:v>山西</c:v>
                </c:pt>
                <c:pt idx="9">
                  <c:v>河北</c:v>
                </c:pt>
              </c:strCache>
            </c:strRef>
          </c:cat>
          <c:val>
            <c:numRef>
              <c:f>[2022年建筑业明细.xls]Q4分析!$P$2:$P$11</c:f>
              <c:numCache>
                <c:formatCode>#,##0.00_ </c:formatCode>
                <c:ptCount val="10"/>
                <c:pt idx="0">
                  <c:v>83.9716</c:v>
                </c:pt>
                <c:pt idx="1">
                  <c:v>78.3904</c:v>
                </c:pt>
                <c:pt idx="2">
                  <c:v>56.8997</c:v>
                </c:pt>
                <c:pt idx="3">
                  <c:v>47.0794</c:v>
                </c:pt>
                <c:pt idx="4">
                  <c:v>38.3567</c:v>
                </c:pt>
                <c:pt idx="5">
                  <c:v>24.3053</c:v>
                </c:pt>
                <c:pt idx="6">
                  <c:v>20.45</c:v>
                </c:pt>
                <c:pt idx="7">
                  <c:v>20.2246</c:v>
                </c:pt>
                <c:pt idx="8">
                  <c:v>14.7127</c:v>
                </c:pt>
                <c:pt idx="9">
                  <c:v>14.5647</c:v>
                </c:pt>
              </c:numCache>
            </c:numRef>
          </c:val>
        </c:ser>
        <c:dLbls>
          <c:showLegendKey val="0"/>
          <c:showVal val="0"/>
          <c:showCatName val="0"/>
          <c:showSerName val="0"/>
          <c:showPercent val="0"/>
          <c:showBubbleSize val="0"/>
        </c:dLbls>
        <c:gapWidth val="182"/>
        <c:overlap val="100"/>
        <c:axId val="253052979"/>
        <c:axId val="686524647"/>
      </c:barChart>
      <c:catAx>
        <c:axId val="253052979"/>
        <c:scaling>
          <c:orientation val="minMax"/>
        </c:scaling>
        <c:delete val="0"/>
        <c:axPos val="l"/>
        <c:majorTickMark val="none"/>
        <c:minorTickMark val="none"/>
        <c:tickLblPos val="nextTo"/>
        <c:spPr>
          <a:solidFill>
            <a:schemeClr val="bg1">
              <a:alpha val="27000"/>
            </a:schemeClr>
          </a:solidFill>
          <a:ln w="9525" cap="flat" cmpd="sng" algn="ctr">
            <a:solidFill>
              <a:schemeClr val="tx1">
                <a:lumMod val="15000"/>
                <a:lumOff val="85000"/>
              </a:schemeClr>
            </a:solidFill>
            <a:prstDash val="solid"/>
            <a:round/>
          </a:ln>
          <a:effectLst/>
        </c:spPr>
        <c:txPr>
          <a:bodyPr rot="-60000000" spcFirstLastPara="0" vertOverflow="ellipsis" vert="horz" wrap="square" anchor="ctr" anchorCtr="0"/>
          <a:lstStyle/>
          <a:p>
            <a:pPr>
              <a:defRPr lang="zh-CN" sz="1000" b="1"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686524647"/>
        <c:crosses val="autoZero"/>
        <c:auto val="1"/>
        <c:lblAlgn val="ctr"/>
        <c:lblOffset val="100"/>
        <c:tickLblSkip val="1"/>
        <c:noMultiLvlLbl val="0"/>
      </c:catAx>
      <c:valAx>
        <c:axId val="686524647"/>
        <c:scaling>
          <c:orientation val="minMax"/>
        </c:scaling>
        <c:delete val="1"/>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mn-ea"/>
                    <a:ea typeface="+mn-ea"/>
                    <a:cs typeface="+mn-ea"/>
                    <a:sym typeface="+mn-ea"/>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sym typeface="+mn-ea"/>
                  </a:rPr>
                  <a:t>去年同期</a:t>
                </a:r>
                <a:r>
                  <a:rPr lang="en-US" altLang="zh-CN" sz="900" b="0" i="0" u="none" strike="noStrike" baseline="0">
                    <a:solidFill>
                      <a:srgbClr val="333333"/>
                    </a:solidFill>
                    <a:latin typeface="Arial" panose="020B0604020202020204" charset="0"/>
                    <a:ea typeface="Arial" panose="020B0604020202020204" charset="0"/>
                    <a:cs typeface="Arial" panose="020B0604020202020204" charset="0"/>
                    <a:sym typeface="+mn-ea"/>
                  </a:rPr>
                  <a:t>                                      </a:t>
                </a:r>
                <a:r>
                  <a:rPr altLang="en-US" sz="900" b="0" i="0" u="none" strike="noStrike" baseline="0">
                    <a:solidFill>
                      <a:srgbClr val="333333"/>
                    </a:solidFill>
                    <a:latin typeface="宋体" panose="02010600030101010101" charset="-122"/>
                    <a:ea typeface="宋体" panose="02010600030101010101" charset="-122"/>
                    <a:cs typeface="宋体" panose="02010600030101010101" charset="-122"/>
                    <a:sym typeface="+mn-ea"/>
                  </a:rPr>
                  <a:t>本年</a:t>
                </a:r>
                <a:endParaRPr altLang="en-US" sz="1000" b="0" i="0" u="none" strike="noStrike" baseline="0">
                  <a:solidFill>
                    <a:srgbClr val="000000"/>
                  </a:solidFill>
                  <a:latin typeface="Arial" panose="020B0604020202020204" charset="0"/>
                  <a:ea typeface="Arial" panose="020B0604020202020204" charset="0"/>
                  <a:cs typeface="Arial" panose="020B0604020202020204" charset="0"/>
                  <a:sym typeface="+mn-ea"/>
                </a:endParaRPr>
              </a:p>
            </c:rich>
          </c:tx>
          <c:layout>
            <c:manualLayout>
              <c:xMode val="edge"/>
              <c:yMode val="edge"/>
              <c:x val="0.423650366794671"/>
              <c:y val="0.856758878018072"/>
            </c:manualLayout>
          </c:layout>
          <c:overlay val="0"/>
          <c:spPr>
            <a:noFill/>
            <a:ln>
              <a:noFill/>
            </a:ln>
            <a:effectLst/>
          </c:spPr>
        </c:title>
        <c:numFmt formatCode="#.00;#.00;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253052979"/>
        <c:crosses val="autoZero"/>
        <c:crossBetween val="between"/>
      </c:valAx>
      <c:spPr>
        <a:noFill/>
        <a:ln>
          <a:noFill/>
        </a:ln>
        <a:effectLst/>
      </c:spPr>
    </c:plotArea>
    <c:legend>
      <c:legendPos val="b"/>
      <c:layout>
        <c:manualLayout>
          <c:xMode val="edge"/>
          <c:yMode val="edge"/>
          <c:x val="0.813328901880179"/>
          <c:y val="0.00561587420441782"/>
          <c:w val="0.150391330523781"/>
          <c:h val="0.05620253164556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6350" cap="flat" cmpd="sng" algn="ctr">
      <a:noFill/>
      <a:prstDash val="solid"/>
      <a:round/>
    </a:ln>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2020-04-17T07:56:00Z</dcterms:created>
  <dc:creator>lmx</dc:creator>
  <cp:lastModifiedBy>HP</cp:lastModifiedBy>
  <cp:lastPrinted>2023-02-01T08:20:00Z</cp:lastPrinted>
  <dcterms:modified xsi:type="dcterms:W3CDTF">2023-02-15T07:14:50Z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16123E73679C4DE6A4AD05FA83936D13</vt:lpwstr>
  </property>
</Properties>
</file>