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875"/>
        </w:tabs>
        <w:spacing w:line="560" w:lineRule="exact"/>
        <w:ind w:firstLine="22"/>
        <w:textAlignment w:val="baseline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*南简报N024号</w:t>
      </w:r>
    </w:p>
    <w:p>
      <w:pPr>
        <w:widowControl/>
        <w:spacing w:line="560" w:lineRule="exact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  <w:r>
        <w:rPr>
          <w:rFonts w:hint="eastAsia" w:ascii="仿宋_GB2312" w:hAnsi="宋体"/>
          <w:color w:val="000000"/>
          <w:kern w:val="0"/>
          <w:szCs w:val="32"/>
        </w:rPr>
        <w:pict>
          <v:shape id="_x0000_s1026" o:spid="_x0000_s1026" o:spt="136" type="#_x0000_t136" style="position:absolute;left:0pt;margin-left:95.95pt;margin-top:140.65pt;height:72.7pt;width:424.6pt;mso-position-horizontal-relative:page;mso-position-vertical-relative:page;z-index:251658240;mso-width-relative:page;mso-height-relative:page;" fillcolor="#FF0000" filled="t" stroked="t" coordsize="21600,21600">
            <v:path/>
            <v:fill on="t" focussize="0,0"/>
            <v:stroke color="#FFFFFF" joinstyle="bevel"/>
            <v:imagedata o:title=""/>
            <o:lock v:ext="edit" grouping="f" rotation="f" text="f" aspectratio="f"/>
            <v:textpath on="t" fitshape="t" fitpath="t" trim="t" xscale="f" string="南安统计信息" style="font-family:方正大标宋简体;font-size:36pt;v-text-align:center;"/>
          </v:shape>
        </w:pict>
      </w:r>
    </w:p>
    <w:p>
      <w:pPr>
        <w:widowControl/>
        <w:spacing w:line="560" w:lineRule="exact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eastAsia" w:ascii="仿宋_GB2312" w:hAnsi="宋体"/>
          <w:color w:val="000000"/>
          <w:kern w:val="0"/>
          <w:szCs w:val="32"/>
        </w:rPr>
      </w:pPr>
    </w:p>
    <w:p>
      <w:pPr>
        <w:widowControl/>
        <w:spacing w:line="560" w:lineRule="exact"/>
        <w:ind w:firstLine="22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期</w:t>
      </w:r>
    </w:p>
    <w:p>
      <w:pPr>
        <w:widowControl/>
        <w:spacing w:line="560" w:lineRule="exact"/>
        <w:ind w:firstLine="22"/>
        <w:jc w:val="center"/>
        <w:textAlignment w:val="baseline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南安市统计局  编                     202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103505</wp:posOffset>
                </wp:positionV>
                <wp:extent cx="6125845" cy="76200"/>
                <wp:effectExtent l="7620" t="0" r="8255" b="2286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845" cy="76200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09" type="#_x0000_t109" style="position:absolute;left:0pt;flip:y;margin-left:-15.3pt;margin-top:8.15pt;height:6pt;width:482.35pt;z-index:251659264;mso-width-relative:page;mso-height-relative:page;" fillcolor="#FF0000" filled="t" stroked="t" coordsize="21600,21600" o:gfxdata="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7/h77ZAAAACQEAAA8AAAAAAAAAAQAgAAAAIgAAAGRycy9kb3du&#10;cmV2LnhtbFBLAQIUABQAAAAIAIdO4kAbj7Dr/gEAAPoDAAAOAAAAAAAAAAEAIAAAACgBAABkcnMv&#10;ZTJvRG9jLnhtbFBLBQYAAAAABgAGAFkBAACYBQAAAAA=&#10;">
                <v:fill on="t" focussize="0,0"/>
                <v:stroke weight="1.25pt" color="#FFFFFF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房地产震荡回落，恢复基础不牢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highlight w:val="none"/>
          <w:lang w:val="en-US" w:eastAsia="zh-CN"/>
        </w:rPr>
        <w:t>——南安市2022年上半年房地产开发运行情况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今年以来，我市房地产市场行情较为低迷，市委市政府坚持“房住不炒”主定位，积极响应上级一系列政策促进房地产市场健康平稳发展。政策提振仍需时日，现存四个主要问题不容忽视。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房地产开发投资</w:t>
      </w:r>
      <w:r>
        <w:rPr>
          <w:rFonts w:hint="eastAsia" w:ascii="黑体" w:hAnsi="黑体" w:eastAsia="黑体" w:cs="黑体"/>
          <w:b w:val="0"/>
          <w:bCs w:val="0"/>
          <w:position w:val="10"/>
          <w:sz w:val="22"/>
          <w:szCs w:val="22"/>
          <w:highlight w:val="none"/>
          <w:lang w:val="en-US" w:eastAsia="zh-CN"/>
        </w:rPr>
        <w:t>[1]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继续回落，支撑力量不足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投资增速回落，对固定资产投资拉动作用减弱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2022年1-6月房地产开发投资完成55.91亿元，下降17.2%，降幅较1-5月份扩大4.2个百分点，三年平均增长7.6%。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从增长曲线看，增速由去年9月起震荡下降，整体投资呈下行态势。下拉全区固定资产投资增速5.3个百分点，拉动作用创近三年最低点。其中：建筑安装工程投资27.08亿元，下降32.5%；土地购置费</w:t>
      </w:r>
      <w:r>
        <w:rPr>
          <w:rFonts w:hint="default" w:ascii="Times New Roman" w:hAnsi="Times New Roman" w:eastAsia="仿宋_GB2312" w:cs="Times New Roman"/>
          <w:b w:val="0"/>
          <w:bCs w:val="0"/>
          <w:position w:val="10"/>
          <w:sz w:val="36"/>
          <w:szCs w:val="36"/>
          <w:highlight w:val="none"/>
          <w:u w:val="none"/>
          <w:vertAlign w:val="superscript"/>
          <w:lang w:val="en-US" w:eastAsia="zh-CN"/>
        </w:rPr>
        <w:t>[</w:t>
      </w:r>
      <w:r>
        <w:rPr>
          <w:rFonts w:hint="eastAsia" w:ascii="Times New Roman" w:hAnsi="Times New Roman" w:eastAsia="仿宋_GB2312" w:cs="Times New Roman"/>
          <w:b w:val="0"/>
          <w:bCs w:val="0"/>
          <w:position w:val="10"/>
          <w:sz w:val="36"/>
          <w:szCs w:val="36"/>
          <w:highlight w:val="none"/>
          <w:u w:val="none"/>
          <w:vertAlign w:val="superscript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 w:val="0"/>
          <w:position w:val="10"/>
          <w:sz w:val="36"/>
          <w:szCs w:val="36"/>
          <w:highlight w:val="none"/>
          <w:u w:val="none"/>
          <w:vertAlign w:val="superscript"/>
          <w:lang w:val="en-US" w:eastAsia="zh-CN"/>
        </w:rPr>
        <w:t>]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28.07亿元，增长7.6%，是支撑全市投资总量的关键因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素。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pict>
          <v:shape id="_x0000_s1028" o:spid="_x0000_s1028" o:spt="75" type="#_x0000_t75" style="position:absolute;left:0pt;margin-left:-21.85pt;margin-top:137.15pt;height:276.7pt;width:461.55pt;mso-position-vertical-relative:page;mso-wrap-distance-bottom:0pt;mso-wrap-distance-top:0pt;z-index:251660288;mso-width-relative:page;mso-height-relative:page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topAndBottom"/>
          </v:shape>
          <o:OLEObject Type="Embed" ProgID="Excel.Chart.8" ShapeID="_x0000_s1028" DrawAspect="Content" ObjectID="_1468075725" r:id="rId5">
            <o:LockedField>false</o:LockedField>
          </o:OLEObj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/>
        <w:jc w:val="center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图1  南安市房地产开发投资增速走势图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项目建设进度放缓，影响上游行业减产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受国内房地产开发市场下行和全国点状散发疫情影响，房地产开发建设原材料运输时间延长，房企资金周转紧张，导致项目建设进度放缓。同时，我市4月以来受雨季影响，达44天有雨甚至是暴雨，项目施工进度一度受到制约，整个二季度有效施工天数仅1.5个月左右。全市房地产开发建安工程投资下降32.5%。项目建设进度放缓，一定程度影响上游行业减产，如水泥、商品混凝土、钢筋等建材行业受到波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在建项目体量较少，后续支撑力量不足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afterLines="0" w:line="60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上半年，我市在统房地产项目104个，在建项目仅55个，其中58.2%的项目已经处于后期建设阶段或停缓建状态，初期或中期建设阶段项目较为缺乏，支撑力量不足，难以为房地产开发投资市场的后续发展提供有力的支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国有项目增长强劲，民营经济震荡下滑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afterLines="0" w:line="600" w:lineRule="exact"/>
        <w:ind w:left="0" w:leftChars="0" w:right="0" w:righ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国有项目完成投资10.06亿元，比增272.7%，拉动我市房地产开发投资增长10.9个百分点；民间经济完成投资45.38亿元，占比81.2%，下降28.8%。形成以民间为主、国有为辅，国有项目带动民间项目的房地产投资格局。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销售面积</w:t>
      </w:r>
      <w:r>
        <w:rPr>
          <w:rFonts w:hint="eastAsia" w:ascii="Times New Roman" w:hAnsi="Times New Roman" w:eastAsia="仿宋_GB2312" w:cs="Times New Roman"/>
          <w:b w:val="0"/>
          <w:bCs w:val="0"/>
          <w:sz w:val="36"/>
          <w:szCs w:val="36"/>
          <w:highlight w:val="none"/>
          <w:vertAlign w:val="superscript"/>
          <w:lang w:val="en-US" w:eastAsia="zh-CN"/>
        </w:rPr>
        <w:t>[4]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环比降幅缩窄，边际回暖现象初显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（一</w:t>
      </w:r>
      <w:r>
        <w:rPr>
          <w:rFonts w:hint="default" w:ascii="Times New Roman" w:hAnsi="Times New Roman" w:eastAsia="楷体" w:cs="Times New Roman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）销售面积持续下滑，环比降幅止扩回缩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上半年全市商品房销售面积环比降幅止扩回缩。2022年1-6月我市房地产企业商品房销售面积76.52万平方米，下降24.8%，环比下降11.9%，较1-5月环比增速缩窄9.9个百分点。商品房销售额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highlight w:val="none"/>
          <w:vertAlign w:val="superscript"/>
          <w:lang w:val="en-US" w:eastAsia="zh-CN"/>
        </w:rPr>
        <w:t>[5]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52.91亿元，下降32.7%。其中住宅销售额下降29.9%。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从房屋类型看，住宅和商业营业用房销售增速下滑是全市全市销售遇冷的关键。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住宅销售面积完成70.23万平方米，下降17.6%，拉动全市销售面积下滑14.8个百分点。办公楼销售面积完成0.57万平方米，下降57.9%，商业营业用房销售面积完成1.99万平方米，下降81.4%，拉低全市销售面积8.5个百分点。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（二）销售市场低迷，影响下游行业销量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yellow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受全国房地产销售市场下行、销售价格下降等因素影响，居民对购房投资持观望态度。部分有购房刚性需求的居民因疫情原因导致收入不稳定，暂缓购房计划。上半年，全市商品房销售面积76.52万平方米，下降24.8%。销售市场低迷影响下游产业销量，1-6月份限额以上建筑及装潢材料类消费品零售额下降27.6%，限额以上家具类消费品零售额下降88.0%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（三）待售面积</w:t>
      </w:r>
      <w:r>
        <w:rPr>
          <w:rFonts w:hint="default" w:ascii="Times New Roman" w:hAnsi="Times New Roman" w:eastAsia="仿宋_GB2312" w:cs="Times New Roman"/>
          <w:b w:val="0"/>
          <w:bCs w:val="0"/>
          <w:sz w:val="36"/>
          <w:szCs w:val="36"/>
          <w:highlight w:val="none"/>
          <w:vertAlign w:val="superscript"/>
          <w:lang w:val="en-US" w:eastAsia="zh-CN"/>
        </w:rPr>
        <w:t>[6]</w:t>
      </w: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同比减少，去化周期波动下降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上半年，我市商品房待售面积55.90万平米，下降4.5%；其中，待售时长为1-3年(含1年)的房屋待售面积19.71万平方米，增长7.8%；待售时长为3年以上(含3年)的房屋待售面积22.33万平方米，下降8.2%。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分用途看，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住宅类待售面积18.49万平米，增长6.0%；非住宅类待售面积37.41万平米，下降9.0%。商品房库存去化周期进一步走低，市场供应相对较弱，亟需增加土地供应或租赁用地以对冲购房市场压力。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企业资金压力尚未有效缓解，观望情绪浓厚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（一） 企业回笼资金减少，销售回款增速下滑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2022年1-6月我市房地产开发项目本年到位资金</w:t>
      </w:r>
      <w:r>
        <w:rPr>
          <w:rFonts w:hint="default" w:ascii="Times New Roman" w:hAnsi="Times New Roman" w:eastAsia="仿宋" w:cs="Times New Roman"/>
          <w:b w:val="0"/>
          <w:bCs w:val="0"/>
          <w:sz w:val="36"/>
          <w:szCs w:val="36"/>
          <w:highlight w:val="none"/>
          <w:vertAlign w:val="superscript"/>
          <w:lang w:val="en-US" w:eastAsia="zh-CN"/>
        </w:rPr>
        <w:t>[8]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呈下降态势，到位资金62.97亿元，比去年同期下降31.4%。从来源渠道看，定金预付款28.39亿元，下降19.4%，个人按揭贷款13.71亿元，销售回款共占全部到位资金的66.9%，在销售低迷导致销售回款速度放缓、建筑费用和抗疫费用增加等多重因素影响下，项目建设成本不断推高，房地产开发企业资金运营压力明显增大。后续会直接体现在项目的施工及销售进度上，反过来继续影响项目进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right="0" w:rightChars="0"/>
        <w:jc w:val="center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0"/>
          <w:szCs w:val="30"/>
          <w:highlight w:val="none"/>
          <w:lang w:val="en-US" w:eastAsia="zh-CN"/>
        </w:rPr>
        <w:t>表1  南安市一季度本年实际到位资金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4"/>
          <w:highlight w:val="none"/>
          <w:lang w:val="en-US" w:eastAsia="zh-CN" w:bidi="ar"/>
        </w:rPr>
        <w:t>单位：亿元、%</w:t>
      </w:r>
    </w:p>
    <w:tbl>
      <w:tblPr>
        <w:tblStyle w:val="8"/>
        <w:tblW w:w="877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2316"/>
        <w:gridCol w:w="1920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764" w:type="dxa"/>
            <w:tcBorders>
              <w:top w:val="single" w:color="000000" w:sz="12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指标</w:t>
            </w:r>
          </w:p>
        </w:tc>
        <w:tc>
          <w:tcPr>
            <w:tcW w:w="231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资金额（亿元）</w:t>
            </w:r>
          </w:p>
        </w:tc>
        <w:tc>
          <w:tcPr>
            <w:tcW w:w="192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比增（%）</w:t>
            </w:r>
          </w:p>
        </w:tc>
        <w:tc>
          <w:tcPr>
            <w:tcW w:w="1776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比重（%）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本年实际到位资金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62.97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-31.4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国内贷款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3.74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-63.4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自筹资金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16.47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-11.4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定金及预收款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28.39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-19.4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个人按揭贷款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13.71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-41.3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64" w:type="dxa"/>
            <w:tcBorders>
              <w:top w:val="single" w:color="000000" w:sz="8" w:space="0"/>
              <w:left w:val="nil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其他到位资金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0.66</w:t>
            </w:r>
          </w:p>
        </w:tc>
        <w:tc>
          <w:tcPr>
            <w:tcW w:w="192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-84.9</w:t>
            </w:r>
          </w:p>
        </w:tc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776" w:type="dxa"/>
            <w:gridSpan w:val="4"/>
            <w:tcBorders>
              <w:top w:val="single" w:color="000000" w:sz="12" w:space="0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注：因四舍五入存在分项总计不等于合计。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eastAsia" w:ascii="楷体" w:hAnsi="楷体" w:eastAsia="楷体" w:cs="楷体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Cs/>
          <w:color w:val="auto"/>
          <w:kern w:val="0"/>
          <w:sz w:val="32"/>
          <w:szCs w:val="32"/>
          <w:highlight w:val="none"/>
          <w:lang w:val="en-US" w:eastAsia="zh-CN"/>
        </w:rPr>
        <w:t>（二）土地交易谨慎，市场观望情绪浓厚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从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土地出让市场看，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上半年仅成交一宗地块，成交价3.8亿。房地产开发商拿地意愿不高，投资意愿降低，现行房地产市场大环境下房企资金紧张尚未得到有效改善，制约后续房地产开发投资回稳致远。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从企业生产经营景气状况来看，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企业存在招工难、资金紧张等问题，对市场观望情绪浓厚，经营信心不足，对下季度企业的经营状况持非乐观状况。33.7%的企业认为存在招工难问题，大部分是因为求职者对薪酬期望过高和符合岗位要求的应聘者减少，18.0%的企业存在资金紧张状况，主要由融资难、存货占用成本、贷款回笼慢、疫情影响下的销售滞慢等多方面问题造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从企业对下季度的合理预期来看，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75.3%的企业持非乐观状态。仅3.4%的企业下季度计划追投固定资产，大部分企业持观望状态，更有15.7%的企业计划下季度减少固定资产投资。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>利好政策与市场危机并存，后期压力犹存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一方面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，宏观经济逐步恢复、房地产政策工具箱持续打开传导，同时，银行机构通过下调贷款利率降低购房者置业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成本，部分合理住房需求得以有效释放。随着稳经济政策落地，降低首付比例和贷款利率、发放人才购房补贴等多种措施满足居民合理住房需求，这些均为房地产市场恢复稳定释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放积极信号。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afterLines="0" w:line="600" w:lineRule="exact"/>
        <w:ind w:left="0" w:leftChars="0" w:right="0" w:rightChars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另一方面，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根据华泰证券研究称，据2014年房地产周期，从政策转向到销售见底时滞2个季度，因此销售情况的改善可能还需要一定时间。伴随销售回暖和现金流预期改善，行业市场认知、居民消费情绪也需要一定的时间发生积极转变，下半年甚至是更长一段时间是房地产楼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"/>
        </w:rPr>
        <w:t>回暖的关键时机。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指标解释：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[1]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房地产开发投资：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指各种登记注册类型的房地产开发法人单位统一开发的住宅、厂房、仓库、饭店、宾馆、度假村、写字楼、办公楼等房屋建筑物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配套的服务设施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土地开发工程和土地购置的投资;不包括单纯的土地开发和交易活动。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[2]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房屋新开工面积：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指报告期内新开工建设的房屋建筑面积，以单位工程为核算对象。房屋的开工应以房屋正式开始破土刨槽（地基处理或打永久桩）的日期为准。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[3]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房屋竣工面积：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指报告期内房屋建筑按照设计要求已全部完工，达到住人和使用条件，经验收鉴定合格或达到竣工验收标准，可正式移交使用的各栋房屋建筑面积的总和。竣工面积以房屋单位工程（栋）为核算对象。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[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4]商品房销售面积：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指报告期内出售商品房屋的合同总面积（即双方签署的正式买卖合同中所确定的建筑面积）。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[5]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商品房销售额：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指报告期内出售商品房屋的合同总价款（即双方签署的正式买卖合同中所确定的合同总价）。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[6]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待售面积：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指报告期末已竣工的可供销售或出租的商品房屋建筑面积中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尚未销售或出租的商品房屋建筑面积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。商品房存销比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=待售面积/平均销售面积。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[7]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土地购置费：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指房地产开发企业通过各种方式取得土地使用权而支付的费用。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val="en-US" w:eastAsia="zh-CN"/>
        </w:rPr>
        <w:t>[8]</w:t>
      </w:r>
      <w:r>
        <w:rPr>
          <w:rFonts w:hint="eastAsia" w:ascii="楷体" w:hAnsi="楷体" w:eastAsia="楷体" w:cs="楷体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"/>
        </w:rPr>
        <w:t>本年实际到位资金：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指在报告期收到的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 w:val="0"/>
          <w:sz w:val="28"/>
          <w:szCs w:val="28"/>
          <w:highlight w:val="none"/>
        </w:rPr>
        <w:t>用于在建项目投资的各种货币资金。包括国内贷款、利用外资、自筹资金、定金及预收款、个人按揭贷款和其他资金。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24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eastAsia="仿宋_GB2312" w:hAnsiTheme="minorEastAsia" w:cstheme="minorEastAsia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hAnsiTheme="minorEastAsia" w:cstheme="minorEastAsia"/>
          <w:kern w:val="0"/>
          <w:sz w:val="32"/>
          <w:szCs w:val="32"/>
          <w:highlight w:val="none"/>
          <w:lang w:val="en-US" w:eastAsia="zh-CN"/>
        </w:rPr>
        <w:t>（南安市统计局　赖艺婷）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仿宋_GB2312"/>
          <w:lang w:eastAsia="zh-CN"/>
        </w:rPr>
      </w:pPr>
      <w:r>
        <w:rPr>
          <w:rFonts w:hint="eastAsia" w:eastAsia="仿宋_GB2312"/>
          <w:lang w:eastAsia="zh-CN"/>
        </w:rPr>
        <w:drawing>
          <wp:inline distT="0" distB="0" distL="114300" distR="114300">
            <wp:extent cx="901700" cy="908050"/>
            <wp:effectExtent l="0" t="0" r="12700" b="6350"/>
            <wp:docPr id="1" name="图片 1" descr="qrcode_for_gh_1eebab0522fd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1eebab0522fd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扫码关注南安市统计局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喵呜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篆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BB5FF5"/>
    <w:multiLevelType w:val="singleLevel"/>
    <w:tmpl w:val="B6BB5F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FB74F8"/>
    <w:multiLevelType w:val="singleLevel"/>
    <w:tmpl w:val="5AFB74F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A0FDB"/>
    <w:rsid w:val="003B7FDF"/>
    <w:rsid w:val="01E1112F"/>
    <w:rsid w:val="02FE4195"/>
    <w:rsid w:val="030B1F43"/>
    <w:rsid w:val="06116C3F"/>
    <w:rsid w:val="06984196"/>
    <w:rsid w:val="06AD1B7A"/>
    <w:rsid w:val="06B61C21"/>
    <w:rsid w:val="06F57E10"/>
    <w:rsid w:val="08F15082"/>
    <w:rsid w:val="0AB31D39"/>
    <w:rsid w:val="0D343B02"/>
    <w:rsid w:val="0EA57A91"/>
    <w:rsid w:val="10C32F57"/>
    <w:rsid w:val="18720373"/>
    <w:rsid w:val="19FE3089"/>
    <w:rsid w:val="1AB92BA0"/>
    <w:rsid w:val="1BFB5414"/>
    <w:rsid w:val="1C066B60"/>
    <w:rsid w:val="1C634610"/>
    <w:rsid w:val="1D5B12D6"/>
    <w:rsid w:val="1F677B10"/>
    <w:rsid w:val="20EA1EC5"/>
    <w:rsid w:val="22783C01"/>
    <w:rsid w:val="254F1927"/>
    <w:rsid w:val="257B6FF2"/>
    <w:rsid w:val="261E7B7C"/>
    <w:rsid w:val="274A003A"/>
    <w:rsid w:val="277814CD"/>
    <w:rsid w:val="294A5CDE"/>
    <w:rsid w:val="29D750B5"/>
    <w:rsid w:val="2A1B6F2E"/>
    <w:rsid w:val="2A6327A9"/>
    <w:rsid w:val="2B293140"/>
    <w:rsid w:val="2BBB5ECB"/>
    <w:rsid w:val="2BBF2ED3"/>
    <w:rsid w:val="2CDA0FDB"/>
    <w:rsid w:val="2D284D9D"/>
    <w:rsid w:val="2E80459B"/>
    <w:rsid w:val="2EDD1FE7"/>
    <w:rsid w:val="2EFC2BF6"/>
    <w:rsid w:val="31EB116C"/>
    <w:rsid w:val="328C7768"/>
    <w:rsid w:val="33DD3A0C"/>
    <w:rsid w:val="34EE4224"/>
    <w:rsid w:val="359F2637"/>
    <w:rsid w:val="35CA5580"/>
    <w:rsid w:val="3690323A"/>
    <w:rsid w:val="3B2C3880"/>
    <w:rsid w:val="3B6D4B4F"/>
    <w:rsid w:val="3E6C63E4"/>
    <w:rsid w:val="3E776B48"/>
    <w:rsid w:val="3F1E0F39"/>
    <w:rsid w:val="40B1249E"/>
    <w:rsid w:val="44526805"/>
    <w:rsid w:val="449C2BB3"/>
    <w:rsid w:val="45651A5E"/>
    <w:rsid w:val="45A62239"/>
    <w:rsid w:val="470E15BF"/>
    <w:rsid w:val="488B61EA"/>
    <w:rsid w:val="4AFF596A"/>
    <w:rsid w:val="4C8724E1"/>
    <w:rsid w:val="4D6A6725"/>
    <w:rsid w:val="4E534B2F"/>
    <w:rsid w:val="4E7E6B8C"/>
    <w:rsid w:val="4FC97663"/>
    <w:rsid w:val="500E62EF"/>
    <w:rsid w:val="53431F69"/>
    <w:rsid w:val="539B1EA6"/>
    <w:rsid w:val="541F052E"/>
    <w:rsid w:val="55FB6C1C"/>
    <w:rsid w:val="567A38A3"/>
    <w:rsid w:val="58963943"/>
    <w:rsid w:val="589748CC"/>
    <w:rsid w:val="58B9238C"/>
    <w:rsid w:val="58C31406"/>
    <w:rsid w:val="58FF10B7"/>
    <w:rsid w:val="5B8B4926"/>
    <w:rsid w:val="5C2F4FFD"/>
    <w:rsid w:val="5FB44584"/>
    <w:rsid w:val="60F130DB"/>
    <w:rsid w:val="61A540ED"/>
    <w:rsid w:val="626848BF"/>
    <w:rsid w:val="64AD10F6"/>
    <w:rsid w:val="66C270F9"/>
    <w:rsid w:val="6A691066"/>
    <w:rsid w:val="6B3A2DDC"/>
    <w:rsid w:val="6BF0030B"/>
    <w:rsid w:val="6C304FFF"/>
    <w:rsid w:val="6C316E04"/>
    <w:rsid w:val="6CEA2B81"/>
    <w:rsid w:val="6D4633E0"/>
    <w:rsid w:val="6F57234B"/>
    <w:rsid w:val="6FB0031F"/>
    <w:rsid w:val="70A54DE0"/>
    <w:rsid w:val="70F80448"/>
    <w:rsid w:val="71C06422"/>
    <w:rsid w:val="745D3E5C"/>
    <w:rsid w:val="74D06679"/>
    <w:rsid w:val="75002532"/>
    <w:rsid w:val="77B83AB6"/>
    <w:rsid w:val="7B205392"/>
    <w:rsid w:val="7C722ED8"/>
    <w:rsid w:val="7D722C43"/>
    <w:rsid w:val="7EBB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/>
      <w:ind w:left="200" w:leftChars="200" w:firstLine="200" w:firstLineChars="20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adjustRightInd w:val="0"/>
      <w:spacing w:line="360" w:lineRule="atLeast"/>
      <w:ind w:firstLine="600"/>
      <w:textAlignment w:val="baseline"/>
    </w:pPr>
    <w:rPr>
      <w:rFonts w:eastAsia="宋体" w:asciiTheme="minorAscii" w:hAnsiTheme="minorAscii"/>
      <w:sz w:val="3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2022-04-18T01:40:00Z</dcterms:created>
  <dc:creator>ASUS</dc:creator>
  <cp:lastModifiedBy>HP</cp:lastModifiedBy>
  <cp:lastPrinted>2022-07-25T07:40:00Z</cp:lastPrinted>
  <dcterms:modified xsi:type="dcterms:W3CDTF">2022-07-28T07:35:00Z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