
<file path=[Content_Types].xml><?xml version="1.0" encoding="utf-8"?>
<Types xmlns="http://schemas.openxmlformats.org/package/2006/content-types">
  <Default Extension="xml" ContentType="application/xml"/>
  <Default Extension="xlsx" ContentType="application/vnd.openxmlformats-officedocument.spreadsheetml.sheet"/>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7875"/>
        </w:tabs>
        <w:spacing w:line="560" w:lineRule="exact"/>
        <w:ind w:firstLine="22"/>
        <w:textAlignment w:val="baseline"/>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b/>
          <w:bCs/>
          <w:color w:val="000000"/>
          <w:kern w:val="0"/>
          <w:sz w:val="32"/>
          <w:szCs w:val="32"/>
        </w:rPr>
        <w:t>*南简报N024号</w:t>
      </w:r>
    </w:p>
    <w:p>
      <w:pPr>
        <w:widowControl/>
        <w:spacing w:line="560" w:lineRule="exact"/>
        <w:jc w:val="center"/>
        <w:textAlignment w:val="baseline"/>
        <w:rPr>
          <w:rFonts w:hint="eastAsia" w:ascii="仿宋_GB2312" w:hAnsi="宋体"/>
          <w:color w:val="000000"/>
          <w:kern w:val="0"/>
          <w:szCs w:val="32"/>
        </w:rPr>
      </w:pPr>
    </w:p>
    <w:p>
      <w:pPr>
        <w:widowControl/>
        <w:spacing w:line="560" w:lineRule="exact"/>
        <w:ind w:firstLine="22"/>
        <w:jc w:val="center"/>
        <w:textAlignment w:val="baseline"/>
        <w:rPr>
          <w:rFonts w:hint="eastAsia" w:ascii="仿宋_GB2312" w:hAnsi="宋体"/>
          <w:color w:val="000000"/>
          <w:kern w:val="0"/>
          <w:szCs w:val="32"/>
        </w:rPr>
      </w:pPr>
      <w:r>
        <w:rPr>
          <w:rFonts w:hint="eastAsia" w:ascii="仿宋_GB2312" w:hAnsi="宋体"/>
          <w:color w:val="000000"/>
          <w:kern w:val="0"/>
          <w:szCs w:val="32"/>
        </w:rPr>
        <w:pict>
          <v:shape id="_x0000_s1026" o:spid="_x0000_s1026" o:spt="136" type="#_x0000_t136" style="position:absolute;left:0pt;margin-left:95.95pt;margin-top:140.65pt;height:72.7pt;width:424.6pt;mso-position-horizontal-relative:page;mso-position-vertical-relative:page;z-index:251661312;mso-width-relative:page;mso-height-relative:page;" fillcolor="#FF0000" filled="t" stroked="t" coordsize="21600,21600">
            <v:path/>
            <v:fill on="t" focussize="0,0"/>
            <v:stroke color="#FFFFFF" joinstyle="bevel"/>
            <v:imagedata o:title=""/>
            <o:lock v:ext="edit" grouping="f" rotation="f" text="f" aspectratio="f"/>
            <v:textpath on="t" fitshape="t" fitpath="t" trim="t" xscale="f" string="南安统计信息" style="font-family:方正大标宋简体;font-size:36pt;v-text-align:center;"/>
          </v:shape>
        </w:pict>
      </w:r>
    </w:p>
    <w:p>
      <w:pPr>
        <w:widowControl/>
        <w:spacing w:line="560" w:lineRule="exact"/>
        <w:textAlignment w:val="baseline"/>
        <w:rPr>
          <w:rFonts w:hint="eastAsia" w:ascii="仿宋_GB2312" w:hAnsi="宋体"/>
          <w:color w:val="000000"/>
          <w:kern w:val="0"/>
          <w:szCs w:val="32"/>
        </w:rPr>
      </w:pPr>
    </w:p>
    <w:p>
      <w:pPr>
        <w:widowControl/>
        <w:spacing w:line="560" w:lineRule="exact"/>
        <w:ind w:firstLine="22"/>
        <w:jc w:val="center"/>
        <w:textAlignment w:val="baseline"/>
        <w:rPr>
          <w:rFonts w:hint="eastAsia" w:ascii="仿宋_GB2312" w:hAnsi="宋体"/>
          <w:color w:val="000000"/>
          <w:kern w:val="0"/>
          <w:szCs w:val="32"/>
        </w:rPr>
      </w:pPr>
    </w:p>
    <w:p>
      <w:pPr>
        <w:widowControl/>
        <w:spacing w:line="560" w:lineRule="exact"/>
        <w:ind w:firstLine="22"/>
        <w:jc w:val="center"/>
        <w:textAlignment w:val="baseline"/>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第</w:t>
      </w:r>
      <w:r>
        <w:rPr>
          <w:rFonts w:hint="eastAsia" w:ascii="Times New Roman" w:hAnsi="Times New Roman" w:eastAsia="仿宋_GB2312" w:cs="Times New Roman"/>
          <w:color w:val="000000"/>
          <w:kern w:val="0"/>
          <w:sz w:val="32"/>
          <w:szCs w:val="32"/>
          <w:lang w:val="en-US" w:eastAsia="zh-CN"/>
        </w:rPr>
        <w:t>10</w:t>
      </w:r>
      <w:r>
        <w:rPr>
          <w:rFonts w:hint="default" w:ascii="Times New Roman" w:hAnsi="Times New Roman" w:eastAsia="仿宋_GB2312" w:cs="Times New Roman"/>
          <w:color w:val="000000"/>
          <w:kern w:val="0"/>
          <w:sz w:val="32"/>
          <w:szCs w:val="32"/>
        </w:rPr>
        <w:t>期</w:t>
      </w:r>
    </w:p>
    <w:p>
      <w:pPr>
        <w:widowControl/>
        <w:spacing w:line="560" w:lineRule="exact"/>
        <w:ind w:firstLine="22"/>
        <w:jc w:val="center"/>
        <w:textAlignment w:val="baseline"/>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南安市统计局  编                     2022年4月2</w:t>
      </w:r>
      <w:r>
        <w:rPr>
          <w:rFonts w:hint="eastAsia" w:ascii="Times New Roman" w:hAnsi="Times New Roman" w:eastAsia="仿宋_GB2312" w:cs="Times New Roman"/>
          <w:color w:val="000000"/>
          <w:kern w:val="0"/>
          <w:sz w:val="32"/>
          <w:szCs w:val="32"/>
          <w:lang w:val="en-US" w:eastAsia="zh-CN"/>
        </w:rPr>
        <w:t>8</w:t>
      </w:r>
      <w:r>
        <w:rPr>
          <w:rFonts w:hint="default" w:ascii="Times New Roman" w:hAnsi="Times New Roman" w:eastAsia="仿宋_GB2312" w:cs="Times New Roman"/>
          <w:color w:val="000000"/>
          <w:kern w:val="0"/>
          <w:sz w:val="32"/>
          <w:szCs w:val="32"/>
        </w:rPr>
        <w:t>日</w:t>
      </w:r>
    </w:p>
    <w:p>
      <w:pPr>
        <w:spacing w:line="560" w:lineRule="exact"/>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mc:AlternateContent>
          <mc:Choice Requires="wps">
            <w:drawing>
              <wp:anchor distT="0" distB="0" distL="114300" distR="114300" simplePos="0" relativeHeight="251662336" behindDoc="0" locked="0" layoutInCell="1" allowOverlap="1">
                <wp:simplePos x="0" y="0"/>
                <wp:positionH relativeFrom="column">
                  <wp:posOffset>-194310</wp:posOffset>
                </wp:positionH>
                <wp:positionV relativeFrom="paragraph">
                  <wp:posOffset>103505</wp:posOffset>
                </wp:positionV>
                <wp:extent cx="6125845" cy="76200"/>
                <wp:effectExtent l="7620" t="0" r="8255" b="22860"/>
                <wp:wrapNone/>
                <wp:docPr id="1" name="自选图形 3"/>
                <wp:cNvGraphicFramePr/>
                <a:graphic xmlns:a="http://schemas.openxmlformats.org/drawingml/2006/main">
                  <a:graphicData uri="http://schemas.microsoft.com/office/word/2010/wordprocessingShape">
                    <wps:wsp>
                      <wps:cNvSpPr/>
                      <wps:spPr>
                        <a:xfrm flipV="1">
                          <a:off x="0" y="0"/>
                          <a:ext cx="6125845" cy="76200"/>
                        </a:xfrm>
                        <a:prstGeom prst="flowChartProcess">
                          <a:avLst/>
                        </a:prstGeom>
                        <a:solidFill>
                          <a:srgbClr val="FF0000"/>
                        </a:solidFill>
                        <a:ln w="15875" cap="flat" cmpd="sng">
                          <a:solidFill>
                            <a:srgbClr val="FFFFFF"/>
                          </a:solidFill>
                          <a:prstDash val="solid"/>
                          <a:miter/>
                          <a:headEnd type="none" w="med" len="med"/>
                          <a:tailEnd type="none" w="med" len="med"/>
                        </a:ln>
                        <a:effectLst/>
                      </wps:spPr>
                      <wps:bodyPr upright="1"/>
                    </wps:wsp>
                  </a:graphicData>
                </a:graphic>
              </wp:anchor>
            </w:drawing>
          </mc:Choice>
          <mc:Fallback>
            <w:pict>
              <v:shape id="自选图形 3" o:spid="_x0000_s1026" o:spt="109" type="#_x0000_t109" style="position:absolute;left:0pt;flip:y;margin-left:-15.3pt;margin-top:8.15pt;height:6pt;width:482.35pt;z-index:251662336;mso-width-relative:page;mso-height-relative:page;" fillcolor="#FF0000" filled="t" stroked="t" coordsize="21600,21600" o:gfxdata="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bv+HvtkAAAAJAQAADwAAAAAAAAABACAAAAAiAAAAZHJzL2Rvd25y&#10;ZXYueG1sUEsBAhQAFAAAAAgAh07iQBmR5Un9AQAA+gMAAA4AAAAAAAAAAQAgAAAAKAEAAGRycy9l&#10;Mm9Eb2MueG1sUEsFBgAAAAAGAAYAWQEAAJcFAAAAAA==&#10;">
                <v:fill on="t" focussize="0,0"/>
                <v:stroke weight="1.25pt" color="#FFFFFF" joinstyle="miter"/>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before="157" w:beforeLines="50" w:after="313" w:afterLines="100" w:line="600" w:lineRule="exact"/>
        <w:ind w:left="0" w:leftChars="0" w:right="0" w:rightChars="0" w:firstLine="0" w:firstLineChars="0"/>
        <w:jc w:val="center"/>
        <w:textAlignment w:val="auto"/>
        <w:outlineLvl w:val="0"/>
        <w:rPr>
          <w:rFonts w:hint="eastAsia" w:ascii="方正小标宋简体" w:hAnsi="方正小标宋简体" w:eastAsia="方正小标宋简体" w:cs="方正小标宋简体"/>
          <w:b w:val="0"/>
          <w:bCs w:val="0"/>
          <w:color w:val="auto"/>
          <w:sz w:val="44"/>
          <w:szCs w:val="44"/>
          <w:highlight w:val="none"/>
          <w:lang w:val="en-US" w:eastAsia="zh-CN"/>
        </w:rPr>
      </w:pPr>
      <w:r>
        <w:rPr>
          <w:rFonts w:hint="eastAsia" w:ascii="方正小标宋简体" w:hAnsi="方正小标宋简体" w:eastAsia="方正小标宋简体" w:cs="方正小标宋简体"/>
          <w:b w:val="0"/>
          <w:bCs w:val="0"/>
          <w:color w:val="auto"/>
          <w:sz w:val="44"/>
          <w:szCs w:val="44"/>
          <w:highlight w:val="none"/>
          <w:lang w:val="en-US" w:eastAsia="zh-CN"/>
        </w:rPr>
        <w:t>南安市2022年一季度建筑业生产经营情况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kern w:val="0"/>
          <w:sz w:val="32"/>
          <w:szCs w:val="32"/>
          <w:highlight w:val="none"/>
          <w:lang w:val="en-US" w:eastAsia="zh-CN" w:bidi="ar-SA"/>
        </w:rPr>
      </w:pPr>
      <w:r>
        <w:rPr>
          <w:rFonts w:hint="default" w:ascii="Times New Roman" w:hAnsi="Times New Roman" w:eastAsia="仿宋_GB2312" w:cs="Times New Roman"/>
          <w:color w:val="auto"/>
          <w:kern w:val="0"/>
          <w:sz w:val="32"/>
          <w:szCs w:val="32"/>
          <w:highlight w:val="none"/>
          <w:lang w:val="en-US" w:eastAsia="zh-CN" w:bidi="ar-SA"/>
        </w:rPr>
        <w:t>2022年一季度，我市建筑业面对复杂多变的市场环境，依托全市经济稳步向好发展、营商环境不断改善等良好机遇，积极抢占发展先机，努力克服建材价格大幅上涨和全国点状疫情突发的不利因素，全市建筑业生产承压前行，呈现稳步发展势头。</w:t>
      </w:r>
    </w:p>
    <w:p>
      <w:pPr>
        <w:keepNext w:val="0"/>
        <w:keepLines w:val="0"/>
        <w:pageBreakBefore w:val="0"/>
        <w:widowControl/>
        <w:numPr>
          <w:ilvl w:val="0"/>
          <w:numId w:val="1"/>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1"/>
        <w:rPr>
          <w:rFonts w:hint="default" w:ascii="Times New Roman" w:hAnsi="Times New Roman" w:eastAsia="黑体" w:cs="Times New Roman"/>
          <w:bCs/>
          <w:color w:val="auto"/>
          <w:kern w:val="0"/>
          <w:sz w:val="32"/>
          <w:szCs w:val="32"/>
          <w:highlight w:val="none"/>
          <w:lang w:val="en-US" w:eastAsia="zh-CN"/>
        </w:rPr>
      </w:pPr>
      <w:r>
        <w:rPr>
          <w:rFonts w:hint="default" w:ascii="Times New Roman" w:hAnsi="Times New Roman" w:eastAsia="黑体" w:cs="Times New Roman"/>
          <w:bCs/>
          <w:color w:val="auto"/>
          <w:kern w:val="0"/>
          <w:sz w:val="32"/>
          <w:szCs w:val="32"/>
          <w:highlight w:val="none"/>
          <w:lang w:val="en-US" w:eastAsia="zh-CN"/>
        </w:rPr>
        <w:t>建筑业运行主要特点</w:t>
      </w:r>
    </w:p>
    <w:p>
      <w:pPr>
        <w:keepNext w:val="0"/>
        <w:keepLines w:val="0"/>
        <w:pageBreakBefore w:val="0"/>
        <w:widowControl/>
        <w:numPr>
          <w:ilvl w:val="0"/>
          <w:numId w:val="2"/>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1"/>
        <w:rPr>
          <w:rFonts w:hint="default" w:ascii="Times New Roman" w:hAnsi="Times New Roman" w:eastAsia="楷体" w:cs="Times New Roman"/>
          <w:bCs/>
          <w:color w:val="auto"/>
          <w:kern w:val="0"/>
          <w:sz w:val="32"/>
          <w:szCs w:val="32"/>
          <w:highlight w:val="none"/>
          <w:lang w:val="en-US" w:eastAsia="zh-CN"/>
        </w:rPr>
      </w:pPr>
      <w:r>
        <w:rPr>
          <w:rFonts w:hint="default" w:ascii="Times New Roman" w:hAnsi="Times New Roman" w:eastAsia="楷体" w:cs="Times New Roman"/>
          <w:bCs/>
          <w:color w:val="auto"/>
          <w:kern w:val="0"/>
          <w:sz w:val="32"/>
          <w:szCs w:val="32"/>
          <w:highlight w:val="none"/>
          <w:lang w:val="en-US" w:eastAsia="zh-CN"/>
        </w:rPr>
        <w:t>建筑业生产规模扩大，总产值稳步发展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rPr>
          <w:rFonts w:hint="default" w:ascii="Times New Roman" w:hAnsi="Times New Roman" w:eastAsia="仿宋_GB2312" w:cs="Times New Roman"/>
          <w:color w:val="auto"/>
          <w:kern w:val="0"/>
          <w:sz w:val="32"/>
          <w:szCs w:val="32"/>
          <w:highlight w:val="none"/>
          <w:lang w:val="en-US" w:eastAsia="zh-CN" w:bidi="ar-SA"/>
        </w:rPr>
      </w:pPr>
      <w:r>
        <w:rPr>
          <w:rFonts w:hint="default" w:ascii="Times New Roman" w:hAnsi="Times New Roman" w:eastAsia="仿宋_GB2312" w:cs="Times New Roman"/>
          <w:color w:val="auto"/>
          <w:kern w:val="0"/>
          <w:sz w:val="32"/>
          <w:szCs w:val="32"/>
          <w:highlight w:val="none"/>
          <w:lang w:val="en-US" w:eastAsia="zh-CN" w:bidi="ar-SA"/>
        </w:rPr>
        <w:t>2022年第一季度我市在统资质以上建筑业企业143家，实现建筑业产值28.64亿元，比增11.9%，居泉州各县（市、区）第二，增速较上年有所回落，但仍保持两位数增长，呈现稳步发展势头。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right="0" w:rightChars="0"/>
        <w:jc w:val="left"/>
        <w:textAlignment w:val="auto"/>
        <w:outlineLvl w:val="9"/>
        <w:rPr>
          <w:rFonts w:hint="eastAsia" w:ascii="仿宋_GB2312" w:eastAsia="仿宋_GB2312" w:hAnsiTheme="minorEastAsia" w:cstheme="minorEastAsia"/>
          <w:color w:val="0000FF"/>
          <w:kern w:val="0"/>
          <w:sz w:val="32"/>
          <w:szCs w:val="32"/>
          <w:highlight w:val="none"/>
          <w:lang w:val="en-US" w:eastAsia="zh-CN" w:bidi="ar-SA"/>
        </w:rPr>
      </w:pPr>
      <w:r>
        <w:rPr>
          <w:rFonts w:hint="eastAsia" w:ascii="仿宋_GB2312" w:eastAsia="仿宋_GB2312" w:hAnsiTheme="minorEastAsia" w:cstheme="minorEastAsia"/>
          <w:color w:val="0000FF"/>
          <w:kern w:val="0"/>
          <w:sz w:val="32"/>
          <w:szCs w:val="32"/>
          <w:highlight w:val="none"/>
          <w:lang w:val="en-US" w:eastAsia="zh-CN" w:bidi="ar-SA"/>
        </w:rPr>
        <w:drawing>
          <wp:inline distT="0" distB="0" distL="114300" distR="114300">
            <wp:extent cx="5274310" cy="2587625"/>
            <wp:effectExtent l="0" t="0" r="13970" b="3175"/>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right="0" w:rightChars="0"/>
        <w:jc w:val="center"/>
        <w:textAlignment w:val="auto"/>
        <w:outlineLvl w:val="9"/>
        <w:rPr>
          <w:rFonts w:hint="eastAsia" w:ascii="楷体" w:hAnsi="楷体" w:eastAsia="楷体" w:cs="楷体"/>
          <w:b/>
          <w:bCs/>
          <w:color w:val="auto"/>
          <w:kern w:val="0"/>
          <w:sz w:val="30"/>
          <w:szCs w:val="30"/>
          <w:highlight w:val="none"/>
          <w:lang w:val="en-US" w:eastAsia="zh-CN"/>
        </w:rPr>
      </w:pPr>
      <w:r>
        <w:rPr>
          <w:rFonts w:hint="eastAsia" w:ascii="楷体" w:hAnsi="楷体" w:eastAsia="楷体" w:cs="楷体"/>
          <w:b w:val="0"/>
          <w:bCs w:val="0"/>
          <w:color w:val="auto"/>
          <w:kern w:val="0"/>
          <w:sz w:val="30"/>
          <w:szCs w:val="30"/>
          <w:highlight w:val="none"/>
          <w:lang w:val="en-US" w:eastAsia="zh-CN"/>
        </w:rPr>
        <w:t>图1  2020-2022年南安市建筑业产值增速图</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kern w:val="0"/>
          <w:sz w:val="32"/>
          <w:szCs w:val="32"/>
          <w:highlight w:val="none"/>
          <w:lang w:val="en-US" w:eastAsia="zh-CN" w:bidi="ar-SA"/>
        </w:rPr>
      </w:pPr>
      <w:r>
        <w:rPr>
          <w:rFonts w:hint="default" w:ascii="Times New Roman" w:hAnsi="Times New Roman" w:eastAsia="仿宋_GB2312" w:cs="Times New Roman"/>
          <w:color w:val="auto"/>
          <w:kern w:val="0"/>
          <w:sz w:val="32"/>
          <w:szCs w:val="32"/>
          <w:highlight w:val="none"/>
          <w:lang w:val="en-US" w:eastAsia="zh-CN" w:bidi="ar-SA"/>
        </w:rPr>
        <w:t>从增长曲线看，我市近两年建筑业产值增速呈波浪起伏增长态势，2021年年初受企业复工复产、业务量增加、同期基数较低等因素刺激，增速高位起点，后续逐步回落趋缓，2022年一季度受全国点状疫情和本土疫情影响，增速有所回落，但仍保持平稳增长态势。</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kern w:val="0"/>
          <w:sz w:val="32"/>
          <w:szCs w:val="32"/>
          <w:highlight w:val="none"/>
          <w:lang w:val="en-US" w:eastAsia="zh-CN" w:bidi="ar-SA"/>
        </w:rPr>
      </w:pPr>
      <w:r>
        <w:rPr>
          <w:rFonts w:hint="default" w:ascii="Times New Roman" w:hAnsi="Times New Roman" w:eastAsia="仿宋_GB2312" w:cs="Times New Roman"/>
          <w:color w:val="auto"/>
          <w:kern w:val="0"/>
          <w:sz w:val="32"/>
          <w:szCs w:val="32"/>
          <w:highlight w:val="none"/>
          <w:lang w:val="en-US" w:eastAsia="zh-CN" w:bidi="ar-SA"/>
        </w:rPr>
        <w:t>从产值构成看，建安工程产值占比下降，拉动作用减弱。其他建筑业产值拉动作用凸显。建筑工程产值24.76亿元，占总产值的86.5%，比重同比下降6.2个百分点，拉动增长4.0个百分点；安装工程产值1.15亿元，占总产值的4.0%，比增40.0%，拉动增长1.3个百分点；其他建筑业产值2.73亿元，比增161.5%，拉动增长6.6个百分点，贡献率达55.3%。</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1"/>
        <w:rPr>
          <w:rFonts w:hint="default" w:ascii="Times New Roman" w:hAnsi="Times New Roman" w:eastAsia="楷体" w:cs="Times New Roman"/>
          <w:bCs/>
          <w:color w:val="auto"/>
          <w:kern w:val="0"/>
          <w:sz w:val="32"/>
          <w:szCs w:val="32"/>
          <w:highlight w:val="none"/>
          <w:lang w:val="en-US" w:eastAsia="zh-CN"/>
        </w:rPr>
      </w:pPr>
      <w:r>
        <w:rPr>
          <w:rFonts w:hint="default" w:ascii="Times New Roman" w:hAnsi="Times New Roman" w:eastAsia="楷体" w:cs="Times New Roman"/>
          <w:bCs/>
          <w:color w:val="auto"/>
          <w:kern w:val="0"/>
          <w:sz w:val="32"/>
          <w:szCs w:val="32"/>
          <w:highlight w:val="none"/>
          <w:lang w:val="en-US" w:eastAsia="zh-CN"/>
        </w:rPr>
        <w:t>行业集聚明显，房屋建筑业产值拉动凸显</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kern w:val="0"/>
          <w:sz w:val="32"/>
          <w:szCs w:val="32"/>
          <w:highlight w:val="none"/>
          <w:lang w:val="en-US" w:eastAsia="zh-CN" w:bidi="ar-SA"/>
        </w:rPr>
      </w:pPr>
      <w:r>
        <w:rPr>
          <w:rFonts w:hint="default" w:ascii="Times New Roman" w:hAnsi="Times New Roman" w:eastAsia="仿宋_GB2312" w:cs="Times New Roman"/>
          <w:color w:val="auto"/>
          <w:kern w:val="0"/>
          <w:sz w:val="32"/>
          <w:szCs w:val="32"/>
          <w:highlight w:val="none"/>
          <w:lang w:val="en-US" w:eastAsia="zh-CN" w:bidi="ar-SA"/>
        </w:rPr>
        <w:t>从行业类型看，房屋建筑业产值16.71亿元，占总产值的58.3%，比增14.9%，拉动增长8.5个百分点，对全市建筑业总产值贡献率达71.1%；土木工程建筑业产值7.71亿元，占总产值的26.9%，比增21.8%，拉动增长5.4个百分点，贡献率达45.2%；建筑安装业0.26亿元，下降38.9%；建筑装饰、装修和其他建筑业3.97亿元，下降7.8%。建筑业产值形成以房屋建筑、土木工程建筑为主，建筑安装、建筑装饰装修为辅的格局，行业集聚明显。</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1"/>
        <w:rPr>
          <w:rFonts w:hint="default" w:ascii="Times New Roman" w:hAnsi="Times New Roman" w:eastAsia="楷体" w:cs="Times New Roman"/>
          <w:bCs/>
          <w:color w:val="auto"/>
          <w:kern w:val="0"/>
          <w:sz w:val="32"/>
          <w:szCs w:val="32"/>
          <w:highlight w:val="none"/>
          <w:lang w:val="en-US" w:eastAsia="zh-CN"/>
        </w:rPr>
      </w:pPr>
      <w:r>
        <w:rPr>
          <w:rFonts w:hint="default" w:ascii="Times New Roman" w:hAnsi="Times New Roman" w:eastAsia="楷体" w:cs="Times New Roman"/>
          <w:bCs/>
          <w:color w:val="auto"/>
          <w:kern w:val="0"/>
          <w:sz w:val="32"/>
          <w:szCs w:val="32"/>
          <w:highlight w:val="none"/>
          <w:lang w:val="en-US" w:eastAsia="zh-CN"/>
        </w:rPr>
        <w:t>企业数量平稳增长，重点企业贡献突出</w:t>
      </w:r>
    </w:p>
    <w:p>
      <w:pPr>
        <w:pStyle w:val="2"/>
        <w:keepNext w:val="0"/>
        <w:keepLines w:val="0"/>
        <w:pageBreakBefore w:val="0"/>
        <w:widowControl w:val="0"/>
        <w:kinsoku/>
        <w:wordWrap/>
        <w:overflowPunct/>
        <w:topLinePunct w:val="0"/>
        <w:autoSpaceDE/>
        <w:autoSpaceDN/>
        <w:bidi w:val="0"/>
        <w:adjustRightInd/>
        <w:snapToGrid/>
        <w:spacing w:after="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kern w:val="0"/>
          <w:sz w:val="32"/>
          <w:szCs w:val="32"/>
          <w:highlight w:val="none"/>
          <w:lang w:val="en-US" w:eastAsia="zh-CN" w:bidi="ar-SA"/>
        </w:rPr>
      </w:pPr>
      <w:r>
        <w:rPr>
          <w:rFonts w:hint="default" w:ascii="Times New Roman" w:hAnsi="Times New Roman" w:eastAsia="仿宋_GB2312" w:cs="Times New Roman"/>
          <w:color w:val="auto"/>
          <w:kern w:val="0"/>
          <w:sz w:val="32"/>
          <w:szCs w:val="32"/>
          <w:highlight w:val="none"/>
          <w:lang w:val="en-US" w:eastAsia="zh-CN" w:bidi="ar-SA"/>
        </w:rPr>
        <w:t>随着投资环境的不断改善，全市建筑业企业不断发展壮大，对全市贡献突出，呈现出明显的聚集发展态势。一季度，全市产值前30强企业共完成建筑业总产值25.88亿元，占全市比重90.4%，比增22.3%。其中，产值前10强企业共完成建筑业总产值20.57亿元，占比71.8%，比增26.4%，高于整体建筑业总产值增速14.5个百分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right="0" w:rightChars="0"/>
        <w:jc w:val="center"/>
        <w:textAlignment w:val="auto"/>
        <w:outlineLvl w:val="9"/>
        <w:rPr>
          <w:rFonts w:hint="eastAsia" w:ascii="楷体" w:hAnsi="楷体" w:eastAsia="楷体" w:cs="楷体"/>
          <w:b/>
          <w:bCs/>
          <w:color w:val="auto"/>
          <w:kern w:val="0"/>
          <w:sz w:val="30"/>
          <w:szCs w:val="30"/>
          <w:highlight w:val="none"/>
          <w:lang w:val="en-US" w:eastAsia="zh-CN"/>
        </w:rPr>
      </w:pPr>
      <w:r>
        <w:rPr>
          <w:rFonts w:hint="eastAsia" w:ascii="楷体" w:hAnsi="楷体" w:eastAsia="楷体" w:cs="楷体"/>
          <w:b w:val="0"/>
          <w:bCs w:val="0"/>
          <w:color w:val="auto"/>
          <w:kern w:val="0"/>
          <w:sz w:val="30"/>
          <w:szCs w:val="30"/>
          <w:highlight w:val="none"/>
          <w:lang w:val="en-US" w:eastAsia="zh-CN"/>
        </w:rPr>
        <w:t>表1  2022年一季度产值分布图（分资质）</w:t>
      </w:r>
    </w:p>
    <w:tbl>
      <w:tblPr>
        <w:tblStyle w:val="15"/>
        <w:tblW w:w="8820" w:type="dxa"/>
        <w:tblInd w:w="1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16"/>
        <w:gridCol w:w="1308"/>
        <w:gridCol w:w="1404"/>
        <w:gridCol w:w="1452"/>
        <w:gridCol w:w="1368"/>
        <w:gridCol w:w="18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850" w:hRule="atLeast"/>
        </w:trPr>
        <w:tc>
          <w:tcPr>
            <w:tcW w:w="1416" w:type="dxa"/>
            <w:tcBorders>
              <w:top w:val="single" w:color="000000" w:sz="12" w:space="0"/>
              <w:left w:val="nil"/>
              <w:bottom w:val="single" w:color="000000" w:sz="12"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right="0" w:rightChars="0" w:firstLine="0" w:firstLineChars="0"/>
              <w:jc w:val="center"/>
              <w:textAlignment w:val="center"/>
              <w:outlineLvl w:val="9"/>
              <w:rPr>
                <w:rFonts w:hint="eastAsia" w:ascii="仿宋_GB2312" w:hAnsi="仿宋_GB2312" w:eastAsia="仿宋_GB2312" w:cs="仿宋_GB2312"/>
                <w:b/>
                <w:bCs/>
                <w:i w:val="0"/>
                <w:iCs w:val="0"/>
                <w:color w:val="000000"/>
                <w:sz w:val="28"/>
                <w:szCs w:val="28"/>
                <w:u w:val="none"/>
              </w:rPr>
            </w:pPr>
            <w:r>
              <w:rPr>
                <w:rFonts w:hint="eastAsia" w:ascii="仿宋_GB2312" w:hAnsi="仿宋_GB2312" w:eastAsia="仿宋_GB2312" w:cs="仿宋_GB2312"/>
                <w:b/>
                <w:bCs/>
                <w:i w:val="0"/>
                <w:iCs w:val="0"/>
                <w:color w:val="000000"/>
                <w:kern w:val="0"/>
                <w:sz w:val="28"/>
                <w:szCs w:val="28"/>
                <w:u w:val="none"/>
                <w:lang w:val="en-US" w:eastAsia="zh-CN" w:bidi="ar"/>
              </w:rPr>
              <w:t>资质级别</w:t>
            </w:r>
          </w:p>
        </w:tc>
        <w:tc>
          <w:tcPr>
            <w:tcW w:w="1308" w:type="dxa"/>
            <w:tcBorders>
              <w:top w:val="single" w:color="000000" w:sz="12" w:space="0"/>
              <w:left w:val="single" w:color="000000" w:sz="8" w:space="0"/>
              <w:bottom w:val="single" w:color="000000" w:sz="12" w:space="0"/>
              <w:right w:val="single" w:color="000000" w:sz="8"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right="0" w:rightChars="0" w:firstLine="0" w:firstLineChars="0"/>
              <w:jc w:val="center"/>
              <w:textAlignment w:val="bottom"/>
              <w:outlineLvl w:val="9"/>
              <w:rPr>
                <w:rFonts w:hint="eastAsia" w:ascii="仿宋_GB2312" w:hAnsi="仿宋_GB2312" w:eastAsia="仿宋_GB2312" w:cs="仿宋_GB2312"/>
                <w:b/>
                <w:bCs/>
                <w:i w:val="0"/>
                <w:iCs w:val="0"/>
                <w:color w:val="000000"/>
                <w:kern w:val="0"/>
                <w:sz w:val="28"/>
                <w:szCs w:val="28"/>
                <w:u w:val="none"/>
                <w:lang w:val="en-US" w:eastAsia="zh-CN" w:bidi="ar"/>
              </w:rPr>
            </w:pPr>
            <w:r>
              <w:rPr>
                <w:rFonts w:hint="eastAsia" w:ascii="仿宋_GB2312" w:hAnsi="仿宋_GB2312" w:eastAsia="仿宋_GB2312" w:cs="仿宋_GB2312"/>
                <w:b/>
                <w:bCs/>
                <w:i w:val="0"/>
                <w:iCs w:val="0"/>
                <w:color w:val="000000"/>
                <w:kern w:val="0"/>
                <w:sz w:val="28"/>
                <w:szCs w:val="28"/>
                <w:u w:val="none"/>
                <w:lang w:val="en-US" w:eastAsia="zh-CN" w:bidi="ar"/>
              </w:rPr>
              <w:t>企业数</w:t>
            </w:r>
          </w:p>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right="0" w:rightChars="0" w:firstLine="0" w:firstLineChars="0"/>
              <w:jc w:val="center"/>
              <w:textAlignment w:val="bottom"/>
              <w:outlineLvl w:val="9"/>
              <w:rPr>
                <w:rFonts w:hint="eastAsia" w:ascii="仿宋_GB2312" w:hAnsi="仿宋_GB2312" w:eastAsia="仿宋_GB2312" w:cs="仿宋_GB2312"/>
                <w:sz w:val="28"/>
                <w:szCs w:val="28"/>
              </w:rPr>
            </w:pPr>
            <w:r>
              <w:rPr>
                <w:rFonts w:hint="eastAsia" w:ascii="仿宋_GB2312" w:hAnsi="仿宋_GB2312" w:eastAsia="仿宋_GB2312" w:cs="仿宋_GB2312"/>
                <w:b/>
                <w:bCs/>
                <w:i w:val="0"/>
                <w:iCs w:val="0"/>
                <w:color w:val="000000"/>
                <w:kern w:val="0"/>
                <w:sz w:val="28"/>
                <w:szCs w:val="28"/>
                <w:u w:val="none"/>
                <w:lang w:val="en-US" w:eastAsia="zh-CN" w:bidi="ar"/>
              </w:rPr>
              <w:t>（个）</w:t>
            </w:r>
          </w:p>
        </w:tc>
        <w:tc>
          <w:tcPr>
            <w:tcW w:w="1404" w:type="dxa"/>
            <w:tcBorders>
              <w:top w:val="single" w:color="000000" w:sz="12" w:space="0"/>
              <w:left w:val="single" w:color="000000" w:sz="8" w:space="0"/>
              <w:bottom w:val="single" w:color="000000" w:sz="12" w:space="0"/>
              <w:right w:val="single" w:color="000000" w:sz="8"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right="0" w:rightChars="0" w:firstLine="0" w:firstLineChars="0"/>
              <w:jc w:val="center"/>
              <w:textAlignment w:val="bottom"/>
              <w:outlineLvl w:val="9"/>
              <w:rPr>
                <w:rFonts w:hint="eastAsia" w:ascii="仿宋_GB2312" w:hAnsi="仿宋_GB2312" w:eastAsia="仿宋_GB2312" w:cs="仿宋_GB2312"/>
                <w:b/>
                <w:bCs/>
                <w:i w:val="0"/>
                <w:iCs w:val="0"/>
                <w:color w:val="000000"/>
                <w:kern w:val="0"/>
                <w:sz w:val="28"/>
                <w:szCs w:val="28"/>
                <w:u w:val="none"/>
                <w:lang w:val="en-US" w:eastAsia="zh-CN" w:bidi="ar"/>
              </w:rPr>
            </w:pPr>
            <w:r>
              <w:rPr>
                <w:rFonts w:hint="eastAsia" w:ascii="仿宋_GB2312" w:hAnsi="仿宋_GB2312" w:eastAsia="仿宋_GB2312" w:cs="仿宋_GB2312"/>
                <w:b/>
                <w:bCs/>
                <w:i w:val="0"/>
                <w:iCs w:val="0"/>
                <w:color w:val="000000"/>
                <w:kern w:val="0"/>
                <w:sz w:val="28"/>
                <w:szCs w:val="28"/>
                <w:u w:val="none"/>
                <w:lang w:val="en-US" w:eastAsia="zh-CN" w:bidi="ar"/>
              </w:rPr>
              <w:t>产值</w:t>
            </w:r>
          </w:p>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right="0" w:rightChars="0" w:firstLine="0" w:firstLineChars="0"/>
              <w:jc w:val="center"/>
              <w:textAlignment w:val="bottom"/>
              <w:outlineLvl w:val="9"/>
              <w:rPr>
                <w:rFonts w:hint="eastAsia" w:ascii="仿宋_GB2312" w:hAnsi="仿宋_GB2312" w:eastAsia="仿宋_GB2312" w:cs="仿宋_GB2312"/>
                <w:b/>
                <w:bCs/>
                <w:i w:val="0"/>
                <w:iCs w:val="0"/>
                <w:color w:val="000000"/>
                <w:sz w:val="28"/>
                <w:szCs w:val="28"/>
                <w:u w:val="none"/>
              </w:rPr>
            </w:pPr>
            <w:r>
              <w:rPr>
                <w:rFonts w:hint="eastAsia" w:ascii="仿宋_GB2312" w:hAnsi="仿宋_GB2312" w:eastAsia="仿宋_GB2312" w:cs="仿宋_GB2312"/>
                <w:b/>
                <w:bCs/>
                <w:i w:val="0"/>
                <w:iCs w:val="0"/>
                <w:color w:val="000000"/>
                <w:kern w:val="0"/>
                <w:sz w:val="28"/>
                <w:szCs w:val="28"/>
                <w:u w:val="none"/>
                <w:lang w:val="en-US" w:eastAsia="zh-CN" w:bidi="ar"/>
              </w:rPr>
              <w:t>（亿元）</w:t>
            </w:r>
          </w:p>
        </w:tc>
        <w:tc>
          <w:tcPr>
            <w:tcW w:w="1452" w:type="dxa"/>
            <w:tcBorders>
              <w:top w:val="single" w:color="000000" w:sz="12" w:space="0"/>
              <w:left w:val="single" w:color="000000" w:sz="8" w:space="0"/>
              <w:bottom w:val="single" w:color="000000" w:sz="12" w:space="0"/>
              <w:right w:val="single" w:color="000000" w:sz="8"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right="0" w:rightChars="0" w:firstLine="0" w:firstLineChars="0"/>
              <w:jc w:val="center"/>
              <w:textAlignment w:val="bottom"/>
              <w:outlineLvl w:val="9"/>
              <w:rPr>
                <w:rFonts w:hint="eastAsia" w:ascii="仿宋_GB2312" w:hAnsi="仿宋_GB2312" w:eastAsia="仿宋_GB2312" w:cs="仿宋_GB2312"/>
                <w:b/>
                <w:bCs/>
                <w:i w:val="0"/>
                <w:iCs w:val="0"/>
                <w:color w:val="000000"/>
                <w:sz w:val="28"/>
                <w:szCs w:val="28"/>
                <w:u w:val="none"/>
              </w:rPr>
            </w:pPr>
            <w:r>
              <w:rPr>
                <w:rFonts w:hint="eastAsia" w:ascii="仿宋_GB2312" w:hAnsi="仿宋_GB2312" w:eastAsia="仿宋_GB2312" w:cs="仿宋_GB2312"/>
                <w:b/>
                <w:bCs/>
                <w:i w:val="0"/>
                <w:iCs w:val="0"/>
                <w:color w:val="000000"/>
                <w:kern w:val="0"/>
                <w:sz w:val="28"/>
                <w:szCs w:val="28"/>
                <w:u w:val="none"/>
                <w:lang w:val="en-US" w:eastAsia="zh-CN" w:bidi="ar"/>
              </w:rPr>
              <w:t>产值占比（%）</w:t>
            </w:r>
          </w:p>
        </w:tc>
        <w:tc>
          <w:tcPr>
            <w:tcW w:w="1368" w:type="dxa"/>
            <w:tcBorders>
              <w:top w:val="single" w:color="000000" w:sz="12" w:space="0"/>
              <w:left w:val="single" w:color="000000" w:sz="8" w:space="0"/>
              <w:bottom w:val="single" w:color="000000" w:sz="12"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right="0" w:rightChars="0" w:firstLine="0" w:firstLineChars="0"/>
              <w:jc w:val="center"/>
              <w:textAlignment w:val="center"/>
              <w:outlineLvl w:val="9"/>
              <w:rPr>
                <w:rFonts w:hint="eastAsia" w:ascii="仿宋_GB2312" w:hAnsi="仿宋_GB2312" w:eastAsia="仿宋_GB2312" w:cs="仿宋_GB2312"/>
                <w:b/>
                <w:bCs/>
                <w:i w:val="0"/>
                <w:iCs w:val="0"/>
                <w:color w:val="000000"/>
                <w:kern w:val="0"/>
                <w:sz w:val="28"/>
                <w:szCs w:val="28"/>
                <w:u w:val="none"/>
                <w:lang w:val="en-US" w:eastAsia="zh-CN" w:bidi="ar"/>
              </w:rPr>
            </w:pPr>
            <w:r>
              <w:rPr>
                <w:rFonts w:hint="eastAsia" w:ascii="仿宋_GB2312" w:hAnsi="仿宋_GB2312" w:eastAsia="仿宋_GB2312" w:cs="仿宋_GB2312"/>
                <w:b/>
                <w:bCs/>
                <w:i w:val="0"/>
                <w:iCs w:val="0"/>
                <w:color w:val="000000"/>
                <w:kern w:val="0"/>
                <w:sz w:val="28"/>
                <w:szCs w:val="28"/>
                <w:u w:val="none"/>
                <w:lang w:val="en-US" w:eastAsia="zh-CN" w:bidi="ar"/>
              </w:rPr>
              <w:t>比增</w:t>
            </w:r>
          </w:p>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right="0" w:rightChars="0" w:firstLine="0" w:firstLineChars="0"/>
              <w:jc w:val="center"/>
              <w:textAlignment w:val="center"/>
              <w:outlineLvl w:val="9"/>
              <w:rPr>
                <w:rFonts w:hint="eastAsia" w:ascii="仿宋_GB2312" w:hAnsi="仿宋_GB2312" w:eastAsia="仿宋_GB2312" w:cs="仿宋_GB2312"/>
                <w:b/>
                <w:bCs/>
                <w:i w:val="0"/>
                <w:iCs w:val="0"/>
                <w:color w:val="000000"/>
                <w:sz w:val="28"/>
                <w:szCs w:val="28"/>
                <w:u w:val="none"/>
              </w:rPr>
            </w:pPr>
            <w:r>
              <w:rPr>
                <w:rFonts w:hint="eastAsia" w:ascii="仿宋_GB2312" w:hAnsi="仿宋_GB2312" w:eastAsia="仿宋_GB2312" w:cs="仿宋_GB2312"/>
                <w:b/>
                <w:bCs/>
                <w:i w:val="0"/>
                <w:iCs w:val="0"/>
                <w:color w:val="000000"/>
                <w:kern w:val="0"/>
                <w:sz w:val="28"/>
                <w:szCs w:val="28"/>
                <w:u w:val="none"/>
                <w:lang w:val="en-US" w:eastAsia="zh-CN" w:bidi="ar"/>
              </w:rPr>
              <w:t>（%）</w:t>
            </w:r>
          </w:p>
        </w:tc>
        <w:tc>
          <w:tcPr>
            <w:tcW w:w="1872" w:type="dxa"/>
            <w:tcBorders>
              <w:top w:val="single" w:color="000000" w:sz="12" w:space="0"/>
              <w:left w:val="single" w:color="000000" w:sz="8" w:space="0"/>
              <w:bottom w:val="single" w:color="000000" w:sz="12"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right="0" w:rightChars="0" w:firstLine="0" w:firstLineChars="0"/>
              <w:jc w:val="center"/>
              <w:textAlignment w:val="center"/>
              <w:outlineLvl w:val="9"/>
              <w:rPr>
                <w:rFonts w:hint="eastAsia" w:ascii="仿宋_GB2312" w:hAnsi="仿宋_GB2312" w:eastAsia="仿宋_GB2312" w:cs="仿宋_GB2312"/>
                <w:b/>
                <w:bCs/>
                <w:i w:val="0"/>
                <w:iCs w:val="0"/>
                <w:color w:val="000000"/>
                <w:kern w:val="0"/>
                <w:sz w:val="28"/>
                <w:szCs w:val="28"/>
                <w:u w:val="none"/>
                <w:lang w:val="en-US" w:eastAsia="zh-CN" w:bidi="ar"/>
              </w:rPr>
            </w:pPr>
            <w:r>
              <w:rPr>
                <w:rFonts w:hint="eastAsia" w:ascii="仿宋_GB2312" w:hAnsi="仿宋_GB2312" w:eastAsia="仿宋_GB2312" w:cs="仿宋_GB2312"/>
                <w:b/>
                <w:bCs/>
                <w:i w:val="0"/>
                <w:iCs w:val="0"/>
                <w:color w:val="000000"/>
                <w:kern w:val="0"/>
                <w:sz w:val="28"/>
                <w:szCs w:val="28"/>
                <w:u w:val="none"/>
                <w:lang w:val="en-US" w:eastAsia="zh-CN" w:bidi="ar"/>
              </w:rPr>
              <w:t>增长贡献率</w:t>
            </w:r>
          </w:p>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right="0" w:rightChars="0" w:firstLine="0" w:firstLineChars="0"/>
              <w:jc w:val="center"/>
              <w:textAlignment w:val="center"/>
              <w:outlineLvl w:val="9"/>
              <w:rPr>
                <w:rFonts w:hint="eastAsia" w:ascii="仿宋_GB2312" w:hAnsi="仿宋_GB2312" w:eastAsia="仿宋_GB2312" w:cs="仿宋_GB2312"/>
                <w:b/>
                <w:bCs/>
                <w:i w:val="0"/>
                <w:iCs w:val="0"/>
                <w:color w:val="000000"/>
                <w:sz w:val="28"/>
                <w:szCs w:val="28"/>
                <w:u w:val="none"/>
              </w:rPr>
            </w:pPr>
            <w:r>
              <w:rPr>
                <w:rFonts w:hint="eastAsia" w:ascii="仿宋_GB2312" w:hAnsi="仿宋_GB2312" w:eastAsia="仿宋_GB2312" w:cs="仿宋_GB2312"/>
                <w:b/>
                <w:bCs/>
                <w:i w:val="0"/>
                <w:iCs w:val="0"/>
                <w:color w:val="000000"/>
                <w:kern w:val="0"/>
                <w:sz w:val="28"/>
                <w:szCs w:val="2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1" w:hRule="atLeast"/>
        </w:trPr>
        <w:tc>
          <w:tcPr>
            <w:tcW w:w="1416" w:type="dxa"/>
            <w:tcBorders>
              <w:top w:val="single" w:color="000000" w:sz="12" w:space="0"/>
              <w:left w:val="nil"/>
              <w:bottom w:val="single" w:color="000000" w:sz="8" w:space="0"/>
              <w:right w:val="single" w:color="000000" w:sz="8"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480" w:lineRule="exact"/>
              <w:ind w:left="0" w:leftChars="0" w:right="0" w:rightChars="0" w:firstLine="0" w:firstLineChars="0"/>
              <w:jc w:val="center"/>
              <w:textAlignment w:val="bottom"/>
              <w:outlineLvl w:val="9"/>
              <w:rPr>
                <w:rFonts w:hint="eastAsia" w:ascii="仿宋_GB2312" w:hAnsi="仿宋_GB2312" w:eastAsia="仿宋_GB2312" w:cs="仿宋_GB2312"/>
                <w:b/>
                <w:bCs/>
                <w:i w:val="0"/>
                <w:iCs w:val="0"/>
                <w:color w:val="000000"/>
                <w:sz w:val="28"/>
                <w:szCs w:val="28"/>
                <w:u w:val="none"/>
              </w:rPr>
            </w:pPr>
            <w:r>
              <w:rPr>
                <w:rFonts w:hint="eastAsia" w:ascii="仿宋_GB2312" w:hAnsi="仿宋_GB2312" w:eastAsia="仿宋_GB2312" w:cs="仿宋_GB2312"/>
                <w:b/>
                <w:bCs/>
                <w:i w:val="0"/>
                <w:iCs w:val="0"/>
                <w:color w:val="000000"/>
                <w:kern w:val="0"/>
                <w:sz w:val="28"/>
                <w:szCs w:val="28"/>
                <w:u w:val="none"/>
                <w:lang w:val="en-US" w:eastAsia="zh-CN" w:bidi="ar"/>
              </w:rPr>
              <w:t>一级</w:t>
            </w:r>
          </w:p>
        </w:tc>
        <w:tc>
          <w:tcPr>
            <w:tcW w:w="1308" w:type="dxa"/>
            <w:tcBorders>
              <w:top w:val="single" w:color="000000" w:sz="12" w:space="0"/>
              <w:left w:val="nil"/>
              <w:bottom w:val="single" w:color="000000" w:sz="8" w:space="0"/>
              <w:right w:val="single" w:color="000000" w:sz="8"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480" w:lineRule="exact"/>
              <w:ind w:left="0" w:leftChars="0" w:right="0" w:rightChars="0" w:firstLine="0" w:firstLineChars="0"/>
              <w:jc w:val="center"/>
              <w:textAlignment w:val="bottom"/>
              <w:outlineLvl w:val="9"/>
              <w:rPr>
                <w:rFonts w:hint="default" w:ascii="Times New Roman" w:hAnsi="Times New Roman" w:eastAsia="仿宋_GB2312" w:cs="Times New Roman"/>
                <w:i w:val="0"/>
                <w:iCs w:val="0"/>
                <w:color w:val="000000"/>
                <w:kern w:val="0"/>
                <w:sz w:val="28"/>
                <w:szCs w:val="28"/>
                <w:u w:val="none"/>
                <w:lang w:val="en-US" w:eastAsia="zh-CN" w:bidi="ar"/>
              </w:rPr>
            </w:pPr>
            <w:r>
              <w:rPr>
                <w:rFonts w:hint="default" w:ascii="Times New Roman" w:hAnsi="Times New Roman" w:eastAsia="仿宋_GB2312" w:cs="Times New Roman"/>
                <w:i w:val="0"/>
                <w:iCs w:val="0"/>
                <w:color w:val="000000"/>
                <w:kern w:val="0"/>
                <w:sz w:val="28"/>
                <w:szCs w:val="28"/>
                <w:u w:val="none"/>
                <w:lang w:val="en-US" w:eastAsia="zh-CN" w:bidi="ar"/>
              </w:rPr>
              <w:t>28</w:t>
            </w:r>
          </w:p>
        </w:tc>
        <w:tc>
          <w:tcPr>
            <w:tcW w:w="1404" w:type="dxa"/>
            <w:tcBorders>
              <w:top w:val="single" w:color="000000" w:sz="12" w:space="0"/>
              <w:left w:val="nil"/>
              <w:bottom w:val="single" w:color="000000" w:sz="8" w:space="0"/>
              <w:right w:val="single" w:color="000000" w:sz="8"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480" w:lineRule="exact"/>
              <w:ind w:left="0" w:leftChars="0" w:right="0" w:rightChars="0" w:firstLine="0" w:firstLineChars="0"/>
              <w:jc w:val="center"/>
              <w:textAlignment w:val="bottom"/>
              <w:outlineLvl w:val="9"/>
              <w:rPr>
                <w:rFonts w:hint="default" w:ascii="Times New Roman" w:hAnsi="Times New Roman" w:eastAsia="仿宋_GB2312" w:cs="Times New Roman"/>
                <w:i w:val="0"/>
                <w:iCs w:val="0"/>
                <w:color w:val="000000"/>
                <w:kern w:val="0"/>
                <w:sz w:val="28"/>
                <w:szCs w:val="28"/>
                <w:u w:val="none"/>
                <w:lang w:val="en-US" w:eastAsia="zh-CN" w:bidi="ar"/>
              </w:rPr>
            </w:pPr>
            <w:r>
              <w:rPr>
                <w:rFonts w:hint="default" w:ascii="Times New Roman" w:hAnsi="Times New Roman" w:eastAsia="仿宋_GB2312" w:cs="Times New Roman"/>
                <w:i w:val="0"/>
                <w:iCs w:val="0"/>
                <w:color w:val="000000"/>
                <w:kern w:val="0"/>
                <w:sz w:val="28"/>
                <w:szCs w:val="28"/>
                <w:u w:val="none"/>
                <w:lang w:val="en-US" w:eastAsia="zh-CN" w:bidi="ar"/>
              </w:rPr>
              <w:t xml:space="preserve">17.41 </w:t>
            </w:r>
          </w:p>
        </w:tc>
        <w:tc>
          <w:tcPr>
            <w:tcW w:w="1452" w:type="dxa"/>
            <w:tcBorders>
              <w:top w:val="single" w:color="000000" w:sz="12" w:space="0"/>
              <w:left w:val="nil"/>
              <w:bottom w:val="single" w:color="000000" w:sz="8" w:space="0"/>
              <w:right w:val="single" w:color="000000" w:sz="8"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480" w:lineRule="exact"/>
              <w:ind w:left="0" w:leftChars="0" w:right="0" w:rightChars="0" w:firstLine="0" w:firstLineChars="0"/>
              <w:jc w:val="center"/>
              <w:textAlignment w:val="bottom"/>
              <w:outlineLvl w:val="9"/>
              <w:rPr>
                <w:rFonts w:hint="default" w:ascii="Times New Roman" w:hAnsi="Times New Roman" w:eastAsia="仿宋_GB2312" w:cs="Times New Roman"/>
                <w:i w:val="0"/>
                <w:iCs w:val="0"/>
                <w:color w:val="000000"/>
                <w:kern w:val="0"/>
                <w:sz w:val="28"/>
                <w:szCs w:val="28"/>
                <w:u w:val="none"/>
                <w:lang w:val="en-US" w:eastAsia="zh-CN" w:bidi="ar"/>
              </w:rPr>
            </w:pPr>
            <w:r>
              <w:rPr>
                <w:rFonts w:hint="default" w:ascii="Times New Roman" w:hAnsi="Times New Roman" w:eastAsia="仿宋_GB2312" w:cs="Times New Roman"/>
                <w:i w:val="0"/>
                <w:iCs w:val="0"/>
                <w:color w:val="000000"/>
                <w:kern w:val="0"/>
                <w:sz w:val="28"/>
                <w:szCs w:val="28"/>
                <w:u w:val="none"/>
                <w:lang w:val="en-US" w:eastAsia="zh-CN" w:bidi="ar"/>
              </w:rPr>
              <w:t>60.8%</w:t>
            </w:r>
          </w:p>
        </w:tc>
        <w:tc>
          <w:tcPr>
            <w:tcW w:w="1368" w:type="dxa"/>
            <w:tcBorders>
              <w:top w:val="single" w:color="000000" w:sz="12" w:space="0"/>
              <w:left w:val="single" w:color="000000" w:sz="8" w:space="0"/>
              <w:bottom w:val="single" w:color="000000" w:sz="8" w:space="0"/>
              <w:right w:val="nil"/>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480" w:lineRule="exact"/>
              <w:ind w:left="0" w:leftChars="0" w:right="0" w:rightChars="0" w:firstLine="0" w:firstLineChars="0"/>
              <w:jc w:val="center"/>
              <w:textAlignment w:val="bottom"/>
              <w:outlineLvl w:val="9"/>
              <w:rPr>
                <w:rFonts w:hint="default" w:ascii="Times New Roman" w:hAnsi="Times New Roman" w:eastAsia="仿宋_GB2312" w:cs="Times New Roman"/>
                <w:i w:val="0"/>
                <w:iCs w:val="0"/>
                <w:color w:val="000000"/>
                <w:sz w:val="28"/>
                <w:szCs w:val="28"/>
                <w:u w:val="none"/>
              </w:rPr>
            </w:pPr>
            <w:r>
              <w:rPr>
                <w:rFonts w:hint="default" w:ascii="Times New Roman" w:hAnsi="Times New Roman" w:eastAsia="仿宋_GB2312" w:cs="Times New Roman"/>
                <w:i w:val="0"/>
                <w:iCs w:val="0"/>
                <w:color w:val="000000"/>
                <w:kern w:val="0"/>
                <w:sz w:val="28"/>
                <w:szCs w:val="28"/>
                <w:u w:val="none"/>
                <w:lang w:val="en-US" w:eastAsia="zh-CN" w:bidi="ar"/>
              </w:rPr>
              <w:t>7.7%</w:t>
            </w:r>
          </w:p>
        </w:tc>
        <w:tc>
          <w:tcPr>
            <w:tcW w:w="1872" w:type="dxa"/>
            <w:tcBorders>
              <w:top w:val="single" w:color="000000" w:sz="12" w:space="0"/>
              <w:left w:val="single" w:color="000000" w:sz="8" w:space="0"/>
              <w:bottom w:val="single" w:color="000000" w:sz="8" w:space="0"/>
              <w:right w:val="nil"/>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480" w:lineRule="exact"/>
              <w:ind w:left="0" w:leftChars="0" w:right="0" w:rightChars="0" w:firstLine="0" w:firstLineChars="0"/>
              <w:jc w:val="center"/>
              <w:textAlignment w:val="bottom"/>
              <w:outlineLvl w:val="9"/>
              <w:rPr>
                <w:rFonts w:hint="default" w:ascii="Times New Roman" w:hAnsi="Times New Roman" w:eastAsia="仿宋_GB2312" w:cs="Times New Roman"/>
                <w:i w:val="0"/>
                <w:iCs w:val="0"/>
                <w:color w:val="000000"/>
                <w:sz w:val="28"/>
                <w:szCs w:val="28"/>
                <w:u w:val="none"/>
              </w:rPr>
            </w:pPr>
            <w:r>
              <w:rPr>
                <w:rFonts w:hint="default" w:ascii="Times New Roman" w:hAnsi="Times New Roman" w:eastAsia="仿宋_GB2312" w:cs="Times New Roman"/>
                <w:i w:val="0"/>
                <w:iCs w:val="0"/>
                <w:color w:val="000000"/>
                <w:kern w:val="0"/>
                <w:sz w:val="28"/>
                <w:szCs w:val="28"/>
                <w:u w:val="none"/>
                <w:lang w:val="en-US" w:eastAsia="zh-CN" w:bidi="ar"/>
              </w:rPr>
              <w:t>40.9%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1" w:hRule="atLeast"/>
        </w:trPr>
        <w:tc>
          <w:tcPr>
            <w:tcW w:w="1416" w:type="dxa"/>
            <w:tcBorders>
              <w:top w:val="nil"/>
              <w:left w:val="nil"/>
              <w:bottom w:val="single" w:color="000000" w:sz="8" w:space="0"/>
              <w:right w:val="single" w:color="000000" w:sz="8"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480" w:lineRule="exact"/>
              <w:ind w:left="0" w:leftChars="0" w:right="0" w:rightChars="0" w:firstLine="0" w:firstLineChars="0"/>
              <w:jc w:val="center"/>
              <w:textAlignment w:val="bottom"/>
              <w:outlineLvl w:val="9"/>
              <w:rPr>
                <w:rFonts w:hint="eastAsia" w:ascii="仿宋_GB2312" w:hAnsi="仿宋_GB2312" w:eastAsia="仿宋_GB2312" w:cs="仿宋_GB2312"/>
                <w:b/>
                <w:bCs/>
                <w:i w:val="0"/>
                <w:iCs w:val="0"/>
                <w:color w:val="000000"/>
                <w:sz w:val="28"/>
                <w:szCs w:val="28"/>
                <w:u w:val="none"/>
              </w:rPr>
            </w:pPr>
            <w:r>
              <w:rPr>
                <w:rFonts w:hint="eastAsia" w:ascii="仿宋_GB2312" w:hAnsi="仿宋_GB2312" w:eastAsia="仿宋_GB2312" w:cs="仿宋_GB2312"/>
                <w:b/>
                <w:bCs/>
                <w:i w:val="0"/>
                <w:iCs w:val="0"/>
                <w:color w:val="000000"/>
                <w:kern w:val="0"/>
                <w:sz w:val="28"/>
                <w:szCs w:val="28"/>
                <w:u w:val="none"/>
                <w:lang w:val="en-US" w:eastAsia="zh-CN" w:bidi="ar"/>
              </w:rPr>
              <w:t>二级</w:t>
            </w:r>
          </w:p>
        </w:tc>
        <w:tc>
          <w:tcPr>
            <w:tcW w:w="1308" w:type="dxa"/>
            <w:tcBorders>
              <w:top w:val="nil"/>
              <w:left w:val="nil"/>
              <w:bottom w:val="single" w:color="000000" w:sz="8" w:space="0"/>
              <w:right w:val="single" w:color="000000" w:sz="8"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480" w:lineRule="exact"/>
              <w:ind w:left="0" w:leftChars="0" w:right="0" w:rightChars="0" w:firstLine="0" w:firstLineChars="0"/>
              <w:jc w:val="center"/>
              <w:textAlignment w:val="bottom"/>
              <w:outlineLvl w:val="9"/>
              <w:rPr>
                <w:rFonts w:hint="default" w:ascii="Times New Roman" w:hAnsi="Times New Roman" w:eastAsia="仿宋_GB2312" w:cs="Times New Roman"/>
                <w:i w:val="0"/>
                <w:iCs w:val="0"/>
                <w:color w:val="000000"/>
                <w:sz w:val="28"/>
                <w:szCs w:val="28"/>
                <w:u w:val="none"/>
              </w:rPr>
            </w:pPr>
            <w:r>
              <w:rPr>
                <w:rFonts w:hint="default" w:ascii="Times New Roman" w:hAnsi="Times New Roman" w:eastAsia="仿宋_GB2312" w:cs="Times New Roman"/>
                <w:i w:val="0"/>
                <w:iCs w:val="0"/>
                <w:color w:val="000000"/>
                <w:kern w:val="0"/>
                <w:sz w:val="28"/>
                <w:szCs w:val="28"/>
                <w:u w:val="none"/>
                <w:lang w:val="en-US" w:eastAsia="zh-CN" w:bidi="ar"/>
              </w:rPr>
              <w:t>42</w:t>
            </w:r>
          </w:p>
        </w:tc>
        <w:tc>
          <w:tcPr>
            <w:tcW w:w="1404" w:type="dxa"/>
            <w:tcBorders>
              <w:top w:val="nil"/>
              <w:left w:val="nil"/>
              <w:bottom w:val="single" w:color="000000" w:sz="8" w:space="0"/>
              <w:right w:val="single" w:color="000000" w:sz="8"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480" w:lineRule="exact"/>
              <w:ind w:left="0" w:leftChars="0" w:right="0" w:rightChars="0" w:firstLine="0" w:firstLineChars="0"/>
              <w:jc w:val="center"/>
              <w:textAlignment w:val="bottom"/>
              <w:outlineLvl w:val="9"/>
              <w:rPr>
                <w:rFonts w:hint="default" w:ascii="Times New Roman" w:hAnsi="Times New Roman" w:eastAsia="仿宋_GB2312" w:cs="Times New Roman"/>
                <w:i w:val="0"/>
                <w:iCs w:val="0"/>
                <w:color w:val="000000"/>
                <w:sz w:val="28"/>
                <w:szCs w:val="28"/>
                <w:u w:val="none"/>
              </w:rPr>
            </w:pPr>
            <w:r>
              <w:rPr>
                <w:rFonts w:hint="default" w:ascii="Times New Roman" w:hAnsi="Times New Roman" w:eastAsia="仿宋_GB2312" w:cs="Times New Roman"/>
                <w:i w:val="0"/>
                <w:iCs w:val="0"/>
                <w:color w:val="000000"/>
                <w:kern w:val="0"/>
                <w:sz w:val="28"/>
                <w:szCs w:val="28"/>
                <w:u w:val="none"/>
                <w:lang w:val="en-US" w:eastAsia="zh-CN" w:bidi="ar"/>
              </w:rPr>
              <w:t xml:space="preserve">9.10 </w:t>
            </w:r>
          </w:p>
        </w:tc>
        <w:tc>
          <w:tcPr>
            <w:tcW w:w="1452" w:type="dxa"/>
            <w:tcBorders>
              <w:top w:val="nil"/>
              <w:left w:val="nil"/>
              <w:bottom w:val="single" w:color="000000" w:sz="8" w:space="0"/>
              <w:right w:val="single" w:color="000000" w:sz="8"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480" w:lineRule="exact"/>
              <w:ind w:left="0" w:leftChars="0" w:right="0" w:rightChars="0" w:firstLine="0" w:firstLineChars="0"/>
              <w:jc w:val="center"/>
              <w:textAlignment w:val="bottom"/>
              <w:outlineLvl w:val="9"/>
              <w:rPr>
                <w:rFonts w:hint="default" w:ascii="Times New Roman" w:hAnsi="Times New Roman" w:eastAsia="仿宋_GB2312" w:cs="Times New Roman"/>
                <w:i w:val="0"/>
                <w:iCs w:val="0"/>
                <w:color w:val="000000"/>
                <w:sz w:val="28"/>
                <w:szCs w:val="28"/>
                <w:u w:val="none"/>
              </w:rPr>
            </w:pPr>
            <w:r>
              <w:rPr>
                <w:rFonts w:hint="default" w:ascii="Times New Roman" w:hAnsi="Times New Roman" w:eastAsia="仿宋_GB2312" w:cs="Times New Roman"/>
                <w:i w:val="0"/>
                <w:iCs w:val="0"/>
                <w:color w:val="000000"/>
                <w:kern w:val="0"/>
                <w:sz w:val="28"/>
                <w:szCs w:val="28"/>
                <w:u w:val="none"/>
                <w:lang w:val="en-US" w:eastAsia="zh-CN" w:bidi="ar"/>
              </w:rPr>
              <w:t>31.8%</w:t>
            </w:r>
          </w:p>
        </w:tc>
        <w:tc>
          <w:tcPr>
            <w:tcW w:w="1368" w:type="dxa"/>
            <w:tcBorders>
              <w:top w:val="nil"/>
              <w:left w:val="single" w:color="000000" w:sz="8" w:space="0"/>
              <w:bottom w:val="single" w:color="000000" w:sz="8" w:space="0"/>
              <w:right w:val="nil"/>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480" w:lineRule="exact"/>
              <w:ind w:left="0" w:leftChars="0" w:right="0" w:rightChars="0" w:firstLine="0" w:firstLineChars="0"/>
              <w:jc w:val="center"/>
              <w:textAlignment w:val="bottom"/>
              <w:outlineLvl w:val="9"/>
              <w:rPr>
                <w:rFonts w:hint="default" w:ascii="Times New Roman" w:hAnsi="Times New Roman" w:eastAsia="仿宋_GB2312" w:cs="Times New Roman"/>
                <w:i w:val="0"/>
                <w:iCs w:val="0"/>
                <w:color w:val="000000"/>
                <w:sz w:val="28"/>
                <w:szCs w:val="28"/>
                <w:u w:val="none"/>
              </w:rPr>
            </w:pPr>
            <w:r>
              <w:rPr>
                <w:rFonts w:hint="default" w:ascii="Times New Roman" w:hAnsi="Times New Roman" w:eastAsia="仿宋_GB2312" w:cs="Times New Roman"/>
                <w:i w:val="0"/>
                <w:iCs w:val="0"/>
                <w:color w:val="000000"/>
                <w:kern w:val="0"/>
                <w:sz w:val="28"/>
                <w:szCs w:val="28"/>
                <w:u w:val="none"/>
                <w:lang w:val="en-US" w:eastAsia="zh-CN" w:bidi="ar"/>
              </w:rPr>
              <w:t>16.2%</w:t>
            </w:r>
          </w:p>
        </w:tc>
        <w:tc>
          <w:tcPr>
            <w:tcW w:w="1872" w:type="dxa"/>
            <w:tcBorders>
              <w:top w:val="nil"/>
              <w:left w:val="single" w:color="000000" w:sz="8" w:space="0"/>
              <w:bottom w:val="single" w:color="000000" w:sz="8" w:space="0"/>
              <w:right w:val="nil"/>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480" w:lineRule="exact"/>
              <w:ind w:left="0" w:leftChars="0" w:right="0" w:rightChars="0" w:firstLine="0" w:firstLineChars="0"/>
              <w:jc w:val="center"/>
              <w:textAlignment w:val="bottom"/>
              <w:outlineLvl w:val="9"/>
              <w:rPr>
                <w:rFonts w:hint="default" w:ascii="Times New Roman" w:hAnsi="Times New Roman" w:eastAsia="仿宋_GB2312" w:cs="Times New Roman"/>
                <w:i w:val="0"/>
                <w:iCs w:val="0"/>
                <w:color w:val="000000"/>
                <w:sz w:val="28"/>
                <w:szCs w:val="28"/>
                <w:u w:val="none"/>
              </w:rPr>
            </w:pPr>
            <w:r>
              <w:rPr>
                <w:rFonts w:hint="default" w:ascii="Times New Roman" w:hAnsi="Times New Roman" w:eastAsia="仿宋_GB2312" w:cs="Times New Roman"/>
                <w:i w:val="0"/>
                <w:iCs w:val="0"/>
                <w:color w:val="000000"/>
                <w:kern w:val="0"/>
                <w:sz w:val="28"/>
                <w:szCs w:val="28"/>
                <w:u w:val="none"/>
                <w:lang w:val="en-US" w:eastAsia="zh-CN" w:bidi="ar"/>
              </w:rPr>
              <w:t>41.7%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1" w:hRule="atLeast"/>
        </w:trPr>
        <w:tc>
          <w:tcPr>
            <w:tcW w:w="1416" w:type="dxa"/>
            <w:tcBorders>
              <w:top w:val="nil"/>
              <w:left w:val="nil"/>
              <w:bottom w:val="single" w:color="000000" w:sz="8" w:space="0"/>
              <w:right w:val="single" w:color="000000" w:sz="8"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480" w:lineRule="exact"/>
              <w:ind w:left="0" w:leftChars="0" w:right="0" w:rightChars="0" w:firstLine="0" w:firstLineChars="0"/>
              <w:jc w:val="center"/>
              <w:textAlignment w:val="bottom"/>
              <w:outlineLvl w:val="9"/>
              <w:rPr>
                <w:rFonts w:hint="eastAsia" w:ascii="仿宋_GB2312" w:hAnsi="仿宋_GB2312" w:eastAsia="仿宋_GB2312" w:cs="仿宋_GB2312"/>
                <w:b/>
                <w:bCs/>
                <w:i w:val="0"/>
                <w:iCs w:val="0"/>
                <w:color w:val="000000"/>
                <w:sz w:val="28"/>
                <w:szCs w:val="28"/>
                <w:u w:val="none"/>
              </w:rPr>
            </w:pPr>
            <w:r>
              <w:rPr>
                <w:rFonts w:hint="eastAsia" w:ascii="仿宋_GB2312" w:hAnsi="仿宋_GB2312" w:eastAsia="仿宋_GB2312" w:cs="仿宋_GB2312"/>
                <w:b/>
                <w:bCs/>
                <w:i w:val="0"/>
                <w:iCs w:val="0"/>
                <w:color w:val="000000"/>
                <w:kern w:val="0"/>
                <w:sz w:val="28"/>
                <w:szCs w:val="28"/>
                <w:u w:val="none"/>
                <w:lang w:val="en-US" w:eastAsia="zh-CN" w:bidi="ar"/>
              </w:rPr>
              <w:t>三级</w:t>
            </w:r>
          </w:p>
        </w:tc>
        <w:tc>
          <w:tcPr>
            <w:tcW w:w="1308" w:type="dxa"/>
            <w:tcBorders>
              <w:top w:val="nil"/>
              <w:left w:val="nil"/>
              <w:bottom w:val="single" w:color="000000" w:sz="8" w:space="0"/>
              <w:right w:val="single" w:color="000000" w:sz="8"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480" w:lineRule="exact"/>
              <w:ind w:left="0" w:leftChars="0" w:right="0" w:rightChars="0" w:firstLine="0" w:firstLineChars="0"/>
              <w:jc w:val="center"/>
              <w:textAlignment w:val="bottom"/>
              <w:outlineLvl w:val="9"/>
              <w:rPr>
                <w:rFonts w:hint="default" w:ascii="Times New Roman" w:hAnsi="Times New Roman" w:eastAsia="仿宋_GB2312" w:cs="Times New Roman"/>
                <w:i w:val="0"/>
                <w:iCs w:val="0"/>
                <w:color w:val="000000"/>
                <w:sz w:val="28"/>
                <w:szCs w:val="28"/>
                <w:u w:val="none"/>
              </w:rPr>
            </w:pPr>
            <w:r>
              <w:rPr>
                <w:rFonts w:hint="default" w:ascii="Times New Roman" w:hAnsi="Times New Roman" w:eastAsia="仿宋_GB2312" w:cs="Times New Roman"/>
                <w:i w:val="0"/>
                <w:iCs w:val="0"/>
                <w:color w:val="000000"/>
                <w:kern w:val="0"/>
                <w:sz w:val="28"/>
                <w:szCs w:val="28"/>
                <w:u w:val="none"/>
                <w:lang w:val="en-US" w:eastAsia="zh-CN" w:bidi="ar"/>
              </w:rPr>
              <w:t>73</w:t>
            </w:r>
          </w:p>
        </w:tc>
        <w:tc>
          <w:tcPr>
            <w:tcW w:w="1404" w:type="dxa"/>
            <w:tcBorders>
              <w:top w:val="nil"/>
              <w:left w:val="nil"/>
              <w:bottom w:val="single" w:color="000000" w:sz="8" w:space="0"/>
              <w:right w:val="single" w:color="000000" w:sz="8"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480" w:lineRule="exact"/>
              <w:ind w:left="0" w:leftChars="0" w:right="0" w:rightChars="0" w:firstLine="0" w:firstLineChars="0"/>
              <w:jc w:val="center"/>
              <w:textAlignment w:val="bottom"/>
              <w:outlineLvl w:val="9"/>
              <w:rPr>
                <w:rFonts w:hint="default" w:ascii="Times New Roman" w:hAnsi="Times New Roman" w:eastAsia="仿宋_GB2312" w:cs="Times New Roman"/>
                <w:i w:val="0"/>
                <w:iCs w:val="0"/>
                <w:color w:val="000000"/>
                <w:sz w:val="28"/>
                <w:szCs w:val="28"/>
                <w:u w:val="none"/>
              </w:rPr>
            </w:pPr>
            <w:r>
              <w:rPr>
                <w:rFonts w:hint="default" w:ascii="Times New Roman" w:hAnsi="Times New Roman" w:eastAsia="仿宋_GB2312" w:cs="Times New Roman"/>
                <w:i w:val="0"/>
                <w:iCs w:val="0"/>
                <w:color w:val="000000"/>
                <w:kern w:val="0"/>
                <w:sz w:val="28"/>
                <w:szCs w:val="28"/>
                <w:u w:val="none"/>
                <w:lang w:val="en-US" w:eastAsia="zh-CN" w:bidi="ar"/>
              </w:rPr>
              <w:t xml:space="preserve">2.14 </w:t>
            </w:r>
          </w:p>
        </w:tc>
        <w:tc>
          <w:tcPr>
            <w:tcW w:w="1452" w:type="dxa"/>
            <w:tcBorders>
              <w:top w:val="nil"/>
              <w:left w:val="nil"/>
              <w:bottom w:val="single" w:color="000000" w:sz="8" w:space="0"/>
              <w:right w:val="single" w:color="000000" w:sz="8"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480" w:lineRule="exact"/>
              <w:ind w:left="0" w:leftChars="0" w:right="0" w:rightChars="0" w:firstLine="0" w:firstLineChars="0"/>
              <w:jc w:val="center"/>
              <w:textAlignment w:val="bottom"/>
              <w:outlineLvl w:val="9"/>
              <w:rPr>
                <w:rFonts w:hint="default" w:ascii="Times New Roman" w:hAnsi="Times New Roman" w:eastAsia="仿宋_GB2312" w:cs="Times New Roman"/>
                <w:i w:val="0"/>
                <w:iCs w:val="0"/>
                <w:color w:val="000000"/>
                <w:sz w:val="28"/>
                <w:szCs w:val="28"/>
                <w:u w:val="none"/>
              </w:rPr>
            </w:pPr>
            <w:r>
              <w:rPr>
                <w:rFonts w:hint="default" w:ascii="Times New Roman" w:hAnsi="Times New Roman" w:eastAsia="仿宋_GB2312" w:cs="Times New Roman"/>
                <w:i w:val="0"/>
                <w:iCs w:val="0"/>
                <w:color w:val="000000"/>
                <w:kern w:val="0"/>
                <w:sz w:val="28"/>
                <w:szCs w:val="28"/>
                <w:u w:val="none"/>
                <w:lang w:val="en-US" w:eastAsia="zh-CN" w:bidi="ar"/>
              </w:rPr>
              <w:t>7.5%</w:t>
            </w:r>
          </w:p>
        </w:tc>
        <w:tc>
          <w:tcPr>
            <w:tcW w:w="1368" w:type="dxa"/>
            <w:tcBorders>
              <w:top w:val="nil"/>
              <w:left w:val="single" w:color="000000" w:sz="8" w:space="0"/>
              <w:bottom w:val="single" w:color="000000" w:sz="8" w:space="0"/>
              <w:right w:val="nil"/>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480" w:lineRule="exact"/>
              <w:ind w:left="0" w:leftChars="0" w:right="0" w:rightChars="0" w:firstLine="0" w:firstLineChars="0"/>
              <w:jc w:val="center"/>
              <w:textAlignment w:val="bottom"/>
              <w:outlineLvl w:val="9"/>
              <w:rPr>
                <w:rFonts w:hint="default" w:ascii="Times New Roman" w:hAnsi="Times New Roman" w:eastAsia="仿宋_GB2312" w:cs="Times New Roman"/>
                <w:i w:val="0"/>
                <w:iCs w:val="0"/>
                <w:color w:val="000000"/>
                <w:sz w:val="28"/>
                <w:szCs w:val="28"/>
                <w:u w:val="none"/>
              </w:rPr>
            </w:pPr>
            <w:r>
              <w:rPr>
                <w:rFonts w:hint="default" w:ascii="Times New Roman" w:hAnsi="Times New Roman" w:eastAsia="仿宋_GB2312" w:cs="Times New Roman"/>
                <w:i w:val="0"/>
                <w:iCs w:val="0"/>
                <w:color w:val="000000"/>
                <w:kern w:val="0"/>
                <w:sz w:val="28"/>
                <w:szCs w:val="28"/>
                <w:u w:val="none"/>
                <w:lang w:val="en-US" w:eastAsia="zh-CN" w:bidi="ar"/>
              </w:rPr>
              <w:t>33.0%</w:t>
            </w:r>
          </w:p>
        </w:tc>
        <w:tc>
          <w:tcPr>
            <w:tcW w:w="1872" w:type="dxa"/>
            <w:tcBorders>
              <w:top w:val="nil"/>
              <w:left w:val="single" w:color="000000" w:sz="8" w:space="0"/>
              <w:bottom w:val="single" w:color="000000" w:sz="8" w:space="0"/>
              <w:right w:val="nil"/>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480" w:lineRule="exact"/>
              <w:ind w:left="0" w:leftChars="0" w:right="0" w:rightChars="0" w:firstLine="0" w:firstLineChars="0"/>
              <w:jc w:val="center"/>
              <w:textAlignment w:val="bottom"/>
              <w:outlineLvl w:val="9"/>
              <w:rPr>
                <w:rFonts w:hint="default" w:ascii="Times New Roman" w:hAnsi="Times New Roman" w:eastAsia="仿宋_GB2312" w:cs="Times New Roman"/>
                <w:i w:val="0"/>
                <w:iCs w:val="0"/>
                <w:color w:val="000000"/>
                <w:sz w:val="28"/>
                <w:szCs w:val="28"/>
                <w:u w:val="none"/>
              </w:rPr>
            </w:pPr>
            <w:r>
              <w:rPr>
                <w:rFonts w:hint="default" w:ascii="Times New Roman" w:hAnsi="Times New Roman" w:eastAsia="仿宋_GB2312" w:cs="Times New Roman"/>
                <w:i w:val="0"/>
                <w:iCs w:val="0"/>
                <w:color w:val="000000"/>
                <w:kern w:val="0"/>
                <w:sz w:val="28"/>
                <w:szCs w:val="28"/>
                <w:u w:val="none"/>
                <w:lang w:val="en-US" w:eastAsia="zh-CN" w:bidi="ar"/>
              </w:rPr>
              <w:t>17.4%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1" w:hRule="atLeast"/>
        </w:trPr>
        <w:tc>
          <w:tcPr>
            <w:tcW w:w="1416" w:type="dxa"/>
            <w:tcBorders>
              <w:top w:val="nil"/>
              <w:left w:val="nil"/>
              <w:bottom w:val="single" w:color="000000" w:sz="12" w:space="0"/>
              <w:right w:val="single" w:color="000000" w:sz="8"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480" w:lineRule="exact"/>
              <w:ind w:left="0" w:leftChars="0" w:right="0" w:rightChars="0" w:firstLine="0" w:firstLineChars="0"/>
              <w:jc w:val="center"/>
              <w:textAlignment w:val="bottom"/>
              <w:outlineLvl w:val="9"/>
              <w:rPr>
                <w:rFonts w:hint="eastAsia" w:ascii="仿宋_GB2312" w:hAnsi="仿宋_GB2312" w:eastAsia="仿宋_GB2312" w:cs="仿宋_GB2312"/>
                <w:b/>
                <w:bCs/>
                <w:i w:val="0"/>
                <w:iCs w:val="0"/>
                <w:color w:val="000000"/>
                <w:sz w:val="28"/>
                <w:szCs w:val="28"/>
                <w:u w:val="none"/>
              </w:rPr>
            </w:pPr>
            <w:r>
              <w:rPr>
                <w:rFonts w:hint="eastAsia" w:ascii="仿宋_GB2312" w:hAnsi="仿宋_GB2312" w:eastAsia="仿宋_GB2312" w:cs="仿宋_GB2312"/>
                <w:b/>
                <w:bCs/>
                <w:i w:val="0"/>
                <w:iCs w:val="0"/>
                <w:color w:val="000000"/>
                <w:kern w:val="0"/>
                <w:sz w:val="28"/>
                <w:szCs w:val="28"/>
                <w:u w:val="none"/>
                <w:lang w:val="en-US" w:eastAsia="zh-CN" w:bidi="ar"/>
              </w:rPr>
              <w:t>合计</w:t>
            </w:r>
          </w:p>
        </w:tc>
        <w:tc>
          <w:tcPr>
            <w:tcW w:w="1308" w:type="dxa"/>
            <w:tcBorders>
              <w:top w:val="nil"/>
              <w:left w:val="nil"/>
              <w:bottom w:val="single" w:color="000000" w:sz="12" w:space="0"/>
              <w:right w:val="single" w:color="000000" w:sz="8"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480" w:lineRule="exact"/>
              <w:ind w:left="0" w:leftChars="0" w:right="0" w:rightChars="0" w:firstLine="0" w:firstLineChars="0"/>
              <w:jc w:val="center"/>
              <w:textAlignment w:val="bottom"/>
              <w:outlineLvl w:val="9"/>
              <w:rPr>
                <w:rFonts w:hint="default" w:ascii="Times New Roman" w:hAnsi="Times New Roman" w:eastAsia="仿宋_GB2312" w:cs="Times New Roman"/>
                <w:i w:val="0"/>
                <w:iCs w:val="0"/>
                <w:color w:val="000000"/>
                <w:sz w:val="28"/>
                <w:szCs w:val="28"/>
                <w:u w:val="none"/>
              </w:rPr>
            </w:pPr>
            <w:r>
              <w:rPr>
                <w:rFonts w:hint="default" w:ascii="Times New Roman" w:hAnsi="Times New Roman" w:eastAsia="仿宋_GB2312" w:cs="Times New Roman"/>
                <w:i w:val="0"/>
                <w:iCs w:val="0"/>
                <w:color w:val="000000"/>
                <w:kern w:val="0"/>
                <w:sz w:val="28"/>
                <w:szCs w:val="28"/>
                <w:u w:val="none"/>
                <w:lang w:val="en-US" w:eastAsia="zh-CN" w:bidi="ar"/>
              </w:rPr>
              <w:t>143</w:t>
            </w:r>
          </w:p>
        </w:tc>
        <w:tc>
          <w:tcPr>
            <w:tcW w:w="1404" w:type="dxa"/>
            <w:tcBorders>
              <w:top w:val="nil"/>
              <w:left w:val="nil"/>
              <w:bottom w:val="single" w:color="000000" w:sz="12" w:space="0"/>
              <w:right w:val="single" w:color="000000" w:sz="8"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480" w:lineRule="exact"/>
              <w:ind w:left="0" w:leftChars="0" w:right="0" w:rightChars="0" w:firstLine="0" w:firstLineChars="0"/>
              <w:jc w:val="center"/>
              <w:textAlignment w:val="bottom"/>
              <w:outlineLvl w:val="9"/>
              <w:rPr>
                <w:rFonts w:hint="default" w:ascii="Times New Roman" w:hAnsi="Times New Roman" w:eastAsia="仿宋_GB2312" w:cs="Times New Roman"/>
                <w:i w:val="0"/>
                <w:iCs w:val="0"/>
                <w:color w:val="000000"/>
                <w:sz w:val="28"/>
                <w:szCs w:val="28"/>
                <w:u w:val="none"/>
              </w:rPr>
            </w:pPr>
            <w:r>
              <w:rPr>
                <w:rFonts w:hint="default" w:ascii="Times New Roman" w:hAnsi="Times New Roman" w:eastAsia="仿宋_GB2312" w:cs="Times New Roman"/>
                <w:i w:val="0"/>
                <w:iCs w:val="0"/>
                <w:color w:val="000000"/>
                <w:kern w:val="0"/>
                <w:sz w:val="28"/>
                <w:szCs w:val="28"/>
                <w:u w:val="none"/>
                <w:lang w:val="en-US" w:eastAsia="zh-CN" w:bidi="ar"/>
              </w:rPr>
              <w:t xml:space="preserve">28.64 </w:t>
            </w:r>
          </w:p>
        </w:tc>
        <w:tc>
          <w:tcPr>
            <w:tcW w:w="1452" w:type="dxa"/>
            <w:tcBorders>
              <w:top w:val="nil"/>
              <w:left w:val="nil"/>
              <w:bottom w:val="single" w:color="000000" w:sz="12" w:space="0"/>
              <w:right w:val="single" w:color="000000" w:sz="8"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480" w:lineRule="exact"/>
              <w:ind w:left="0" w:leftChars="0" w:right="0" w:rightChars="0" w:firstLine="0" w:firstLineChars="0"/>
              <w:jc w:val="center"/>
              <w:textAlignment w:val="bottom"/>
              <w:outlineLvl w:val="9"/>
              <w:rPr>
                <w:rFonts w:hint="default" w:ascii="Times New Roman" w:hAnsi="Times New Roman" w:eastAsia="仿宋_GB2312" w:cs="Times New Roman"/>
                <w:i w:val="0"/>
                <w:iCs w:val="0"/>
                <w:color w:val="000000"/>
                <w:sz w:val="28"/>
                <w:szCs w:val="28"/>
                <w:u w:val="none"/>
              </w:rPr>
            </w:pPr>
            <w:r>
              <w:rPr>
                <w:rFonts w:hint="default" w:ascii="Times New Roman" w:hAnsi="Times New Roman" w:eastAsia="仿宋_GB2312" w:cs="Times New Roman"/>
                <w:i w:val="0"/>
                <w:iCs w:val="0"/>
                <w:color w:val="000000"/>
                <w:kern w:val="0"/>
                <w:sz w:val="28"/>
                <w:szCs w:val="28"/>
                <w:u w:val="none"/>
                <w:lang w:val="en-US" w:eastAsia="zh-CN" w:bidi="ar"/>
              </w:rPr>
              <w:t>100.0%</w:t>
            </w:r>
          </w:p>
        </w:tc>
        <w:tc>
          <w:tcPr>
            <w:tcW w:w="1368" w:type="dxa"/>
            <w:tcBorders>
              <w:top w:val="nil"/>
              <w:left w:val="single" w:color="000000" w:sz="8" w:space="0"/>
              <w:bottom w:val="single" w:color="000000" w:sz="12" w:space="0"/>
              <w:right w:val="nil"/>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480" w:lineRule="exact"/>
              <w:ind w:left="0" w:leftChars="0" w:right="0" w:rightChars="0" w:firstLine="0" w:firstLineChars="0"/>
              <w:jc w:val="center"/>
              <w:textAlignment w:val="bottom"/>
              <w:outlineLvl w:val="9"/>
              <w:rPr>
                <w:rFonts w:hint="default" w:ascii="Times New Roman" w:hAnsi="Times New Roman" w:eastAsia="仿宋_GB2312" w:cs="Times New Roman"/>
                <w:i w:val="0"/>
                <w:iCs w:val="0"/>
                <w:color w:val="000000"/>
                <w:sz w:val="28"/>
                <w:szCs w:val="28"/>
                <w:u w:val="none"/>
              </w:rPr>
            </w:pPr>
            <w:r>
              <w:rPr>
                <w:rFonts w:hint="default" w:ascii="Times New Roman" w:hAnsi="Times New Roman" w:eastAsia="仿宋_GB2312" w:cs="Times New Roman"/>
                <w:i w:val="0"/>
                <w:iCs w:val="0"/>
                <w:color w:val="000000"/>
                <w:kern w:val="0"/>
                <w:sz w:val="28"/>
                <w:szCs w:val="28"/>
                <w:u w:val="none"/>
                <w:lang w:val="en-US" w:eastAsia="zh-CN" w:bidi="ar"/>
              </w:rPr>
              <w:t>11.9%</w:t>
            </w:r>
          </w:p>
        </w:tc>
        <w:tc>
          <w:tcPr>
            <w:tcW w:w="1872" w:type="dxa"/>
            <w:tcBorders>
              <w:top w:val="nil"/>
              <w:left w:val="single" w:color="000000" w:sz="8" w:space="0"/>
              <w:bottom w:val="single" w:color="000000" w:sz="12" w:space="0"/>
              <w:right w:val="nil"/>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480" w:lineRule="exact"/>
              <w:ind w:left="0" w:leftChars="0" w:right="0" w:rightChars="0" w:firstLine="0" w:firstLineChars="0"/>
              <w:jc w:val="center"/>
              <w:textAlignment w:val="bottom"/>
              <w:outlineLvl w:val="9"/>
              <w:rPr>
                <w:rFonts w:hint="default" w:ascii="Times New Roman" w:hAnsi="Times New Roman" w:eastAsia="仿宋_GB2312" w:cs="Times New Roman"/>
                <w:i w:val="0"/>
                <w:iCs w:val="0"/>
                <w:color w:val="000000"/>
                <w:sz w:val="28"/>
                <w:szCs w:val="28"/>
                <w:u w:val="none"/>
              </w:rPr>
            </w:pPr>
            <w:r>
              <w:rPr>
                <w:rFonts w:hint="default" w:ascii="Times New Roman" w:hAnsi="Times New Roman" w:eastAsia="仿宋_GB2312" w:cs="Times New Roman"/>
                <w:i w:val="0"/>
                <w:iCs w:val="0"/>
                <w:color w:val="000000"/>
                <w:kern w:val="0"/>
                <w:sz w:val="28"/>
                <w:szCs w:val="28"/>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3240" w:type="dxa"/>
          <w:trHeight w:val="325" w:hRule="atLeast"/>
        </w:trPr>
        <w:tc>
          <w:tcPr>
            <w:tcW w:w="5580" w:type="dxa"/>
            <w:gridSpan w:val="4"/>
            <w:tcBorders>
              <w:top w:val="nil"/>
              <w:left w:val="nil"/>
              <w:bottom w:val="nil"/>
              <w:right w:val="nil"/>
            </w:tcBorders>
            <w:shd w:val="clear" w:color="auto" w:fill="auto"/>
            <w:vAlign w:val="bottom"/>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楷体" w:hAnsi="楷体" w:eastAsia="楷体" w:cs="楷体"/>
                <w:i w:val="0"/>
                <w:iCs w:val="0"/>
                <w:color w:val="000000"/>
                <w:sz w:val="28"/>
                <w:szCs w:val="28"/>
                <w:u w:val="none"/>
              </w:rPr>
            </w:pPr>
            <w:r>
              <w:rPr>
                <w:rFonts w:hint="eastAsia" w:ascii="楷体" w:hAnsi="楷体" w:eastAsia="楷体" w:cs="楷体"/>
                <w:i w:val="0"/>
                <w:iCs w:val="0"/>
                <w:color w:val="000000"/>
                <w:kern w:val="0"/>
                <w:sz w:val="28"/>
                <w:szCs w:val="28"/>
                <w:u w:val="none"/>
                <w:lang w:val="en-US" w:eastAsia="zh-CN" w:bidi="ar"/>
              </w:rPr>
              <w:t>注：因四舍五入存在分项总计不等于合计。</w:t>
            </w:r>
          </w:p>
        </w:tc>
      </w:tr>
    </w:tbl>
    <w:p>
      <w:pPr>
        <w:pStyle w:val="2"/>
        <w:keepNext w:val="0"/>
        <w:keepLines w:val="0"/>
        <w:pageBreakBefore w:val="0"/>
        <w:kinsoku/>
        <w:wordWrap/>
        <w:overflowPunct/>
        <w:topLinePunct w:val="0"/>
        <w:autoSpaceDE/>
        <w:autoSpaceDN/>
        <w:bidi w:val="0"/>
        <w:adjustRightInd/>
        <w:snapToGrid/>
        <w:spacing w:after="0" w:afterLines="0" w:line="560" w:lineRule="exact"/>
        <w:ind w:left="0" w:leftChars="0" w:right="0" w:rightChars="0" w:firstLine="640" w:firstLineChars="200"/>
        <w:jc w:val="both"/>
        <w:textAlignment w:val="auto"/>
        <w:rPr>
          <w:rFonts w:hint="default" w:ascii="Times New Roman" w:hAnsi="Times New Roman" w:eastAsia="仿宋_GB2312" w:cs="Times New Roman"/>
          <w:color w:val="auto"/>
          <w:kern w:val="0"/>
          <w:sz w:val="32"/>
          <w:szCs w:val="32"/>
          <w:highlight w:val="none"/>
          <w:lang w:val="en-US" w:eastAsia="zh-CN" w:bidi="ar-SA"/>
        </w:rPr>
      </w:pPr>
      <w:r>
        <w:rPr>
          <w:rFonts w:hint="default" w:ascii="Times New Roman" w:hAnsi="Times New Roman" w:eastAsia="仿宋_GB2312" w:cs="Times New Roman"/>
          <w:color w:val="auto"/>
          <w:kern w:val="0"/>
          <w:sz w:val="32"/>
          <w:szCs w:val="32"/>
          <w:highlight w:val="none"/>
          <w:lang w:val="en-US" w:eastAsia="zh-CN" w:bidi="ar-SA"/>
        </w:rPr>
        <w:t>分企业资质看，一级资质建筑企业虽然数量占比小，但签订合同额和完成总产值占比分别达五、六成，龙头企业支撑作用明显。一级资质企业28家，签订合同额60.09亿元，占总合同额的49.9%；完成产值17.41亿元，占总产值的60.8%，比增7.7%，增长贡献率为40.9%。一级资质建筑业企业一季度平均完成产值0.62亿元，是全市平均水平的3.1倍，成为带动全市建筑业上规模、上档次，向高质量精细化发展的“领头雁”。</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1"/>
        <w:rPr>
          <w:rFonts w:hint="eastAsia" w:ascii="楷体" w:hAnsi="楷体" w:eastAsia="楷体" w:cs="楷体"/>
          <w:bCs/>
          <w:color w:val="auto"/>
          <w:kern w:val="0"/>
          <w:sz w:val="32"/>
          <w:szCs w:val="32"/>
          <w:highlight w:val="none"/>
          <w:lang w:val="en-US" w:eastAsia="zh-CN"/>
        </w:rPr>
      </w:pPr>
      <w:r>
        <w:rPr>
          <w:rFonts w:hint="eastAsia" w:ascii="楷体" w:hAnsi="楷体" w:eastAsia="楷体" w:cs="楷体"/>
          <w:bCs/>
          <w:color w:val="auto"/>
          <w:kern w:val="0"/>
          <w:sz w:val="32"/>
          <w:szCs w:val="32"/>
          <w:highlight w:val="none"/>
          <w:lang w:val="en-US" w:eastAsia="zh-CN"/>
        </w:rPr>
        <w:t>省外承接业务能力增强，行业外向度不断提升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157" w:afterLines="5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kern w:val="0"/>
          <w:sz w:val="32"/>
          <w:szCs w:val="32"/>
          <w:highlight w:val="none"/>
          <w:lang w:val="en-US" w:eastAsia="zh-CN" w:bidi="ar-SA"/>
        </w:rPr>
      </w:pPr>
      <w:r>
        <w:rPr>
          <w:rFonts w:hint="default" w:ascii="Times New Roman" w:hAnsi="Times New Roman" w:eastAsia="仿宋_GB2312" w:cs="Times New Roman"/>
          <w:color w:val="auto"/>
          <w:kern w:val="0"/>
          <w:sz w:val="32"/>
          <w:szCs w:val="32"/>
          <w:highlight w:val="none"/>
          <w:lang w:val="en-US" w:eastAsia="zh-CN" w:bidi="ar-SA"/>
        </w:rPr>
        <w:t>从地域划分看，省内完成产值是我市建筑业产值平稳增长的主力军，省内完成19.53亿元，占总产值的68.2%，比增4.0%，拉动增长2.9个百分点，贡献率达24.7%；而从产值贡献上来看，外省完成产值拉动作用凸显，完成产值9.11亿元，比增33.7%，拉动增长9.0个百分点，贡献率达75.3%。</w:t>
      </w:r>
    </w:p>
    <w:p>
      <w:pPr>
        <w:pStyle w:val="2"/>
        <w:ind w:left="0" w:leftChars="0" w:firstLine="0" w:firstLineChars="0"/>
        <w:jc w:val="center"/>
      </w:pPr>
      <w:r>
        <w:drawing>
          <wp:inline distT="0" distB="0" distL="114300" distR="114300">
            <wp:extent cx="4784090" cy="2947035"/>
            <wp:effectExtent l="0" t="0" r="0" b="0"/>
            <wp:docPr id="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2"/>
        <w:ind w:left="0" w:leftChars="0" w:firstLine="0" w:firstLineChars="0"/>
        <w:jc w:val="center"/>
        <w:rPr>
          <w:rFonts w:hint="eastAsia" w:ascii="楷体" w:hAnsi="楷体" w:eastAsia="楷体" w:cs="楷体"/>
          <w:b/>
          <w:bCs/>
          <w:color w:val="auto"/>
          <w:kern w:val="0"/>
          <w:sz w:val="30"/>
          <w:szCs w:val="30"/>
          <w:highlight w:val="none"/>
          <w:lang w:val="en-US" w:eastAsia="zh-CN"/>
        </w:rPr>
      </w:pPr>
      <w:r>
        <w:rPr>
          <w:rFonts w:hint="eastAsia" w:ascii="楷体" w:hAnsi="楷体" w:eastAsia="楷体" w:cs="楷体"/>
          <w:b w:val="0"/>
          <w:bCs w:val="0"/>
          <w:color w:val="auto"/>
          <w:kern w:val="0"/>
          <w:sz w:val="30"/>
          <w:szCs w:val="30"/>
          <w:highlight w:val="none"/>
          <w:lang w:val="en-US" w:eastAsia="zh-CN"/>
        </w:rPr>
        <w:t>图2  2022年一季度外省完成产值分布图（前15省份）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Times New Roman"/>
          <w:color w:val="auto"/>
          <w:kern w:val="0"/>
          <w:sz w:val="32"/>
          <w:szCs w:val="32"/>
          <w:highlight w:val="none"/>
          <w:lang w:val="en-US" w:eastAsia="zh-CN" w:bidi="ar-SA"/>
        </w:rPr>
      </w:pPr>
      <w:r>
        <w:rPr>
          <w:rFonts w:hint="default" w:ascii="Times New Roman" w:hAnsi="Times New Roman" w:eastAsia="仿宋_GB2312" w:cs="Times New Roman"/>
          <w:color w:val="auto"/>
          <w:kern w:val="0"/>
          <w:sz w:val="32"/>
          <w:szCs w:val="32"/>
          <w:highlight w:val="none"/>
          <w:lang w:val="en-US" w:eastAsia="zh-CN" w:bidi="ar-SA"/>
        </w:rPr>
        <w:t>我市建筑业企业外向度上涨到31.8%，较去年同期（26.6%）增加5.2个百分点，比增19.5%。从分布省份看，外省承揽工程共涉足26个省份，遍及全国，其中江苏、海南工程量最多，浙江、辽宁和江西次之。</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1"/>
        <w:rPr>
          <w:rFonts w:hint="default" w:ascii="Times New Roman" w:hAnsi="Times New Roman" w:eastAsia="楷体" w:cs="Times New Roman"/>
          <w:bCs/>
          <w:color w:val="auto"/>
          <w:kern w:val="0"/>
          <w:sz w:val="32"/>
          <w:szCs w:val="32"/>
          <w:highlight w:val="none"/>
          <w:lang w:val="en-US" w:eastAsia="zh-CN"/>
        </w:rPr>
      </w:pPr>
      <w:r>
        <w:rPr>
          <w:rFonts w:hint="default" w:ascii="Times New Roman" w:hAnsi="Times New Roman" w:eastAsia="楷体" w:cs="Times New Roman"/>
          <w:bCs/>
          <w:color w:val="auto"/>
          <w:kern w:val="0"/>
          <w:sz w:val="32"/>
          <w:szCs w:val="32"/>
          <w:highlight w:val="none"/>
          <w:lang w:val="en-US" w:eastAsia="zh-CN"/>
        </w:rPr>
        <w:t>民营企业占比提升，拉动作用不断加强</w:t>
      </w:r>
    </w:p>
    <w:p>
      <w:pPr>
        <w:pStyle w:val="2"/>
        <w:keepNext w:val="0"/>
        <w:keepLines w:val="0"/>
        <w:pageBreakBefore w:val="0"/>
        <w:kinsoku/>
        <w:wordWrap/>
        <w:overflowPunct/>
        <w:topLinePunct w:val="0"/>
        <w:autoSpaceDE/>
        <w:autoSpaceDN/>
        <w:bidi w:val="0"/>
        <w:adjustRightInd/>
        <w:snapToGrid/>
        <w:spacing w:after="0" w:afterLines="0" w:line="560" w:lineRule="exact"/>
        <w:ind w:left="0" w:leftChars="0" w:right="0" w:rightChars="0" w:firstLine="640" w:firstLineChars="200"/>
        <w:jc w:val="both"/>
        <w:textAlignment w:val="auto"/>
        <w:rPr>
          <w:rFonts w:hint="default" w:ascii="Times New Roman" w:hAnsi="Times New Roman" w:eastAsia="仿宋_GB2312" w:cs="Times New Roman"/>
          <w:color w:val="auto"/>
          <w:kern w:val="0"/>
          <w:sz w:val="32"/>
          <w:szCs w:val="32"/>
          <w:highlight w:val="none"/>
          <w:lang w:val="en-US" w:eastAsia="zh-CN" w:bidi="ar-SA"/>
        </w:rPr>
      </w:pPr>
      <w:r>
        <w:rPr>
          <w:rFonts w:hint="default" w:ascii="Times New Roman" w:hAnsi="Times New Roman" w:eastAsia="仿宋_GB2312" w:cs="Times New Roman"/>
          <w:color w:val="auto"/>
          <w:kern w:val="0"/>
          <w:sz w:val="32"/>
          <w:szCs w:val="32"/>
          <w:highlight w:val="none"/>
          <w:lang w:val="en-US" w:eastAsia="zh-CN" w:bidi="ar-SA"/>
        </w:rPr>
        <w:t>我市总承包和专业承包企业中，近一年（2021年4月至今，下同）新增入库企业均为民营企业，民营企业占比从98.0%提高到98.6%，完成产值28.42亿元，增长12.2%，拉动全市建筑业产值增长12.2个百分点。</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1"/>
        <w:rPr>
          <w:rFonts w:hint="default" w:ascii="Times New Roman" w:hAnsi="Times New Roman" w:eastAsia="楷体" w:cs="Times New Roman"/>
          <w:bCs/>
          <w:color w:val="auto"/>
          <w:kern w:val="0"/>
          <w:sz w:val="32"/>
          <w:szCs w:val="32"/>
          <w:highlight w:val="none"/>
          <w:lang w:val="en-US" w:eastAsia="zh-CN"/>
        </w:rPr>
      </w:pPr>
      <w:r>
        <w:rPr>
          <w:rFonts w:hint="default" w:ascii="Times New Roman" w:hAnsi="Times New Roman" w:eastAsia="楷体" w:cs="Times New Roman"/>
          <w:bCs/>
          <w:color w:val="auto"/>
          <w:kern w:val="0"/>
          <w:sz w:val="32"/>
          <w:szCs w:val="32"/>
          <w:highlight w:val="none"/>
          <w:lang w:val="en-US" w:eastAsia="zh-CN"/>
        </w:rPr>
        <w:t>建筑工程施工周期缩短，回笼工程款加速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rPr>
          <w:rFonts w:hint="default" w:ascii="Times New Roman" w:hAnsi="Times New Roman" w:cs="Times New Roman"/>
          <w:lang w:val="en-US" w:eastAsia="zh-CN"/>
        </w:rPr>
      </w:pPr>
      <w:r>
        <w:rPr>
          <w:rFonts w:hint="default" w:ascii="Times New Roman" w:hAnsi="Times New Roman" w:eastAsia="仿宋_GB2312" w:cs="Times New Roman"/>
          <w:color w:val="auto"/>
          <w:kern w:val="0"/>
          <w:sz w:val="32"/>
          <w:szCs w:val="32"/>
          <w:highlight w:val="none"/>
          <w:lang w:val="en-US" w:eastAsia="zh-CN" w:bidi="ar-SA"/>
        </w:rPr>
        <w:t>一季度我市房屋施工面积687.01万平方米，比增27.3%，其中一级资质企业施工面积323.71万平方米，占比47.1%，下降0.7%。房屋竣工面积49.98万平方米，比增28.8%，高于房屋施工面积增速，表明企业施工项目周期跨度缩短，疫情点状散发形势下，企业更倾向于短平快项目。企业回笼工程款加速，有利于资金周转和后续承揽工程。</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1"/>
        <w:rPr>
          <w:rFonts w:hint="default" w:ascii="Times New Roman" w:hAnsi="Times New Roman" w:eastAsia="楷体" w:cs="Times New Roman"/>
          <w:bCs/>
          <w:color w:val="auto"/>
          <w:kern w:val="0"/>
          <w:sz w:val="32"/>
          <w:szCs w:val="32"/>
          <w:highlight w:val="none"/>
          <w:lang w:val="en-US" w:eastAsia="zh-CN"/>
        </w:rPr>
      </w:pPr>
      <w:r>
        <w:rPr>
          <w:rFonts w:hint="default" w:ascii="Times New Roman" w:hAnsi="Times New Roman" w:eastAsia="楷体" w:cs="Times New Roman"/>
          <w:bCs/>
          <w:color w:val="auto"/>
          <w:kern w:val="0"/>
          <w:sz w:val="32"/>
          <w:szCs w:val="32"/>
          <w:highlight w:val="none"/>
          <w:lang w:val="en-US" w:eastAsia="zh-CN"/>
        </w:rPr>
        <w:t>劳动生产率稳步提升，人均产值突破8万元</w:t>
      </w:r>
    </w:p>
    <w:p>
      <w:pPr>
        <w:pStyle w:val="2"/>
        <w:keepNext w:val="0"/>
        <w:keepLines w:val="0"/>
        <w:pageBreakBefore w:val="0"/>
        <w:widowControl w:val="0"/>
        <w:kinsoku/>
        <w:wordWrap/>
        <w:overflowPunct/>
        <w:topLinePunct w:val="0"/>
        <w:autoSpaceDE/>
        <w:autoSpaceDN/>
        <w:bidi w:val="0"/>
        <w:adjustRightInd/>
        <w:snapToGrid/>
        <w:spacing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kern w:val="0"/>
          <w:sz w:val="32"/>
          <w:szCs w:val="32"/>
          <w:highlight w:val="none"/>
          <w:lang w:val="en-US" w:eastAsia="zh-CN" w:bidi="ar-SA"/>
        </w:rPr>
      </w:pPr>
      <w:r>
        <w:rPr>
          <w:rFonts w:hint="default" w:ascii="Times New Roman" w:hAnsi="Times New Roman" w:eastAsia="仿宋_GB2312" w:cs="Times New Roman"/>
          <w:color w:val="auto"/>
          <w:kern w:val="0"/>
          <w:sz w:val="32"/>
          <w:szCs w:val="32"/>
          <w:highlight w:val="none"/>
          <w:lang w:val="en-US" w:eastAsia="zh-CN" w:bidi="ar-SA"/>
        </w:rPr>
        <w:t>一季度我市从事建筑业生产经营活动的平均人数达3.38万人，比增4.6%。随着建筑工业化进程加快和设备装备水平的提升，建筑业劳动生产率稳步提高，全市劳动生产率（以总产值、平均人数计算）为8.48万元/人，比同期提高0.56万元/人，比增7.0%。我市建筑业企业吸纳就业能力和生产效率明显提升，有效提高了企业经济效益，也为后续建筑企业生产平稳增长提供有力保障。</w:t>
      </w: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1"/>
        <w:rPr>
          <w:rFonts w:hint="default" w:ascii="Times New Roman" w:hAnsi="Times New Roman" w:eastAsia="黑体" w:cs="Times New Roman"/>
          <w:bCs/>
          <w:color w:val="auto"/>
          <w:kern w:val="0"/>
          <w:sz w:val="32"/>
          <w:szCs w:val="32"/>
          <w:highlight w:val="none"/>
          <w:lang w:val="en-US" w:eastAsia="zh-CN"/>
        </w:rPr>
      </w:pPr>
      <w:r>
        <w:rPr>
          <w:rFonts w:hint="default" w:ascii="Times New Roman" w:hAnsi="Times New Roman" w:eastAsia="黑体" w:cs="Times New Roman"/>
          <w:bCs/>
          <w:color w:val="auto"/>
          <w:kern w:val="0"/>
          <w:sz w:val="32"/>
          <w:szCs w:val="32"/>
          <w:highlight w:val="none"/>
          <w:lang w:val="en-US" w:eastAsia="zh-CN"/>
        </w:rPr>
        <w:t>需要引起关注的问题</w:t>
      </w:r>
    </w:p>
    <w:p>
      <w:pPr>
        <w:keepNext w:val="0"/>
        <w:keepLines w:val="0"/>
        <w:pageBreakBefore w:val="0"/>
        <w:widowControl/>
        <w:numPr>
          <w:ilvl w:val="0"/>
          <w:numId w:val="3"/>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1"/>
        <w:rPr>
          <w:rFonts w:hint="default" w:ascii="Times New Roman" w:hAnsi="Times New Roman" w:eastAsia="楷体" w:cs="Times New Roman"/>
          <w:bCs/>
          <w:color w:val="auto"/>
          <w:kern w:val="0"/>
          <w:sz w:val="32"/>
          <w:szCs w:val="32"/>
          <w:highlight w:val="none"/>
          <w:lang w:val="en-US" w:eastAsia="zh-CN"/>
        </w:rPr>
      </w:pPr>
      <w:r>
        <w:rPr>
          <w:rFonts w:hint="default" w:ascii="Times New Roman" w:hAnsi="Times New Roman" w:eastAsia="楷体" w:cs="Times New Roman"/>
          <w:bCs/>
          <w:color w:val="auto"/>
          <w:kern w:val="0"/>
          <w:sz w:val="32"/>
          <w:szCs w:val="32"/>
          <w:highlight w:val="none"/>
          <w:lang w:val="en-US" w:eastAsia="zh-CN"/>
        </w:rPr>
        <w:t>整体资质偏低，限制竞争能力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rPr>
          <w:rFonts w:hint="default" w:ascii="仿宋_GB2312" w:eastAsia="仿宋_GB2312" w:hAnsiTheme="minorEastAsia" w:cstheme="minorEastAsia"/>
          <w:color w:val="auto"/>
          <w:kern w:val="0"/>
          <w:sz w:val="32"/>
          <w:szCs w:val="32"/>
          <w:highlight w:val="none"/>
          <w:lang w:val="en-US" w:eastAsia="zh-CN" w:bidi="ar-SA"/>
        </w:rPr>
      </w:pPr>
      <w:r>
        <w:rPr>
          <w:rFonts w:hint="default" w:ascii="Times New Roman" w:hAnsi="Times New Roman" w:eastAsia="仿宋_GB2312" w:cs="Times New Roman"/>
          <w:color w:val="auto"/>
          <w:kern w:val="0"/>
          <w:sz w:val="32"/>
          <w:szCs w:val="32"/>
          <w:highlight w:val="none"/>
          <w:lang w:val="en-US" w:eastAsia="zh-CN" w:bidi="ar-SA"/>
        </w:rPr>
        <w:t>从全市在库建筑业资质构成看，具有总专包特级资质的企业为零，一、二级资质建筑企业共70家，完成产值26.50亿元，占比92.5%，增长贡献率达82.6%。三级资质以上建筑企业73家，完成产值2.14亿元，增长贡献率仅17.4%。</w:t>
      </w:r>
    </w:p>
    <w:p>
      <w:pPr>
        <w:pStyle w:val="2"/>
        <w:ind w:left="0" w:leftChars="0" w:firstLine="0" w:firstLineChars="0"/>
        <w:jc w:val="center"/>
        <w:rPr>
          <w:rFonts w:hint="default"/>
          <w:lang w:val="en-US" w:eastAsia="zh-CN"/>
        </w:rPr>
      </w:pPr>
      <w:r>
        <w:drawing>
          <wp:inline distT="0" distB="0" distL="114300" distR="114300">
            <wp:extent cx="5175885" cy="3239770"/>
            <wp:effectExtent l="0" t="0" r="0" b="0"/>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rPr>
          <w:rFonts w:hint="default" w:ascii="Times New Roman" w:hAnsi="Times New Roman" w:eastAsia="仿宋_GB2312" w:cs="Times New Roman"/>
          <w:color w:val="auto"/>
          <w:kern w:val="0"/>
          <w:sz w:val="32"/>
          <w:szCs w:val="32"/>
          <w:highlight w:val="none"/>
          <w:lang w:val="en-US" w:eastAsia="zh-CN" w:bidi="ar-SA"/>
        </w:rPr>
      </w:pPr>
      <w:r>
        <w:rPr>
          <w:rFonts w:hint="default" w:ascii="Times New Roman" w:hAnsi="Times New Roman" w:eastAsia="仿宋_GB2312" w:cs="Times New Roman"/>
          <w:color w:val="auto"/>
          <w:kern w:val="0"/>
          <w:sz w:val="32"/>
          <w:szCs w:val="32"/>
          <w:highlight w:val="none"/>
          <w:lang w:val="en-US" w:eastAsia="zh-CN" w:bidi="ar-SA"/>
        </w:rPr>
        <w:t>近一年来，全市新增入库45家企业中，一级资质企业占全部新入库企业的比重为4.4%；二级资质企业占比为33.3%；三级资质企业占比为62.3%；无新入库的特级企业。从以上数据来看，新入库建筑业企业以资质偏低的二、三级企业为主，新入库企业资质整体偏低。本土企业规模整体较小、资质等级较低，竞争实力明显不足，很大程度上制约了全市建筑业高质量发展。</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1"/>
        <w:rPr>
          <w:rFonts w:hint="eastAsia" w:ascii="楷体" w:hAnsi="楷体" w:eastAsia="楷体" w:cs="楷体"/>
          <w:bCs/>
          <w:color w:val="auto"/>
          <w:kern w:val="0"/>
          <w:sz w:val="32"/>
          <w:szCs w:val="32"/>
          <w:highlight w:val="none"/>
          <w:lang w:val="en-US" w:eastAsia="zh-CN"/>
        </w:rPr>
      </w:pPr>
      <w:r>
        <w:rPr>
          <w:rFonts w:hint="eastAsia" w:ascii="楷体" w:hAnsi="楷体" w:eastAsia="楷体" w:cs="楷体"/>
          <w:bCs/>
          <w:color w:val="auto"/>
          <w:kern w:val="0"/>
          <w:sz w:val="32"/>
          <w:szCs w:val="32"/>
          <w:highlight w:val="none"/>
          <w:lang w:val="en-US" w:eastAsia="zh-CN"/>
        </w:rPr>
        <w:t>本年新签合同额下滑，短期承压</w:t>
      </w:r>
    </w:p>
    <w:p>
      <w:pPr>
        <w:pStyle w:val="2"/>
        <w:keepNext w:val="0"/>
        <w:keepLines w:val="0"/>
        <w:pageBreakBefore w:val="0"/>
        <w:widowControl w:val="0"/>
        <w:kinsoku/>
        <w:wordWrap/>
        <w:overflowPunct/>
        <w:topLinePunct w:val="0"/>
        <w:autoSpaceDE/>
        <w:autoSpaceDN/>
        <w:bidi w:val="0"/>
        <w:adjustRightInd/>
        <w:snapToGrid/>
        <w:spacing w:after="0" w:afterLines="0" w:line="600" w:lineRule="exact"/>
        <w:ind w:left="0" w:leftChars="0" w:right="0" w:rightChars="0" w:firstLine="640" w:firstLineChars="200"/>
        <w:jc w:val="both"/>
        <w:textAlignment w:val="auto"/>
        <w:rPr>
          <w:rFonts w:hint="default" w:ascii="Times New Roman" w:hAnsi="Times New Roman" w:cs="Times New Roman"/>
          <w:lang w:val="en-US" w:eastAsia="zh-CN"/>
        </w:rPr>
      </w:pPr>
      <w:r>
        <w:rPr>
          <w:rFonts w:hint="default" w:ascii="Times New Roman" w:hAnsi="Times New Roman" w:eastAsia="仿宋_GB2312" w:cs="Times New Roman"/>
          <w:color w:val="auto"/>
          <w:kern w:val="0"/>
          <w:sz w:val="32"/>
          <w:szCs w:val="32"/>
          <w:highlight w:val="none"/>
          <w:lang w:val="en-US" w:eastAsia="zh-CN" w:bidi="ar-SA"/>
        </w:rPr>
        <w:t>一季度，全市本年新签合同额共17.11亿元，同比下降15.7%，行业整体业务受疫情影响短期承压，项目进度滞慢，同时房地产市场下行也影响到建筑业的业务成交量，企业新承揽业务减少，在很大程度上影响下阶段建筑业持续稳定健康发展。 </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1"/>
        <w:rPr>
          <w:rFonts w:hint="eastAsia" w:ascii="楷体" w:hAnsi="楷体" w:eastAsia="楷体" w:cs="楷体"/>
          <w:bCs/>
          <w:color w:val="auto"/>
          <w:kern w:val="0"/>
          <w:sz w:val="32"/>
          <w:szCs w:val="32"/>
          <w:highlight w:val="none"/>
          <w:lang w:val="en-US" w:eastAsia="zh-CN"/>
        </w:rPr>
      </w:pPr>
      <w:r>
        <w:rPr>
          <w:rFonts w:hint="eastAsia" w:ascii="楷体" w:hAnsi="楷体" w:eastAsia="楷体" w:cs="楷体"/>
          <w:bCs/>
          <w:color w:val="auto"/>
          <w:kern w:val="0"/>
          <w:sz w:val="32"/>
          <w:szCs w:val="32"/>
          <w:highlight w:val="none"/>
          <w:lang w:val="en-US" w:eastAsia="zh-CN"/>
        </w:rPr>
        <w:t>技术人才不足，制约长期发展</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rPr>
          <w:rFonts w:hint="default" w:ascii="Times New Roman" w:hAnsi="Times New Roman" w:eastAsia="仿宋_GB2312" w:cs="Times New Roman"/>
          <w:color w:val="auto"/>
          <w:kern w:val="0"/>
          <w:sz w:val="32"/>
          <w:szCs w:val="32"/>
          <w:highlight w:val="none"/>
          <w:lang w:val="en-US" w:eastAsia="zh-CN" w:bidi="ar-SA"/>
        </w:rPr>
      </w:pPr>
      <w:r>
        <w:rPr>
          <w:rFonts w:hint="default" w:ascii="Times New Roman" w:hAnsi="Times New Roman" w:eastAsia="仿宋_GB2312" w:cs="Times New Roman"/>
          <w:color w:val="auto"/>
          <w:kern w:val="0"/>
          <w:sz w:val="32"/>
          <w:szCs w:val="32"/>
          <w:highlight w:val="none"/>
          <w:lang w:val="en-US" w:eastAsia="zh-CN" w:bidi="ar-SA"/>
        </w:rPr>
        <w:t>一季度，全市建筑业企业直接从事生产经营活动的期末人数为3.26万人，比增2.3%。其中工程技术人员0.32万人，仅占全部从业人员的9.8%。建筑业企业生产经营景气状况调查显示，30.8%的企业最缺少高级技工，分别各有19.8%的企业最缺少普通技工、经营管理人员。53.8%的企业存在招工难的问题，30.1%的企业认为符合岗位要求的应聘者减少是招工难的主要原因。工程技术人员不足，将造成企业技术力量薄弱，影响建筑业企业核心竞争力、限制建筑业长期发展。</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1"/>
        <w:rPr>
          <w:rFonts w:hint="default" w:ascii="Times New Roman" w:hAnsi="Times New Roman" w:eastAsia="黑体" w:cs="Times New Roman"/>
          <w:bCs/>
          <w:color w:val="auto"/>
          <w:kern w:val="0"/>
          <w:sz w:val="32"/>
          <w:szCs w:val="32"/>
          <w:highlight w:val="none"/>
          <w:lang w:val="en-US" w:eastAsia="zh-CN"/>
        </w:rPr>
      </w:pPr>
      <w:r>
        <w:rPr>
          <w:rFonts w:hint="default" w:ascii="Times New Roman" w:hAnsi="Times New Roman" w:eastAsia="黑体" w:cs="Times New Roman"/>
          <w:bCs/>
          <w:color w:val="auto"/>
          <w:kern w:val="0"/>
          <w:sz w:val="32"/>
          <w:szCs w:val="32"/>
          <w:highlight w:val="none"/>
          <w:lang w:val="en-US" w:eastAsia="zh-CN"/>
        </w:rPr>
        <w:t>行业配套不完善，缺乏多元企业</w:t>
      </w:r>
    </w:p>
    <w:p>
      <w:pPr>
        <w:pStyle w:val="2"/>
        <w:keepNext w:val="0"/>
        <w:keepLines w:val="0"/>
        <w:pageBreakBefore w:val="0"/>
        <w:widowControl w:val="0"/>
        <w:kinsoku/>
        <w:wordWrap/>
        <w:overflowPunct/>
        <w:topLinePunct w:val="0"/>
        <w:autoSpaceDE/>
        <w:autoSpaceDN/>
        <w:bidi w:val="0"/>
        <w:adjustRightInd/>
        <w:snapToGrid/>
        <w:spacing w:after="0" w:afterLines="0" w:line="600" w:lineRule="exact"/>
        <w:ind w:left="0" w:leftChars="0" w:right="0" w:rightChars="0" w:firstLine="640" w:firstLineChars="200"/>
        <w:jc w:val="both"/>
        <w:textAlignment w:val="auto"/>
        <w:rPr>
          <w:rFonts w:hint="default" w:ascii="Times New Roman" w:hAnsi="Times New Roman" w:eastAsia="仿宋_GB2312" w:cs="Times New Roman"/>
          <w:color w:val="auto"/>
          <w:kern w:val="0"/>
          <w:sz w:val="32"/>
          <w:szCs w:val="32"/>
          <w:highlight w:val="none"/>
          <w:lang w:val="en-US" w:eastAsia="zh-CN" w:bidi="ar-SA"/>
        </w:rPr>
      </w:pPr>
      <w:r>
        <w:rPr>
          <w:rFonts w:hint="default" w:ascii="Times New Roman" w:hAnsi="Times New Roman" w:eastAsia="仿宋_GB2312" w:cs="Times New Roman"/>
          <w:color w:val="auto"/>
          <w:kern w:val="0"/>
          <w:sz w:val="32"/>
          <w:szCs w:val="32"/>
          <w:highlight w:val="none"/>
          <w:lang w:val="en-US" w:eastAsia="zh-CN" w:bidi="ar-SA"/>
        </w:rPr>
        <w:t>近一年来，全市新增建筑业企业仍以房屋建筑业和土木工程建筑业为主，全市资质以上建筑业企业高达76.9%的企业主营业务为住宅房屋建筑和市政道路工程建筑，建筑行业内部产业机构发展不够多元化。另外，全市工程前期勘探、设计及监理等相关的服务性企业较为稀缺，多数工程项目只能从外地寻找第三方服务。</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1"/>
        <w:rPr>
          <w:rFonts w:hint="default" w:ascii="Times New Roman" w:hAnsi="Times New Roman" w:eastAsia="黑体" w:cs="Times New Roman"/>
          <w:bCs/>
          <w:color w:val="auto"/>
          <w:kern w:val="0"/>
          <w:sz w:val="32"/>
          <w:szCs w:val="32"/>
          <w:highlight w:val="none"/>
          <w:lang w:val="en-US" w:eastAsia="zh-CN"/>
        </w:rPr>
      </w:pPr>
      <w:r>
        <w:rPr>
          <w:rFonts w:hint="default" w:ascii="Times New Roman" w:hAnsi="Times New Roman" w:eastAsia="黑体" w:cs="Times New Roman"/>
          <w:bCs/>
          <w:color w:val="auto"/>
          <w:kern w:val="0"/>
          <w:sz w:val="32"/>
          <w:szCs w:val="32"/>
          <w:highlight w:val="none"/>
          <w:lang w:val="en-US" w:eastAsia="zh-CN"/>
        </w:rPr>
        <w:t>多重因素影响，加剧资金压力</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rPr>
          <w:rFonts w:hint="default" w:ascii="Times New Roman" w:hAnsi="Times New Roman" w:eastAsia="仿宋_GB2312" w:cs="Times New Roman"/>
          <w:color w:val="auto"/>
          <w:kern w:val="0"/>
          <w:sz w:val="32"/>
          <w:szCs w:val="32"/>
          <w:highlight w:val="none"/>
          <w:lang w:val="en-US" w:eastAsia="zh-CN" w:bidi="ar-SA"/>
        </w:rPr>
      </w:pPr>
      <w:r>
        <w:rPr>
          <w:rFonts w:hint="default" w:ascii="Times New Roman" w:hAnsi="Times New Roman" w:eastAsia="仿宋_GB2312" w:cs="Times New Roman"/>
          <w:color w:val="auto"/>
          <w:kern w:val="0"/>
          <w:sz w:val="32"/>
          <w:szCs w:val="32"/>
          <w:highlight w:val="none"/>
          <w:lang w:val="en-US" w:eastAsia="zh-CN" w:bidi="ar-SA"/>
        </w:rPr>
        <w:t>一季度受钢材、铝材等原材料价格大幅上涨、疫情防控额外支出、环保压力升级、拖欠工程款等多重因素影响，建筑业企业盈利能力进一步减弱。我市在统建筑业企业实现营业收入22.79亿元，比增16.3%；营业成本20.28亿元，比增16.7%，占收入的比重89.0%。营业成本增速高于营业收入增速，企业利润总额0.87亿元，比去年同期下降3.2%，陷入增收不盈利的困局。全市企业亏损面接近2/15；行业产值利润率从去年同期的3.5%降低到3.0%，下降14.3%。</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1"/>
        <w:rPr>
          <w:rFonts w:hint="default" w:ascii="Times New Roman" w:hAnsi="Times New Roman" w:eastAsia="黑体" w:cs="Times New Roman"/>
          <w:bCs/>
          <w:color w:val="auto"/>
          <w:kern w:val="0"/>
          <w:sz w:val="32"/>
          <w:szCs w:val="32"/>
          <w:highlight w:val="none"/>
          <w:lang w:val="en-US" w:eastAsia="zh-CN"/>
        </w:rPr>
      </w:pPr>
      <w:r>
        <w:rPr>
          <w:rFonts w:hint="default" w:ascii="Times New Roman" w:hAnsi="Times New Roman" w:eastAsia="黑体" w:cs="Times New Roman"/>
          <w:bCs/>
          <w:color w:val="auto"/>
          <w:kern w:val="0"/>
          <w:sz w:val="36"/>
          <w:szCs w:val="36"/>
          <w:highlight w:val="none"/>
          <w:lang w:val="en-US" w:eastAsia="zh-CN"/>
        </w:rPr>
        <w:t>促进建</w:t>
      </w:r>
      <w:r>
        <w:rPr>
          <w:rFonts w:hint="default" w:ascii="Times New Roman" w:hAnsi="Times New Roman" w:eastAsia="黑体" w:cs="Times New Roman"/>
          <w:bCs/>
          <w:color w:val="auto"/>
          <w:kern w:val="0"/>
          <w:sz w:val="32"/>
          <w:szCs w:val="32"/>
          <w:highlight w:val="none"/>
          <w:lang w:val="en-US" w:eastAsia="zh-CN"/>
        </w:rPr>
        <w:t>筑业健康发展的建议</w:t>
      </w: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1"/>
        <w:rPr>
          <w:rFonts w:hint="eastAsia" w:ascii="楷体" w:hAnsi="楷体" w:eastAsia="楷体" w:cs="楷体"/>
          <w:bCs/>
          <w:color w:val="auto"/>
          <w:kern w:val="0"/>
          <w:sz w:val="32"/>
          <w:szCs w:val="32"/>
          <w:highlight w:val="none"/>
          <w:lang w:val="en-US" w:eastAsia="zh-CN"/>
        </w:rPr>
      </w:pPr>
      <w:r>
        <w:rPr>
          <w:rFonts w:hint="eastAsia" w:ascii="楷体" w:hAnsi="楷体" w:eastAsia="楷体" w:cs="楷体"/>
          <w:bCs/>
          <w:color w:val="auto"/>
          <w:kern w:val="0"/>
          <w:sz w:val="32"/>
          <w:szCs w:val="32"/>
          <w:highlight w:val="none"/>
          <w:lang w:val="en-US" w:eastAsia="zh-CN"/>
        </w:rPr>
        <w:t>优化营商环境，促进内涵式发展</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rPr>
          <w:rFonts w:hint="default" w:ascii="Times New Roman" w:hAnsi="Times New Roman" w:eastAsia="仿宋_GB2312" w:cs="Times New Roman"/>
          <w:color w:val="auto"/>
          <w:kern w:val="0"/>
          <w:sz w:val="32"/>
          <w:szCs w:val="32"/>
          <w:highlight w:val="none"/>
          <w:lang w:val="en-US" w:eastAsia="zh-CN" w:bidi="ar-SA"/>
        </w:rPr>
      </w:pPr>
      <w:r>
        <w:rPr>
          <w:rFonts w:hint="default" w:ascii="Times New Roman" w:hAnsi="Times New Roman" w:eastAsia="仿宋_GB2312" w:cs="Times New Roman"/>
          <w:color w:val="auto"/>
          <w:kern w:val="0"/>
          <w:sz w:val="32"/>
          <w:szCs w:val="32"/>
          <w:highlight w:val="none"/>
          <w:lang w:val="en-US" w:eastAsia="zh-CN" w:bidi="ar-SA"/>
        </w:rPr>
        <w:t>一是进一步深化建筑业“放管服”改革。优化市场准入和工程建设项目审批管理，做好市场“事中事后”监管，营造公平竞争的市场环境。二是行业管理部门有针对性地解决企业遇到的具体问题，建立企业问题清单和台账，形成问题销号制度，帮助“潜力”企业提质增效，增强竞争实力。三是积极引导本地优质企业帮扶支援资质低但专业作业能力强的企业，学习借鉴发达地区新的生产经营模式，切实提高企业本土、对外竞争能力；在项目承揽、企业融资以及更新装备等方面向本地优质企业大力倾斜和支持，在工程业绩与综合实力上进一步增强本地企业竞争力，在量变引发质变的过程中，实现本地建筑业企业内涵式、跨越式发展。</w:t>
      </w: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1"/>
        <w:rPr>
          <w:rFonts w:hint="eastAsia" w:ascii="楷体" w:hAnsi="楷体" w:eastAsia="楷体" w:cs="楷体"/>
          <w:bCs/>
          <w:color w:val="auto"/>
          <w:kern w:val="0"/>
          <w:sz w:val="32"/>
          <w:szCs w:val="32"/>
          <w:highlight w:val="none"/>
          <w:lang w:val="en-US" w:eastAsia="zh-CN"/>
        </w:rPr>
      </w:pPr>
      <w:r>
        <w:rPr>
          <w:rFonts w:hint="eastAsia" w:ascii="楷体" w:hAnsi="楷体" w:eastAsia="楷体" w:cs="楷体"/>
          <w:bCs/>
          <w:color w:val="auto"/>
          <w:kern w:val="0"/>
          <w:sz w:val="32"/>
          <w:szCs w:val="32"/>
          <w:highlight w:val="none"/>
          <w:lang w:val="en-US" w:eastAsia="zh-CN"/>
        </w:rPr>
        <w:t>加强人才建设，增强核心竞争力</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rPr>
          <w:rFonts w:hint="default" w:ascii="Times New Roman" w:hAnsi="Times New Roman" w:eastAsia="仿宋_GB2312" w:cs="Times New Roman"/>
          <w:color w:val="auto"/>
          <w:kern w:val="0"/>
          <w:sz w:val="32"/>
          <w:szCs w:val="32"/>
          <w:highlight w:val="none"/>
          <w:lang w:val="en-US" w:eastAsia="zh-CN" w:bidi="ar-SA"/>
        </w:rPr>
      </w:pPr>
      <w:r>
        <w:rPr>
          <w:rFonts w:hint="default" w:ascii="Times New Roman" w:hAnsi="Times New Roman" w:eastAsia="仿宋_GB2312" w:cs="Times New Roman"/>
          <w:color w:val="auto"/>
          <w:kern w:val="0"/>
          <w:sz w:val="32"/>
          <w:szCs w:val="32"/>
          <w:highlight w:val="none"/>
          <w:lang w:val="en-US" w:eastAsia="zh-CN" w:bidi="ar-SA"/>
        </w:rPr>
        <w:t>一是扶持培育龙头骨干企业做大做强做优，形成以骨干企业为核心的产业集群，以促进建筑业保持长期高质量可持续发展。二是发挥政府引导作用，引导企业加大科技研发投入，注重技术创新，着眼长远发展，有针对性地帮助企业建立人才激励和培养机制，出台人才引进政策，同时利用国家大力发展绿色建筑的机遇，加大绿色建筑的宣传力度，有计划、分步骤地提高装配式建筑在新建建筑中的应用比例，抢占装配式建筑新蓝海。</w:t>
      </w: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1"/>
        <w:rPr>
          <w:rFonts w:hint="eastAsia" w:ascii="楷体" w:hAnsi="楷体" w:eastAsia="楷体" w:cs="楷体"/>
          <w:bCs/>
          <w:color w:val="auto"/>
          <w:kern w:val="0"/>
          <w:sz w:val="32"/>
          <w:szCs w:val="32"/>
          <w:highlight w:val="none"/>
          <w:lang w:val="en-US" w:eastAsia="zh-CN"/>
        </w:rPr>
      </w:pPr>
      <w:r>
        <w:rPr>
          <w:rFonts w:hint="eastAsia" w:ascii="楷体" w:hAnsi="楷体" w:eastAsia="楷体" w:cs="楷体"/>
          <w:bCs/>
          <w:color w:val="auto"/>
          <w:kern w:val="0"/>
          <w:sz w:val="32"/>
          <w:szCs w:val="32"/>
          <w:highlight w:val="none"/>
          <w:lang w:val="en-US" w:eastAsia="zh-CN"/>
        </w:rPr>
        <w:t> 优化政策扶持，释放激励新效应</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rPr>
          <w:rFonts w:hint="default" w:ascii="Times New Roman" w:hAnsi="Times New Roman" w:eastAsia="仿宋_GB2312" w:cs="Times New Roman"/>
          <w:color w:val="auto"/>
          <w:kern w:val="0"/>
          <w:sz w:val="32"/>
          <w:szCs w:val="32"/>
          <w:highlight w:val="none"/>
          <w:lang w:val="en-US" w:eastAsia="zh-CN" w:bidi="ar-SA"/>
        </w:rPr>
      </w:pPr>
      <w:r>
        <w:rPr>
          <w:rFonts w:hint="default" w:ascii="Times New Roman" w:hAnsi="Times New Roman" w:eastAsia="仿宋_GB2312" w:cs="Times New Roman"/>
          <w:color w:val="auto"/>
          <w:kern w:val="0"/>
          <w:sz w:val="32"/>
          <w:szCs w:val="32"/>
          <w:highlight w:val="none"/>
          <w:lang w:val="en-US" w:eastAsia="zh-CN" w:bidi="ar-SA"/>
        </w:rPr>
        <w:t>一是加大对建筑业行业的金融支持力度，拓宽融资渠道，降低贷款门槛。合理引导和调控建筑业金融贷款的供需平衡，不断完善融资条件和合理降低贷款门槛，适度减轻中小微建筑业企业的资金负担，加强信贷支持，积极搭建银企对接平台，给中小微建筑业企业营造一个较为宽松的发展环境。二是加大对中小微建筑业企业的政策扶持力度，提高中小微建筑业企业的竞争能力。在日趋激烈的建筑业市场竞争下，建设单位对工程质量和服务水平的要求越来越高，中小建筑业企业由于自身发展条件限制，面临巨大承揽工程压力。建议持续制定和更新有利于本地建筑业企业发展的鼓励政策和措施，不断提高本地中小微建筑业企业的专业技术和服务水平，进一步提高市场竞争能力。</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1"/>
        <w:rPr>
          <w:rFonts w:hint="default" w:ascii="Times New Roman" w:hAnsi="Times New Roman" w:eastAsia="黑体" w:cs="Times New Roman"/>
          <w:bCs/>
          <w:color w:val="auto"/>
          <w:kern w:val="0"/>
          <w:sz w:val="32"/>
          <w:szCs w:val="32"/>
          <w:highlight w:val="none"/>
          <w:lang w:val="en-US" w:eastAsia="zh-CN"/>
        </w:rPr>
      </w:pPr>
      <w:r>
        <w:rPr>
          <w:rFonts w:hint="default" w:ascii="Times New Roman" w:hAnsi="Times New Roman" w:eastAsia="黑体" w:cs="Times New Roman"/>
          <w:bCs/>
          <w:color w:val="auto"/>
          <w:kern w:val="0"/>
          <w:sz w:val="32"/>
          <w:szCs w:val="32"/>
          <w:highlight w:val="none"/>
          <w:lang w:val="en-US" w:eastAsia="zh-CN"/>
        </w:rPr>
        <w:t>总结</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rPr>
          <w:rFonts w:hint="default" w:ascii="Times New Roman" w:hAnsi="Times New Roman" w:eastAsia="仿宋_GB2312" w:cs="Times New Roman"/>
          <w:color w:val="auto"/>
          <w:kern w:val="0"/>
          <w:sz w:val="32"/>
          <w:szCs w:val="32"/>
          <w:highlight w:val="none"/>
          <w:lang w:val="en-US" w:eastAsia="zh-CN" w:bidi="ar-SA"/>
        </w:rPr>
      </w:pPr>
      <w:r>
        <w:rPr>
          <w:rFonts w:hint="default" w:ascii="Times New Roman" w:hAnsi="Times New Roman" w:eastAsia="仿宋_GB2312" w:cs="Times New Roman"/>
          <w:color w:val="auto"/>
          <w:kern w:val="0"/>
          <w:sz w:val="32"/>
          <w:szCs w:val="32"/>
          <w:highlight w:val="none"/>
          <w:lang w:val="en-US" w:eastAsia="zh-CN" w:bidi="ar-SA"/>
        </w:rPr>
        <w:t>2021年12月中央经济工作会议提出，2022年实施新的减税降费政策，适度超前开展基础设施投资。会议强调坚持“房住不炒”定位，推进保障性住房建设，建筑业行业迎来新的发展机遇。同时新基建正在加快布局和建设，投资势头良好，产业政策不断推进，对建筑业拉动作用明显。</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rPr>
          <w:rFonts w:hint="default" w:ascii="Times New Roman" w:hAnsi="Times New Roman" w:eastAsia="仿宋_GB2312" w:cs="Times New Roman"/>
          <w:color w:val="auto"/>
          <w:kern w:val="0"/>
          <w:sz w:val="32"/>
          <w:szCs w:val="32"/>
          <w:highlight w:val="none"/>
          <w:lang w:val="en-US" w:eastAsia="zh-CN" w:bidi="ar-SA"/>
        </w:rPr>
      </w:pPr>
      <w:r>
        <w:rPr>
          <w:rFonts w:hint="default" w:ascii="Times New Roman" w:hAnsi="Times New Roman" w:eastAsia="仿宋_GB2312" w:cs="Times New Roman"/>
          <w:color w:val="auto"/>
          <w:kern w:val="0"/>
          <w:sz w:val="32"/>
          <w:szCs w:val="32"/>
          <w:highlight w:val="none"/>
          <w:lang w:val="en-US" w:eastAsia="zh-CN" w:bidi="ar-SA"/>
        </w:rPr>
        <w:t>与此同时，全国疫情呈点状散发状态，带来不确定性，疫情防控压力仍较大，建筑业作为人力密集型企业受疫情影响大。并且建筑业企业新签合同额呈负增长态势，预示后续建筑业产值增速将有所放缓。为切实减轻疫情对全市建筑业的影响，泉州市4月15日印发《关于促进建筑业复工复产工作的通知》，助推企业在保证疫情防控的前提下恢复生产。</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rPr>
          <w:rFonts w:hint="default" w:ascii="Times New Roman" w:hAnsi="Times New Roman" w:eastAsia="仿宋_GB2312" w:cs="Times New Roman"/>
          <w:color w:val="auto"/>
          <w:kern w:val="0"/>
          <w:sz w:val="32"/>
          <w:szCs w:val="32"/>
          <w:highlight w:val="none"/>
          <w:lang w:val="en-US" w:eastAsia="zh-CN" w:bidi="ar-SA"/>
        </w:rPr>
      </w:pPr>
      <w:r>
        <w:rPr>
          <w:rFonts w:hint="default" w:ascii="Times New Roman" w:hAnsi="Times New Roman" w:eastAsia="仿宋_GB2312" w:cs="Times New Roman"/>
          <w:color w:val="auto"/>
          <w:kern w:val="0"/>
          <w:sz w:val="32"/>
          <w:szCs w:val="32"/>
          <w:highlight w:val="none"/>
          <w:lang w:val="en-US" w:eastAsia="zh-CN" w:bidi="ar-SA"/>
        </w:rPr>
        <w:t>综上所述，预计2022年全年建筑业生产呈现前高后低，逐渐回稳态势。</w:t>
      </w:r>
    </w:p>
    <w:p>
      <w:pPr>
        <w:pStyle w:val="2"/>
        <w:rPr>
          <w:rFonts w:hint="default"/>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640" w:firstLineChars="200"/>
        <w:jc w:val="right"/>
        <w:textAlignment w:val="auto"/>
        <w:outlineLvl w:val="9"/>
        <w:rPr>
          <w:rFonts w:hint="eastAsia"/>
          <w:lang w:val="en-US" w:eastAsia="zh-CN"/>
        </w:rPr>
      </w:pPr>
      <w:r>
        <w:rPr>
          <w:rFonts w:hint="eastAsia" w:ascii="仿宋_GB2312" w:eastAsia="仿宋_GB2312" w:hAnsiTheme="minorEastAsia" w:cstheme="minorEastAsia"/>
          <w:color w:val="auto"/>
          <w:kern w:val="0"/>
          <w:sz w:val="32"/>
          <w:szCs w:val="32"/>
          <w:highlight w:val="none"/>
          <w:lang w:val="en-US" w:eastAsia="zh-CN"/>
        </w:rPr>
        <w:t xml:space="preserve"> （南安市统计局　赖艺婷）</w:t>
      </w:r>
    </w:p>
    <w:p>
      <w:pPr>
        <w:pStyle w:val="2"/>
        <w:ind w:left="0" w:leftChars="0" w:firstLine="0" w:firstLineChars="0"/>
        <w:rPr>
          <w:rFonts w:hint="default"/>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楷体" w:hAnsi="楷体" w:eastAsia="楷体" w:cs="楷体"/>
          <w:b w:val="0"/>
          <w:bCs w:val="0"/>
          <w:sz w:val="28"/>
          <w:szCs w:val="28"/>
          <w:highlight w:val="none"/>
          <w:lang w:val="en-US" w:eastAsia="zh-CN"/>
        </w:rPr>
      </w:pPr>
      <w:r>
        <w:rPr>
          <w:rFonts w:hint="eastAsia" w:ascii="楷体" w:hAnsi="楷体" w:eastAsia="楷体" w:cs="楷体"/>
          <w:b w:val="0"/>
          <w:bCs w:val="0"/>
          <w:sz w:val="28"/>
          <w:szCs w:val="28"/>
          <w:highlight w:val="none"/>
          <w:lang w:val="en-US" w:eastAsia="zh-CN"/>
        </w:rPr>
        <w:t>指标解释：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楷体" w:hAnsi="楷体" w:eastAsia="楷体" w:cs="楷体"/>
          <w:b w:val="0"/>
          <w:bCs w:val="0"/>
          <w:color w:val="auto"/>
          <w:sz w:val="28"/>
          <w:szCs w:val="28"/>
          <w:highlight w:val="none"/>
        </w:rPr>
      </w:pPr>
      <w:r>
        <w:rPr>
          <w:rFonts w:hint="eastAsia" w:ascii="楷体" w:hAnsi="楷体" w:eastAsia="楷体" w:cs="楷体"/>
          <w:b w:val="0"/>
          <w:bCs w:val="0"/>
          <w:color w:val="auto"/>
          <w:sz w:val="28"/>
          <w:szCs w:val="28"/>
          <w:highlight w:val="none"/>
          <w:lang w:val="en-US" w:eastAsia="zh-CN"/>
        </w:rPr>
        <w:t>[1]</w:t>
      </w:r>
      <w:r>
        <w:rPr>
          <w:rFonts w:hint="eastAsia" w:ascii="楷体" w:hAnsi="楷体" w:eastAsia="楷体" w:cs="楷体"/>
          <w:b w:val="0"/>
          <w:bCs w:val="0"/>
          <w:color w:val="auto"/>
          <w:sz w:val="28"/>
          <w:szCs w:val="28"/>
          <w:highlight w:val="none"/>
        </w:rPr>
        <w:t>建筑业总产值</w:t>
      </w:r>
      <w:r>
        <w:rPr>
          <w:rFonts w:hint="eastAsia" w:ascii="楷体" w:hAnsi="楷体" w:eastAsia="楷体" w:cs="楷体"/>
          <w:b w:val="0"/>
          <w:bCs w:val="0"/>
          <w:color w:val="auto"/>
          <w:sz w:val="28"/>
          <w:szCs w:val="28"/>
          <w:highlight w:val="none"/>
          <w:lang w:eastAsia="zh-CN"/>
        </w:rPr>
        <w:t>：</w:t>
      </w:r>
      <w:r>
        <w:rPr>
          <w:rFonts w:hint="eastAsia" w:ascii="楷体" w:hAnsi="楷体" w:eastAsia="楷体" w:cs="楷体"/>
          <w:b w:val="0"/>
          <w:bCs w:val="0"/>
          <w:color w:val="auto"/>
          <w:sz w:val="28"/>
          <w:szCs w:val="28"/>
          <w:highlight w:val="none"/>
        </w:rPr>
        <w:t>指以货币表现的建筑业企业在一定时期内生产的建筑业产品和服务的总和。建筑业总产值包括建筑工程产值、安装工程产值和其他产值三部分内容。 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楷体" w:hAnsi="楷体" w:eastAsia="楷体" w:cs="楷体"/>
          <w:b w:val="0"/>
          <w:bCs w:val="0"/>
          <w:color w:val="auto"/>
          <w:sz w:val="28"/>
          <w:szCs w:val="28"/>
          <w:highlight w:val="none"/>
        </w:rPr>
      </w:pPr>
      <w:r>
        <w:rPr>
          <w:rFonts w:hint="eastAsia" w:ascii="楷体" w:hAnsi="楷体" w:eastAsia="楷体" w:cs="楷体"/>
          <w:b w:val="0"/>
          <w:bCs w:val="0"/>
          <w:color w:val="auto"/>
          <w:sz w:val="28"/>
          <w:szCs w:val="28"/>
          <w:highlight w:val="none"/>
          <w:lang w:val="en-US" w:eastAsia="zh-CN"/>
        </w:rPr>
        <w:t>[2]</w:t>
      </w:r>
      <w:r>
        <w:rPr>
          <w:rFonts w:hint="eastAsia" w:ascii="楷体" w:hAnsi="楷体" w:eastAsia="楷体" w:cs="楷体"/>
          <w:b w:val="0"/>
          <w:bCs w:val="0"/>
          <w:color w:val="auto"/>
          <w:sz w:val="28"/>
          <w:szCs w:val="28"/>
          <w:highlight w:val="none"/>
        </w:rPr>
        <w:t>从事建筑业活动的平均人数</w:t>
      </w:r>
      <w:r>
        <w:rPr>
          <w:rFonts w:hint="eastAsia" w:ascii="楷体" w:hAnsi="楷体" w:eastAsia="楷体" w:cs="楷体"/>
          <w:b w:val="0"/>
          <w:bCs w:val="0"/>
          <w:color w:val="auto"/>
          <w:sz w:val="28"/>
          <w:szCs w:val="28"/>
          <w:highlight w:val="none"/>
          <w:lang w:eastAsia="zh-CN"/>
        </w:rPr>
        <w:t>：</w:t>
      </w:r>
      <w:r>
        <w:rPr>
          <w:rFonts w:hint="eastAsia" w:ascii="楷体" w:hAnsi="楷体" w:eastAsia="楷体" w:cs="楷体"/>
          <w:b w:val="0"/>
          <w:bCs w:val="0"/>
          <w:color w:val="auto"/>
          <w:sz w:val="28"/>
          <w:szCs w:val="28"/>
          <w:highlight w:val="none"/>
        </w:rPr>
        <w:t>指建筑业企业（或单位）报告期实际拥有的、与建筑施工活动有关的人员的平均人数。 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楷体" w:hAnsi="楷体" w:eastAsia="楷体" w:cs="楷体"/>
          <w:b w:val="0"/>
          <w:bCs w:val="0"/>
          <w:color w:val="auto"/>
          <w:sz w:val="28"/>
          <w:szCs w:val="28"/>
          <w:highlight w:val="none"/>
        </w:rPr>
      </w:pPr>
      <w:r>
        <w:rPr>
          <w:rFonts w:hint="eastAsia" w:ascii="楷体" w:hAnsi="楷体" w:eastAsia="楷体" w:cs="楷体"/>
          <w:b w:val="0"/>
          <w:bCs w:val="0"/>
          <w:color w:val="auto"/>
          <w:sz w:val="28"/>
          <w:szCs w:val="28"/>
          <w:highlight w:val="none"/>
          <w:lang w:val="en-US" w:eastAsia="zh-CN"/>
        </w:rPr>
        <w:t>[3]</w:t>
      </w:r>
      <w:r>
        <w:rPr>
          <w:rFonts w:hint="eastAsia" w:ascii="楷体" w:hAnsi="楷体" w:eastAsia="楷体" w:cs="楷体"/>
          <w:b w:val="0"/>
          <w:bCs w:val="0"/>
          <w:color w:val="auto"/>
          <w:sz w:val="28"/>
          <w:szCs w:val="28"/>
          <w:highlight w:val="none"/>
        </w:rPr>
        <w:t>建筑业企业期末人数</w:t>
      </w:r>
      <w:r>
        <w:rPr>
          <w:rFonts w:hint="eastAsia" w:ascii="楷体" w:hAnsi="楷体" w:eastAsia="楷体" w:cs="楷体"/>
          <w:b w:val="0"/>
          <w:bCs w:val="0"/>
          <w:color w:val="auto"/>
          <w:sz w:val="28"/>
          <w:szCs w:val="28"/>
          <w:highlight w:val="none"/>
          <w:lang w:eastAsia="zh-CN"/>
        </w:rPr>
        <w:t>：</w:t>
      </w:r>
      <w:r>
        <w:rPr>
          <w:rFonts w:hint="eastAsia" w:ascii="楷体" w:hAnsi="楷体" w:eastAsia="楷体" w:cs="楷体"/>
          <w:b w:val="0"/>
          <w:bCs w:val="0"/>
          <w:color w:val="auto"/>
          <w:sz w:val="28"/>
          <w:szCs w:val="28"/>
          <w:highlight w:val="none"/>
        </w:rPr>
        <w:t>指报告期末最后一日24时在本单位工作并取得劳动报酬或收入的期末实有人员数。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楷体" w:hAnsi="楷体" w:eastAsia="楷体" w:cs="楷体"/>
          <w:b w:val="0"/>
          <w:bCs w:val="0"/>
          <w:color w:val="auto"/>
          <w:sz w:val="28"/>
          <w:szCs w:val="28"/>
          <w:highlight w:val="none"/>
        </w:rPr>
      </w:pPr>
      <w:r>
        <w:rPr>
          <w:rFonts w:hint="eastAsia" w:ascii="楷体" w:hAnsi="楷体" w:eastAsia="楷体" w:cs="楷体"/>
          <w:b w:val="0"/>
          <w:bCs w:val="0"/>
          <w:color w:val="auto"/>
          <w:sz w:val="28"/>
          <w:szCs w:val="28"/>
          <w:highlight w:val="none"/>
          <w:lang w:val="en-US" w:eastAsia="zh-CN"/>
        </w:rPr>
        <w:t>[4]</w:t>
      </w:r>
      <w:r>
        <w:rPr>
          <w:rFonts w:hint="eastAsia" w:ascii="楷体" w:hAnsi="楷体" w:eastAsia="楷体" w:cs="楷体"/>
          <w:b w:val="0"/>
          <w:bCs w:val="0"/>
          <w:color w:val="auto"/>
          <w:sz w:val="28"/>
          <w:szCs w:val="28"/>
          <w:highlight w:val="none"/>
        </w:rPr>
        <w:t>签订合同额</w:t>
      </w:r>
      <w:r>
        <w:rPr>
          <w:rFonts w:hint="eastAsia" w:ascii="楷体" w:hAnsi="楷体" w:eastAsia="楷体" w:cs="楷体"/>
          <w:b w:val="0"/>
          <w:bCs w:val="0"/>
          <w:color w:val="auto"/>
          <w:sz w:val="28"/>
          <w:szCs w:val="28"/>
          <w:highlight w:val="none"/>
          <w:lang w:eastAsia="zh-CN"/>
        </w:rPr>
        <w:t>：</w:t>
      </w:r>
      <w:r>
        <w:rPr>
          <w:rFonts w:hint="eastAsia" w:ascii="楷体" w:hAnsi="楷体" w:eastAsia="楷体" w:cs="楷体"/>
          <w:b w:val="0"/>
          <w:bCs w:val="0"/>
          <w:color w:val="auto"/>
          <w:sz w:val="28"/>
          <w:szCs w:val="28"/>
          <w:highlight w:val="none"/>
        </w:rPr>
        <w:t>指建筑业企业在报告期直接同建设单位签订的各种国内工程合同的总价款和以前年度同建设单位签订的各种国内工程合同的未完工程跨入本年度继续施工工程合同的总价款余额。</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楷体" w:hAnsi="楷体" w:eastAsia="楷体" w:cs="楷体"/>
          <w:b w:val="0"/>
          <w:bCs w:val="0"/>
          <w:color w:val="auto"/>
          <w:sz w:val="28"/>
          <w:szCs w:val="28"/>
          <w:highlight w:val="none"/>
        </w:rPr>
      </w:pPr>
      <w:r>
        <w:rPr>
          <w:rFonts w:hint="eastAsia" w:ascii="楷体" w:hAnsi="楷体" w:eastAsia="楷体" w:cs="楷体"/>
          <w:b w:val="0"/>
          <w:bCs w:val="0"/>
          <w:color w:val="auto"/>
          <w:sz w:val="28"/>
          <w:szCs w:val="28"/>
          <w:highlight w:val="none"/>
          <w:lang w:val="en-US" w:eastAsia="zh-CN"/>
        </w:rPr>
        <w:t>[5]</w:t>
      </w:r>
      <w:r>
        <w:rPr>
          <w:rFonts w:hint="eastAsia" w:ascii="楷体" w:hAnsi="楷体" w:eastAsia="楷体" w:cs="楷体"/>
          <w:b w:val="0"/>
          <w:bCs w:val="0"/>
          <w:color w:val="auto"/>
          <w:sz w:val="28"/>
          <w:szCs w:val="28"/>
          <w:highlight w:val="none"/>
        </w:rPr>
        <w:t>房屋施工面积</w:t>
      </w:r>
      <w:r>
        <w:rPr>
          <w:rFonts w:hint="eastAsia" w:ascii="楷体" w:hAnsi="楷体" w:eastAsia="楷体" w:cs="楷体"/>
          <w:b w:val="0"/>
          <w:bCs w:val="0"/>
          <w:color w:val="auto"/>
          <w:sz w:val="28"/>
          <w:szCs w:val="28"/>
          <w:highlight w:val="none"/>
          <w:lang w:eastAsia="zh-CN"/>
        </w:rPr>
        <w:t>：</w:t>
      </w:r>
      <w:r>
        <w:rPr>
          <w:rFonts w:hint="eastAsia" w:ascii="楷体" w:hAnsi="楷体" w:eastAsia="楷体" w:cs="楷体"/>
          <w:b w:val="0"/>
          <w:bCs w:val="0"/>
          <w:color w:val="auto"/>
          <w:sz w:val="28"/>
          <w:szCs w:val="28"/>
          <w:highlight w:val="none"/>
        </w:rPr>
        <w:t>指报告期内施工的全部房屋建筑面积。包括本期新开工的房屋建筑面积、上期跨入本期继续施工的房屋建筑面积、上期停缓建在本期恢复施工的房屋建筑面积、本期竣工的房屋建筑面积以及本期施工后又停缓建的房屋建筑面积。多层建筑应填各层建筑面积之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楷体" w:hAnsi="楷体" w:eastAsia="楷体" w:cs="楷体"/>
          <w:b w:val="0"/>
          <w:bCs w:val="0"/>
          <w:color w:val="auto"/>
          <w:sz w:val="28"/>
          <w:szCs w:val="28"/>
          <w:highlight w:val="none"/>
          <w:lang w:eastAsia="zh-CN"/>
        </w:rPr>
      </w:pPr>
      <w:r>
        <w:rPr>
          <w:rFonts w:hint="eastAsia" w:ascii="楷体" w:hAnsi="楷体" w:eastAsia="楷体" w:cs="楷体"/>
          <w:b w:val="0"/>
          <w:bCs w:val="0"/>
          <w:color w:val="auto"/>
          <w:sz w:val="28"/>
          <w:szCs w:val="28"/>
          <w:highlight w:val="none"/>
          <w:lang w:val="en-US" w:eastAsia="zh-CN"/>
        </w:rPr>
        <w:t>[6]</w:t>
      </w:r>
      <w:r>
        <w:rPr>
          <w:rFonts w:hint="eastAsia" w:ascii="楷体" w:hAnsi="楷体" w:eastAsia="楷体" w:cs="楷体"/>
          <w:b w:val="0"/>
          <w:bCs w:val="0"/>
          <w:color w:val="auto"/>
          <w:sz w:val="28"/>
          <w:szCs w:val="28"/>
          <w:highlight w:val="none"/>
        </w:rPr>
        <w:t>房屋</w:t>
      </w:r>
      <w:r>
        <w:rPr>
          <w:rFonts w:hint="eastAsia" w:ascii="楷体" w:hAnsi="楷体" w:eastAsia="楷体" w:cs="楷体"/>
          <w:b w:val="0"/>
          <w:bCs w:val="0"/>
          <w:color w:val="auto"/>
          <w:sz w:val="28"/>
          <w:szCs w:val="28"/>
          <w:highlight w:val="none"/>
          <w:lang w:eastAsia="zh-CN"/>
        </w:rPr>
        <w:t>竣工</w:t>
      </w:r>
      <w:r>
        <w:rPr>
          <w:rFonts w:hint="eastAsia" w:ascii="楷体" w:hAnsi="楷体" w:eastAsia="楷体" w:cs="楷体"/>
          <w:b w:val="0"/>
          <w:bCs w:val="0"/>
          <w:color w:val="auto"/>
          <w:sz w:val="28"/>
          <w:szCs w:val="28"/>
          <w:highlight w:val="none"/>
        </w:rPr>
        <w:t>面积</w:t>
      </w:r>
      <w:r>
        <w:rPr>
          <w:rFonts w:hint="eastAsia" w:ascii="楷体" w:hAnsi="楷体" w:eastAsia="楷体" w:cs="楷体"/>
          <w:b w:val="0"/>
          <w:bCs w:val="0"/>
          <w:color w:val="auto"/>
          <w:sz w:val="28"/>
          <w:szCs w:val="28"/>
          <w:highlight w:val="none"/>
          <w:lang w:eastAsia="zh-CN"/>
        </w:rPr>
        <w:t>：</w:t>
      </w:r>
      <w:r>
        <w:rPr>
          <w:rFonts w:hint="eastAsia" w:ascii="楷体" w:hAnsi="楷体" w:eastAsia="楷体" w:cs="楷体"/>
          <w:b w:val="0"/>
          <w:bCs w:val="0"/>
          <w:color w:val="auto"/>
          <w:sz w:val="28"/>
          <w:szCs w:val="28"/>
          <w:highlight w:val="none"/>
        </w:rPr>
        <w:t>指报告期内房屋建筑按照设计要求已全部完工，达到住人和使用条件，经验收鉴定合格或达到竣工验收标准，可正式移交使用的各栋房屋建筑面积的总和。竣工面积以房屋单位工程（栋）为核算对象</w:t>
      </w:r>
      <w:r>
        <w:rPr>
          <w:rFonts w:hint="eastAsia" w:ascii="楷体" w:hAnsi="楷体" w:eastAsia="楷体" w:cs="楷体"/>
          <w:b w:val="0"/>
          <w:bCs w:val="0"/>
          <w:color w:val="auto"/>
          <w:sz w:val="28"/>
          <w:szCs w:val="28"/>
          <w:highlight w:val="none"/>
          <w:lang w:eastAsia="zh-CN"/>
        </w:rPr>
        <w:t>。</w:t>
      </w:r>
    </w:p>
    <w:p>
      <w:pPr>
        <w:pStyle w:val="2"/>
        <w:rPr>
          <w:rFonts w:hint="eastAsia" w:ascii="楷体" w:hAnsi="楷体" w:eastAsia="楷体" w:cs="楷体"/>
          <w:b w:val="0"/>
          <w:bCs w:val="0"/>
          <w:color w:val="auto"/>
          <w:sz w:val="28"/>
          <w:szCs w:val="28"/>
          <w:highlight w:val="none"/>
          <w:lang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eastAsia="仿宋_GB2312"/>
          <w:lang w:eastAsia="zh-CN"/>
        </w:rPr>
      </w:pPr>
      <w:r>
        <w:rPr>
          <w:rFonts w:hint="eastAsia" w:eastAsia="仿宋_GB2312"/>
          <w:lang w:eastAsia="zh-CN"/>
        </w:rPr>
        <w:drawing>
          <wp:inline distT="0" distB="0" distL="114300" distR="114300">
            <wp:extent cx="868045" cy="784225"/>
            <wp:effectExtent l="0" t="0" r="635" b="8255"/>
            <wp:docPr id="7" name="图片 3" descr="qrcode_for_gh_1eebab0522fd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descr="qrcode_for_gh_1eebab0522fd_258"/>
                    <pic:cNvPicPr>
                      <a:picLocks noChangeAspect="1"/>
                    </pic:cNvPicPr>
                  </pic:nvPicPr>
                  <pic:blipFill>
                    <a:blip r:embed="rId8"/>
                    <a:stretch>
                      <a:fillRect/>
                    </a:stretch>
                  </pic:blipFill>
                  <pic:spPr>
                    <a:xfrm>
                      <a:off x="0" y="0"/>
                      <a:ext cx="868045" cy="784225"/>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lang w:val="en-US" w:eastAsia="zh-CN"/>
        </w:rPr>
      </w:pPr>
      <w:r>
        <w:rPr>
          <w:rFonts w:hint="eastAsia" w:ascii="仿宋_GB2312" w:hAnsi="仿宋_GB2312" w:eastAsia="仿宋_GB2312" w:cs="仿宋_GB2312"/>
          <w:sz w:val="24"/>
          <w:szCs w:val="24"/>
          <w:lang w:val="en-US" w:eastAsia="zh-CN"/>
        </w:rPr>
        <w:t>扫码关注南安市统计局</w:t>
      </w:r>
    </w:p>
    <w:p>
      <w:pPr>
        <w:rPr>
          <w:rFonts w:hint="eastAsia"/>
          <w:lang w:val="en-US" w:eastAsia="zh-CN"/>
        </w:rPr>
      </w:pPr>
    </w:p>
    <w:sectPr>
      <w:footerReference r:id="rId3" w:type="default"/>
      <w:pgSz w:w="11906" w:h="16838"/>
      <w:pgMar w:top="2098" w:right="1474" w:bottom="1984" w:left="1587"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方正古隶简体">
    <w:panose1 w:val="03000509000000000000"/>
    <w:charset w:val="86"/>
    <w:family w:val="auto"/>
    <w:pitch w:val="default"/>
    <w:sig w:usb0="00000001" w:usb1="080E0000" w:usb2="00000000" w:usb3="00000000" w:csb0="00040000" w:csb1="00000000"/>
  </w:font>
  <w:font w:name="方正卡通繁体">
    <w:panose1 w:val="03000509000000000000"/>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ufGT8ICAADWBQAADgAAAAAA&#10;AAABACAAAAAfAQAAZHJzL2Uyb0RvYy54bWxQSwUGAAAAAAYABgBZAQAAUwY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808C100"/>
    <w:multiLevelType w:val="singleLevel"/>
    <w:tmpl w:val="C808C100"/>
    <w:lvl w:ilvl="0" w:tentative="0">
      <w:start w:val="1"/>
      <w:numFmt w:val="chineseCounting"/>
      <w:suff w:val="nothing"/>
      <w:lvlText w:val="（%1）"/>
      <w:lvlJc w:val="left"/>
      <w:rPr>
        <w:rFonts w:hint="eastAsia"/>
      </w:rPr>
    </w:lvl>
  </w:abstractNum>
  <w:abstractNum w:abstractNumId="1">
    <w:nsid w:val="F3F0F60C"/>
    <w:multiLevelType w:val="singleLevel"/>
    <w:tmpl w:val="F3F0F60C"/>
    <w:lvl w:ilvl="0" w:tentative="0">
      <w:start w:val="1"/>
      <w:numFmt w:val="chineseCounting"/>
      <w:suff w:val="nothing"/>
      <w:lvlText w:val="%1、"/>
      <w:lvlJc w:val="left"/>
      <w:rPr>
        <w:rFonts w:hint="eastAsia"/>
      </w:rPr>
    </w:lvl>
  </w:abstractNum>
  <w:abstractNum w:abstractNumId="2">
    <w:nsid w:val="25B69478"/>
    <w:multiLevelType w:val="singleLevel"/>
    <w:tmpl w:val="25B69478"/>
    <w:lvl w:ilvl="0" w:tentative="0">
      <w:start w:val="1"/>
      <w:numFmt w:val="chineseCounting"/>
      <w:suff w:val="nothing"/>
      <w:lvlText w:val="（%1）"/>
      <w:lvlJc w:val="left"/>
      <w:pPr>
        <w:ind w:left="0" w:firstLine="420"/>
      </w:pPr>
      <w:rPr>
        <w:rFonts w:hint="eastAsia"/>
      </w:rPr>
    </w:lvl>
  </w:abstractNum>
  <w:abstractNum w:abstractNumId="3">
    <w:nsid w:val="4B8BA710"/>
    <w:multiLevelType w:val="singleLevel"/>
    <w:tmpl w:val="4B8BA710"/>
    <w:lvl w:ilvl="0" w:tentative="0">
      <w:start w:val="1"/>
      <w:numFmt w:val="chineseCounting"/>
      <w:suff w:val="nothing"/>
      <w:lvlText w:val="（%1）"/>
      <w:lvlJc w:val="left"/>
      <w:pPr>
        <w:ind w:left="0" w:firstLine="420"/>
      </w:pPr>
      <w:rPr>
        <w:rFonts w:hint="eastAsia"/>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DE06FF"/>
    <w:rsid w:val="005602CD"/>
    <w:rsid w:val="00D63400"/>
    <w:rsid w:val="00EB0AB4"/>
    <w:rsid w:val="019B09AB"/>
    <w:rsid w:val="01A971BF"/>
    <w:rsid w:val="01B37712"/>
    <w:rsid w:val="021C5BEB"/>
    <w:rsid w:val="026155C3"/>
    <w:rsid w:val="02704293"/>
    <w:rsid w:val="02896632"/>
    <w:rsid w:val="03A92A86"/>
    <w:rsid w:val="04DF61FD"/>
    <w:rsid w:val="05AF2310"/>
    <w:rsid w:val="0614482F"/>
    <w:rsid w:val="062B01DC"/>
    <w:rsid w:val="07672DA9"/>
    <w:rsid w:val="08100796"/>
    <w:rsid w:val="08452BF3"/>
    <w:rsid w:val="08A00E3D"/>
    <w:rsid w:val="09B949F1"/>
    <w:rsid w:val="09D761D8"/>
    <w:rsid w:val="0BC82066"/>
    <w:rsid w:val="0BD22552"/>
    <w:rsid w:val="0BD24B19"/>
    <w:rsid w:val="0CAC3E50"/>
    <w:rsid w:val="0CE07709"/>
    <w:rsid w:val="0D461F05"/>
    <w:rsid w:val="0D893B59"/>
    <w:rsid w:val="0DFD015C"/>
    <w:rsid w:val="0E491310"/>
    <w:rsid w:val="0E7A2CD0"/>
    <w:rsid w:val="0EEE6BFF"/>
    <w:rsid w:val="0F9A6099"/>
    <w:rsid w:val="0FF60EE5"/>
    <w:rsid w:val="0FFD314D"/>
    <w:rsid w:val="117446FF"/>
    <w:rsid w:val="11C065CA"/>
    <w:rsid w:val="14AA4579"/>
    <w:rsid w:val="14C80A53"/>
    <w:rsid w:val="157109B3"/>
    <w:rsid w:val="158676CB"/>
    <w:rsid w:val="15E43B71"/>
    <w:rsid w:val="15F3690F"/>
    <w:rsid w:val="17EB69FE"/>
    <w:rsid w:val="1A266173"/>
    <w:rsid w:val="1B131C19"/>
    <w:rsid w:val="1F737F13"/>
    <w:rsid w:val="1FE25145"/>
    <w:rsid w:val="1FE676E7"/>
    <w:rsid w:val="1FED0E68"/>
    <w:rsid w:val="200839E8"/>
    <w:rsid w:val="21F02941"/>
    <w:rsid w:val="2348701C"/>
    <w:rsid w:val="24FB2EC9"/>
    <w:rsid w:val="25F54C58"/>
    <w:rsid w:val="27561A88"/>
    <w:rsid w:val="27FF30EC"/>
    <w:rsid w:val="282D6248"/>
    <w:rsid w:val="28584643"/>
    <w:rsid w:val="288B3D64"/>
    <w:rsid w:val="289B7B9F"/>
    <w:rsid w:val="29CF66E4"/>
    <w:rsid w:val="29D87989"/>
    <w:rsid w:val="2B163A97"/>
    <w:rsid w:val="2B1B0ECA"/>
    <w:rsid w:val="2C4E09E4"/>
    <w:rsid w:val="2CD26A60"/>
    <w:rsid w:val="2DDE06FF"/>
    <w:rsid w:val="2EC8726C"/>
    <w:rsid w:val="302C6A9B"/>
    <w:rsid w:val="30615AA2"/>
    <w:rsid w:val="30C229EF"/>
    <w:rsid w:val="311B7E29"/>
    <w:rsid w:val="31CD02A2"/>
    <w:rsid w:val="325F3A28"/>
    <w:rsid w:val="32F4042A"/>
    <w:rsid w:val="32FD190D"/>
    <w:rsid w:val="34073E23"/>
    <w:rsid w:val="345C62DB"/>
    <w:rsid w:val="347F3CFF"/>
    <w:rsid w:val="34D72066"/>
    <w:rsid w:val="34E71D02"/>
    <w:rsid w:val="34EE371E"/>
    <w:rsid w:val="355C49BE"/>
    <w:rsid w:val="35762F7A"/>
    <w:rsid w:val="36083E08"/>
    <w:rsid w:val="36222A2E"/>
    <w:rsid w:val="3640540C"/>
    <w:rsid w:val="37127187"/>
    <w:rsid w:val="37FE6A47"/>
    <w:rsid w:val="38B742BC"/>
    <w:rsid w:val="38B83F07"/>
    <w:rsid w:val="399F5ACE"/>
    <w:rsid w:val="39D27008"/>
    <w:rsid w:val="39F16CEB"/>
    <w:rsid w:val="3A624ED7"/>
    <w:rsid w:val="3B0048D6"/>
    <w:rsid w:val="3D337899"/>
    <w:rsid w:val="3D8839F6"/>
    <w:rsid w:val="3DC06B2B"/>
    <w:rsid w:val="3DC7357C"/>
    <w:rsid w:val="3E5F3893"/>
    <w:rsid w:val="405A283B"/>
    <w:rsid w:val="4103299F"/>
    <w:rsid w:val="41C169DB"/>
    <w:rsid w:val="4252797B"/>
    <w:rsid w:val="42A1443F"/>
    <w:rsid w:val="42D52BD6"/>
    <w:rsid w:val="444A5C6B"/>
    <w:rsid w:val="44C3146E"/>
    <w:rsid w:val="45016C93"/>
    <w:rsid w:val="45200CCC"/>
    <w:rsid w:val="452B658E"/>
    <w:rsid w:val="45920B41"/>
    <w:rsid w:val="46745CF4"/>
    <w:rsid w:val="47CE1BD0"/>
    <w:rsid w:val="4AA05D69"/>
    <w:rsid w:val="4AC57F79"/>
    <w:rsid w:val="4B374310"/>
    <w:rsid w:val="4B626C07"/>
    <w:rsid w:val="4B6C7436"/>
    <w:rsid w:val="4CD1451E"/>
    <w:rsid w:val="4D153D63"/>
    <w:rsid w:val="4D7F29D7"/>
    <w:rsid w:val="4D8526B6"/>
    <w:rsid w:val="4DAA69C7"/>
    <w:rsid w:val="4DF71E7B"/>
    <w:rsid w:val="4F467513"/>
    <w:rsid w:val="4F4916E5"/>
    <w:rsid w:val="500712B4"/>
    <w:rsid w:val="50B14D89"/>
    <w:rsid w:val="50E0669A"/>
    <w:rsid w:val="50FE12F4"/>
    <w:rsid w:val="51A436FF"/>
    <w:rsid w:val="542E7BEC"/>
    <w:rsid w:val="54FF114D"/>
    <w:rsid w:val="552D4BF3"/>
    <w:rsid w:val="55887214"/>
    <w:rsid w:val="563D17DA"/>
    <w:rsid w:val="569E478C"/>
    <w:rsid w:val="5759629C"/>
    <w:rsid w:val="57DB57FD"/>
    <w:rsid w:val="58700711"/>
    <w:rsid w:val="59A504D4"/>
    <w:rsid w:val="59BA1D3C"/>
    <w:rsid w:val="5A5A2219"/>
    <w:rsid w:val="5AA33B94"/>
    <w:rsid w:val="5AAC2D76"/>
    <w:rsid w:val="5AD82BEE"/>
    <w:rsid w:val="5B2275D7"/>
    <w:rsid w:val="5B353829"/>
    <w:rsid w:val="5BF476FF"/>
    <w:rsid w:val="5C666B8D"/>
    <w:rsid w:val="5C7E51BF"/>
    <w:rsid w:val="5C8D4FAA"/>
    <w:rsid w:val="5DDC5C60"/>
    <w:rsid w:val="5E9E5EAF"/>
    <w:rsid w:val="5EBC6B98"/>
    <w:rsid w:val="5FA96F65"/>
    <w:rsid w:val="5FD76467"/>
    <w:rsid w:val="604B0380"/>
    <w:rsid w:val="610E1686"/>
    <w:rsid w:val="61CA1C7B"/>
    <w:rsid w:val="62005DE5"/>
    <w:rsid w:val="62A0176A"/>
    <w:rsid w:val="641E14E7"/>
    <w:rsid w:val="64570C18"/>
    <w:rsid w:val="65137CE8"/>
    <w:rsid w:val="665931A6"/>
    <w:rsid w:val="66C43361"/>
    <w:rsid w:val="671B2008"/>
    <w:rsid w:val="68537F01"/>
    <w:rsid w:val="68695119"/>
    <w:rsid w:val="692546FF"/>
    <w:rsid w:val="6A03134C"/>
    <w:rsid w:val="6A24675E"/>
    <w:rsid w:val="6B5965CE"/>
    <w:rsid w:val="6BE9405D"/>
    <w:rsid w:val="6C3E09F6"/>
    <w:rsid w:val="6C6B48C2"/>
    <w:rsid w:val="6DB00BBD"/>
    <w:rsid w:val="6F206CAA"/>
    <w:rsid w:val="701B2F3F"/>
    <w:rsid w:val="70CC2107"/>
    <w:rsid w:val="70FF210C"/>
    <w:rsid w:val="71071493"/>
    <w:rsid w:val="71AD6702"/>
    <w:rsid w:val="722A5E92"/>
    <w:rsid w:val="7309303A"/>
    <w:rsid w:val="73895159"/>
    <w:rsid w:val="73A07C0C"/>
    <w:rsid w:val="7492412F"/>
    <w:rsid w:val="74EA1113"/>
    <w:rsid w:val="759E5BCB"/>
    <w:rsid w:val="75CE75CD"/>
    <w:rsid w:val="77472726"/>
    <w:rsid w:val="778B7FB5"/>
    <w:rsid w:val="77CB101B"/>
    <w:rsid w:val="78135030"/>
    <w:rsid w:val="789440C2"/>
    <w:rsid w:val="79D76F41"/>
    <w:rsid w:val="7B4F42CA"/>
    <w:rsid w:val="7B746295"/>
    <w:rsid w:val="7B7E2DF6"/>
    <w:rsid w:val="7B891E74"/>
    <w:rsid w:val="7C153DCF"/>
    <w:rsid w:val="7E2B2952"/>
    <w:rsid w:val="7EE00120"/>
    <w:rsid w:val="7FE341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44"/>
      <w:sz w:val="18"/>
      <w:szCs w:val="18"/>
      <w:lang w:val="en-US" w:eastAsia="zh-CN" w:bidi="ar"/>
    </w:rPr>
  </w:style>
  <w:style w:type="character" w:default="1" w:styleId="9">
    <w:name w:val="Default Paragraph Font"/>
    <w:semiHidden/>
    <w:qFormat/>
    <w:uiPriority w:val="0"/>
  </w:style>
  <w:style w:type="table" w:default="1" w:styleId="15">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1"/>
    <w:qFormat/>
    <w:uiPriority w:val="0"/>
    <w:pPr>
      <w:widowControl w:val="0"/>
      <w:spacing w:after="120" w:afterLines="0"/>
      <w:ind w:left="200" w:leftChars="200" w:firstLine="200" w:firstLineChars="200"/>
      <w:jc w:val="both"/>
    </w:pPr>
    <w:rPr>
      <w:rFonts w:ascii="Calibri" w:hAnsi="Calibri"/>
      <w:kern w:val="2"/>
      <w:sz w:val="21"/>
      <w:szCs w:val="24"/>
      <w:lang w:val="en-US" w:eastAsia="zh-CN" w:bidi="ar-SA"/>
    </w:rPr>
  </w:style>
  <w:style w:type="paragraph" w:styleId="3">
    <w:name w:val="Body Text Indent"/>
    <w:basedOn w:val="1"/>
    <w:qFormat/>
    <w:uiPriority w:val="0"/>
    <w:pPr>
      <w:spacing w:line="280" w:lineRule="atLeast"/>
      <w:ind w:left="-100" w:leftChars="-100" w:hanging="389" w:hangingChars="216"/>
    </w:pPr>
    <w:rPr>
      <w:rFonts w:ascii="宋体" w:hAnsi="宋体"/>
      <w:sz w:val="18"/>
      <w:szCs w:val="21"/>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footnote text"/>
    <w:basedOn w:val="1"/>
    <w:qFormat/>
    <w:uiPriority w:val="0"/>
    <w:pPr>
      <w:snapToGrid w:val="0"/>
      <w:jc w:val="left"/>
    </w:pPr>
    <w:rPr>
      <w:sz w:val="18"/>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0">
    <w:name w:val="Strong"/>
    <w:basedOn w:val="9"/>
    <w:qFormat/>
    <w:uiPriority w:val="0"/>
    <w:rPr>
      <w:b/>
    </w:rPr>
  </w:style>
  <w:style w:type="character" w:styleId="11">
    <w:name w:val="FollowedHyperlink"/>
    <w:basedOn w:val="9"/>
    <w:qFormat/>
    <w:uiPriority w:val="0"/>
    <w:rPr>
      <w:color w:val="333333"/>
      <w:u w:val="none"/>
    </w:rPr>
  </w:style>
  <w:style w:type="character" w:styleId="12">
    <w:name w:val="Emphasis"/>
    <w:basedOn w:val="9"/>
    <w:qFormat/>
    <w:uiPriority w:val="0"/>
  </w:style>
  <w:style w:type="character" w:styleId="13">
    <w:name w:val="Hyperlink"/>
    <w:basedOn w:val="9"/>
    <w:qFormat/>
    <w:uiPriority w:val="0"/>
    <w:rPr>
      <w:color w:val="333333"/>
      <w:u w:val="none"/>
    </w:rPr>
  </w:style>
  <w:style w:type="character" w:styleId="14">
    <w:name w:val="footnote reference"/>
    <w:basedOn w:val="9"/>
    <w:qFormat/>
    <w:uiPriority w:val="0"/>
    <w:rPr>
      <w:vertAlign w:val="superscript"/>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7">
    <w:name w:val="icon"/>
    <w:basedOn w:val="9"/>
    <w:qFormat/>
    <w:uiPriority w:val="0"/>
  </w:style>
  <w:style w:type="character" w:customStyle="1" w:styleId="18">
    <w:name w:val="icon1"/>
    <w:basedOn w:val="9"/>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chart" Target="charts/chart3.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1" Type="http://schemas.openxmlformats.org/officeDocument/2006/relationships/oleObject" Target="file:///F:\2022&#24180;&#26376;&#25253;\&#65288;&#9733;&#65289;0&#12289;&#20027;&#35201;&#25351;&#26631;\2022&#24180;&#24314;&#31569;&#19994;&#26126;&#32454;.xls"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F:\2022&#24180;&#26376;&#25253;\&#65288;&#9733;&#65289;0&#12289;&#20027;&#35201;&#25351;&#26631;\2022&#24180;&#24314;&#31569;&#19994;&#26126;&#32454;.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9606890459364"/>
          <c:y val="0.128731343283582"/>
          <c:w val="0.867424911660777"/>
          <c:h val="0.823175787728027"/>
        </c:manualLayout>
      </c:layout>
      <c:lineChart>
        <c:grouping val="standard"/>
        <c:varyColors val="0"/>
        <c:ser>
          <c:idx val="0"/>
          <c:order val="0"/>
          <c:tx>
            <c:strRef>
              <c:f>Sheet1!$B$1</c:f>
              <c:strCache>
                <c:ptCount val="1"/>
                <c:pt idx="0">
                  <c:v>泉州</c:v>
                </c:pt>
              </c:strCache>
            </c:strRef>
          </c:tx>
          <c:spPr>
            <a:ln w="15875" cap="rnd">
              <a:solidFill>
                <a:schemeClr val="accent1"/>
              </a:solidFill>
              <a:prstDash val="sysDash"/>
              <a:round/>
            </a:ln>
            <a:effectLst>
              <a:outerShdw blurRad="57150" dist="19050" dir="5400000" algn="ctr" rotWithShape="0">
                <a:srgbClr val="000000">
                  <a:alpha val="63000"/>
                </a:srgbClr>
              </a:outerShdw>
            </a:effectLst>
          </c:spPr>
          <c:marker>
            <c:symbol val="none"/>
          </c:marker>
          <c:dLbls>
            <c:dLbl>
              <c:idx val="1"/>
              <c:layout>
                <c:manualLayout>
                  <c:x val="0.00804767221561679"/>
                  <c:y val="-0.100857918021167"/>
                </c:manualLayout>
              </c:layout>
              <c:dLblPos val="b"/>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304770318021201"/>
                  <c:y val="-0.0771144278606965"/>
                </c:manualLayout>
              </c:layout>
              <c:dLblPos val="b"/>
              <c:showLegendKey val="0"/>
              <c:showVal val="1"/>
              <c:showCatName val="0"/>
              <c:showSerName val="0"/>
              <c:showPercent val="0"/>
              <c:showBubbleSize val="0"/>
              <c:extLst>
                <c:ext xmlns:c15="http://schemas.microsoft.com/office/drawing/2012/chart" uri="{CE6537A1-D6FC-4f65-9D91-7224C49458BB}">
                  <c15:layout>
                    <c:manualLayout>
                      <c:w val="0.0588731037803997"/>
                      <c:h val="0.0503067484662577"/>
                    </c:manualLayout>
                  </c15:layout>
                </c:ext>
              </c:extLst>
            </c:dLbl>
            <c:dLbl>
              <c:idx val="3"/>
              <c:layout>
                <c:manualLayout>
                  <c:x val="0.00265017667844523"/>
                  <c:y val="-0.0945273631840796"/>
                </c:manualLayout>
              </c:layout>
              <c:dLblPos val="b"/>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710627678573707"/>
                  <c:y val="-0.0981076214021915"/>
                </c:manualLayout>
              </c:layout>
              <c:dLblPos val="b"/>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158288537031331"/>
                  <c:y val="-0.0199797823630849"/>
                </c:manualLayout>
              </c:layout>
              <c:dLblPos val="b"/>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0131305394463289"/>
                  <c:y val="-0.0358565737051793"/>
                </c:manualLayout>
              </c:layout>
              <c:dLblPos val="b"/>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mn-lt"/>
                    <a:ea typeface="+mn-ea"/>
                    <a:cs typeface="+mn-cs"/>
                  </a:defRPr>
                </a:pPr>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2020Q2</c:v>
                </c:pt>
                <c:pt idx="1">
                  <c:v>2020Q3</c:v>
                </c:pt>
                <c:pt idx="2">
                  <c:v>2020Q4</c:v>
                </c:pt>
                <c:pt idx="3">
                  <c:v>2021Q1</c:v>
                </c:pt>
                <c:pt idx="4">
                  <c:v>2021Q2</c:v>
                </c:pt>
                <c:pt idx="5">
                  <c:v>2021Q3</c:v>
                </c:pt>
                <c:pt idx="6">
                  <c:v>2021Q4</c:v>
                </c:pt>
                <c:pt idx="7">
                  <c:v>2022Q1</c:v>
                </c:pt>
              </c:strCache>
            </c:strRef>
          </c:cat>
          <c:val>
            <c:numRef>
              <c:f>Sheet1!$B$2:$B$9</c:f>
              <c:numCache>
                <c:formatCode>0.0_ </c:formatCode>
                <c:ptCount val="8"/>
                <c:pt idx="0">
                  <c:v>-1.5</c:v>
                </c:pt>
                <c:pt idx="1">
                  <c:v>3.3</c:v>
                </c:pt>
                <c:pt idx="2">
                  <c:v>0</c:v>
                </c:pt>
                <c:pt idx="3">
                  <c:v>36</c:v>
                </c:pt>
                <c:pt idx="4">
                  <c:v>19.6</c:v>
                </c:pt>
                <c:pt idx="5">
                  <c:v>10.1</c:v>
                </c:pt>
                <c:pt idx="6">
                  <c:v>11</c:v>
                </c:pt>
                <c:pt idx="7">
                  <c:v>4.7</c:v>
                </c:pt>
              </c:numCache>
            </c:numRef>
          </c:val>
          <c:smooth val="1"/>
        </c:ser>
        <c:ser>
          <c:idx val="1"/>
          <c:order val="1"/>
          <c:tx>
            <c:strRef>
              <c:f>Sheet1!$C$1</c:f>
              <c:strCache>
                <c:ptCount val="1"/>
                <c:pt idx="0">
                  <c:v>南安</c:v>
                </c:pt>
              </c:strCache>
            </c:strRef>
          </c:tx>
          <c:spPr>
            <a:ln w="15875" cap="rnd">
              <a:solidFill>
                <a:schemeClr val="accent1"/>
              </a:solidFill>
              <a:round/>
            </a:ln>
            <a:effectLst>
              <a:outerShdw blurRad="57150" dist="19050" dir="5400000" algn="ctr" rotWithShape="0">
                <a:srgbClr val="000000">
                  <a:alpha val="63000"/>
                </a:srgbClr>
              </a:outerShdw>
            </a:effectLst>
          </c:spPr>
          <c:marker>
            <c:symbol val="none"/>
          </c:marker>
          <c:dLbls>
            <c:dLbl>
              <c:idx val="0"/>
              <c:layout>
                <c:manualLayout>
                  <c:x val="0.00132508833922261"/>
                  <c:y val="0.0970149253731343"/>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83225832519118"/>
                  <c:y val="0.0816336643475848"/>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265017667844523"/>
                  <c:y val="0.122781796538778"/>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674285862576244"/>
                  <c:y val="0.13123645575802"/>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132388489976364"/>
                  <c:y val="0.0189788111236645"/>
                </c:manualLayout>
              </c:layout>
              <c:dLblPos val="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2020Q2</c:v>
                </c:pt>
                <c:pt idx="1">
                  <c:v>2020Q3</c:v>
                </c:pt>
                <c:pt idx="2">
                  <c:v>2020Q4</c:v>
                </c:pt>
                <c:pt idx="3">
                  <c:v>2021Q1</c:v>
                </c:pt>
                <c:pt idx="4">
                  <c:v>2021Q2</c:v>
                </c:pt>
                <c:pt idx="5">
                  <c:v>2021Q3</c:v>
                </c:pt>
                <c:pt idx="6">
                  <c:v>2021Q4</c:v>
                </c:pt>
                <c:pt idx="7">
                  <c:v>2022Q1</c:v>
                </c:pt>
              </c:strCache>
            </c:strRef>
          </c:cat>
          <c:val>
            <c:numRef>
              <c:f>Sheet1!$C$2:$C$9</c:f>
              <c:numCache>
                <c:formatCode>0.0_ </c:formatCode>
                <c:ptCount val="8"/>
                <c:pt idx="0">
                  <c:v>13</c:v>
                </c:pt>
                <c:pt idx="1">
                  <c:v>2</c:v>
                </c:pt>
                <c:pt idx="2">
                  <c:v>3.4</c:v>
                </c:pt>
                <c:pt idx="3">
                  <c:v>33.8</c:v>
                </c:pt>
                <c:pt idx="4">
                  <c:v>16.8</c:v>
                </c:pt>
                <c:pt idx="5">
                  <c:v>12.2</c:v>
                </c:pt>
                <c:pt idx="6">
                  <c:v>13.5</c:v>
                </c:pt>
                <c:pt idx="7">
                  <c:v>11.9</c:v>
                </c:pt>
              </c:numCache>
            </c:numRef>
          </c:val>
          <c:smooth val="1"/>
        </c:ser>
        <c:dLbls>
          <c:showLegendKey val="0"/>
          <c:showVal val="1"/>
          <c:showCatName val="0"/>
          <c:showSerName val="0"/>
          <c:showPercent val="0"/>
          <c:showBubbleSize val="0"/>
        </c:dLbls>
        <c:marker val="0"/>
        <c:smooth val="1"/>
        <c:axId val="214788301"/>
        <c:axId val="163401505"/>
      </c:lineChart>
      <c:catAx>
        <c:axId val="214788301"/>
        <c:scaling>
          <c:orientation val="minMax"/>
        </c:scaling>
        <c:delete val="0"/>
        <c:axPos val="b"/>
        <c:majorTickMark val="none"/>
        <c:minorTickMark val="none"/>
        <c:tickLblPos val="nextTo"/>
        <c:spPr>
          <a:noFill/>
          <a:ln w="28575" cap="flat" cmpd="sng" algn="ctr">
            <a:solidFill>
              <a:schemeClr val="tx1">
                <a:alpha val="56000"/>
              </a:schemeClr>
            </a:solidFill>
            <a:miter lim="800000"/>
            <a:tailEnd type="stealth"/>
          </a:ln>
          <a:effectLst/>
        </c:spPr>
        <c:txPr>
          <a:bodyPr rot="-6000000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crossAx val="163401505"/>
        <c:crosses val="autoZero"/>
        <c:auto val="1"/>
        <c:lblAlgn val="ctr"/>
        <c:lblOffset val="100"/>
        <c:noMultiLvlLbl val="0"/>
      </c:catAx>
      <c:valAx>
        <c:axId val="16340150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0" vertOverflow="ellipsis" vert="horz" wrap="square" anchor="ctr" anchorCtr="1"/>
              <a:lstStyle/>
              <a:p>
                <a:pPr defTabSz="914400">
                  <a:defRPr lang="zh-CN" sz="900" b="1" i="0" u="none" strike="noStrike" kern="1200" baseline="0">
                    <a:solidFill>
                      <a:schemeClr val="tx1">
                        <a:lumMod val="65000"/>
                        <a:lumOff val="35000"/>
                      </a:schemeClr>
                    </a:solidFill>
                    <a:latin typeface="+mn-lt"/>
                    <a:ea typeface="+mn-ea"/>
                    <a:cs typeface="+mn-cs"/>
                  </a:defRPr>
                </a:pPr>
                <a:r>
                  <a:rPr b="1"/>
                  <a:t>增速（</a:t>
                </a:r>
                <a:r>
                  <a:rPr lang="en-US" altLang="zh-CN" b="1"/>
                  <a:t>%</a:t>
                </a:r>
                <a:r>
                  <a:rPr b="1"/>
                  <a:t>）</a:t>
                </a:r>
                <a:endParaRPr b="1"/>
              </a:p>
            </c:rich>
          </c:tx>
          <c:layout/>
          <c:overlay val="0"/>
          <c:spPr>
            <a:noFill/>
            <a:ln>
              <a:noFill/>
            </a:ln>
            <a:effectLst/>
          </c:spPr>
        </c:title>
        <c:numFmt formatCode="0.0_ " sourceLinked="1"/>
        <c:majorTickMark val="none"/>
        <c:minorTickMark val="none"/>
        <c:tickLblPos val="nextTo"/>
        <c:spPr>
          <a:noFill/>
          <a:ln w="28575" cmpd="sng">
            <a:solidFill>
              <a:schemeClr val="tx1">
                <a:alpha val="53000"/>
              </a:schemeClr>
            </a:solidFill>
            <a:prstDash val="solid"/>
            <a:miter lim="800000"/>
            <a:headEnd type="stealth"/>
            <a:tailEnd type="stealth"/>
          </a:ln>
          <a:effectLst/>
        </c:spPr>
        <c:txPr>
          <a:bodyPr rot="-6000000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crossAx val="214788301"/>
        <c:crosses val="autoZero"/>
        <c:crossBetween val="between"/>
      </c:valAx>
      <c:spPr>
        <a:noFill/>
        <a:ln>
          <a:noFill/>
        </a:ln>
        <a:effectLst/>
      </c:spPr>
    </c:plotArea>
    <c:legend>
      <c:legendPos val="t"/>
      <c:legendEntry>
        <c:idx val="0"/>
        <c:txPr>
          <a:bodyPr rot="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legendEntry>
      <c:legendEntry>
        <c:idx val="1"/>
        <c:txPr>
          <a:bodyPr rot="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legendEntry>
      <c:layout>
        <c:manualLayout>
          <c:xMode val="edge"/>
          <c:yMode val="edge"/>
          <c:x val="0.754384881422925"/>
          <c:y val="0.0401002506265664"/>
        </c:manualLayout>
      </c:layout>
      <c:overlay val="0"/>
      <c:spPr>
        <a:noFill/>
        <a:ln>
          <a:noFill/>
        </a:ln>
        <a:effectLst/>
      </c:spPr>
      <c:txPr>
        <a:bodyPr rot="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noFill/>
      <a:round/>
    </a:ln>
    <a:effectLst/>
  </c:spPr>
  <c:txPr>
    <a:bodyPr/>
    <a:lstStyle/>
    <a:p>
      <a:pPr>
        <a:defRPr lang="zh-CN" b="1"/>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767890020866577"/>
          <c:y val="0.0442270890920689"/>
          <c:w val="0.896207192831717"/>
          <c:h val="0.761939187752498"/>
        </c:manualLayout>
      </c:layout>
      <c:barChart>
        <c:barDir val="bar"/>
        <c:grouping val="clustered"/>
        <c:varyColors val="0"/>
        <c:ser>
          <c:idx val="0"/>
          <c:order val="0"/>
          <c:spPr>
            <a:solidFill>
              <a:schemeClr val="accent1"/>
            </a:solidFill>
            <a:ln>
              <a:noFill/>
            </a:ln>
            <a:effectLst/>
          </c:spPr>
          <c:invertIfNegative val="0"/>
          <c:dLbls>
            <c:dLbl>
              <c:idx val="0"/>
              <c:delete val="1"/>
            </c:dLbl>
            <c:dLbl>
              <c:idx val="1"/>
              <c:delete val="1"/>
            </c:dLbl>
            <c:dLbl>
              <c:idx val="2"/>
              <c:delete val="1"/>
            </c:dLbl>
            <c:dLbl>
              <c:idx val="3"/>
              <c:delete val="1"/>
            </c:dLbl>
            <c:dLbl>
              <c:idx val="4"/>
              <c:layout/>
              <c:dLblPos val="outEnd"/>
              <c:showLegendKey val="0"/>
              <c:showVal val="1"/>
              <c:showCatName val="0"/>
              <c:showSerName val="0"/>
              <c:showPercent val="0"/>
              <c:showBubbleSize val="0"/>
              <c:extLst>
                <c:ext xmlns:c15="http://schemas.microsoft.com/office/drawing/2012/chart" uri="{CE6537A1-D6FC-4f65-9D91-7224C49458BB}"/>
              </c:extLst>
            </c:dLbl>
            <c:dLbl>
              <c:idx val="5"/>
              <c:layout/>
              <c:dLblPos val="outEnd"/>
              <c:showLegendKey val="0"/>
              <c:showVal val="1"/>
              <c:showCatName val="0"/>
              <c:showSerName val="0"/>
              <c:showPercent val="0"/>
              <c:showBubbleSize val="0"/>
              <c:extLst>
                <c:ext xmlns:c15="http://schemas.microsoft.com/office/drawing/2012/chart" uri="{CE6537A1-D6FC-4f65-9D91-7224C49458BB}"/>
              </c:extLst>
            </c:dLbl>
            <c:dLbl>
              <c:idx val="6"/>
              <c:layout/>
              <c:dLblPos val="outEnd"/>
              <c:showLegendKey val="0"/>
              <c:showVal val="1"/>
              <c:showCatName val="0"/>
              <c:showSerName val="0"/>
              <c:showPercent val="0"/>
              <c:showBubbleSize val="0"/>
              <c:extLst>
                <c:ext xmlns:c15="http://schemas.microsoft.com/office/drawing/2012/chart" uri="{CE6537A1-D6FC-4f65-9D91-7224C49458BB}"/>
              </c:extLst>
            </c:dLbl>
            <c:dLbl>
              <c:idx val="7"/>
              <c:delete val="1"/>
            </c:dLbl>
            <c:dLbl>
              <c:idx val="8"/>
              <c:delete val="1"/>
            </c:dLbl>
            <c:dLbl>
              <c:idx val="9"/>
              <c:delete val="1"/>
            </c:dLbl>
            <c:dLbl>
              <c:idx val="10"/>
              <c:delete val="1"/>
            </c:dLbl>
            <c:dLbl>
              <c:idx val="11"/>
              <c:delete val="1"/>
            </c:dLbl>
            <c:dLbl>
              <c:idx val="12"/>
              <c:layout/>
              <c:dLblPos val="outEnd"/>
              <c:showLegendKey val="0"/>
              <c:showVal val="1"/>
              <c:showCatName val="0"/>
              <c:showSerName val="0"/>
              <c:showPercent val="0"/>
              <c:showBubbleSize val="0"/>
              <c:extLst>
                <c:ext xmlns:c15="http://schemas.microsoft.com/office/drawing/2012/chart" uri="{CE6537A1-D6FC-4f65-9D91-7224C49458BB}"/>
              </c:extLst>
            </c:dLbl>
            <c:dLbl>
              <c:idx val="13"/>
              <c:delete val="1"/>
            </c:dLbl>
            <c:dLbl>
              <c:idx val="14"/>
              <c:delete val="1"/>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0"/>
            <c:showCatName val="0"/>
            <c:showSerName val="0"/>
            <c:showPercent val="0"/>
            <c:showBubbleSize val="0"/>
            <c:showLeaderLines val="0"/>
            <c:extLst>
              <c:ext xmlns:c15="http://schemas.microsoft.com/office/drawing/2012/chart" uri="{CE6537A1-D6FC-4f65-9D91-7224C49458BB}">
                <c15:layout/>
                <c15:showLeaderLines val="1"/>
                <c15:leaderLines/>
              </c:ext>
            </c:extLst>
          </c:dLbls>
          <c:cat>
            <c:strRef>
              <c:f>[2022年建筑业明细.xls]Sheet2!$B$26:$B$40</c:f>
              <c:strCache>
                <c:ptCount val="15"/>
                <c:pt idx="0">
                  <c:v>北京</c:v>
                </c:pt>
                <c:pt idx="1">
                  <c:v>天津</c:v>
                </c:pt>
                <c:pt idx="2">
                  <c:v>河北</c:v>
                </c:pt>
                <c:pt idx="3">
                  <c:v>山西</c:v>
                </c:pt>
                <c:pt idx="4">
                  <c:v>辽宁</c:v>
                </c:pt>
                <c:pt idx="5">
                  <c:v>江苏</c:v>
                </c:pt>
                <c:pt idx="6">
                  <c:v>浙江</c:v>
                </c:pt>
                <c:pt idx="7">
                  <c:v>安徽</c:v>
                </c:pt>
                <c:pt idx="8">
                  <c:v>江西</c:v>
                </c:pt>
                <c:pt idx="9">
                  <c:v>山东</c:v>
                </c:pt>
                <c:pt idx="10">
                  <c:v>河南</c:v>
                </c:pt>
                <c:pt idx="11">
                  <c:v>广东</c:v>
                </c:pt>
                <c:pt idx="12">
                  <c:v>海南</c:v>
                </c:pt>
                <c:pt idx="13">
                  <c:v>重庆</c:v>
                </c:pt>
                <c:pt idx="14">
                  <c:v>四川</c:v>
                </c:pt>
              </c:strCache>
            </c:strRef>
          </c:cat>
          <c:val>
            <c:numRef>
              <c:f>[2022年建筑业明细.xls]Sheet2!$G$26:$G$40</c:f>
              <c:numCache>
                <c:formatCode>General</c:formatCode>
                <c:ptCount val="15"/>
                <c:pt idx="0">
                  <c:v>0.16</c:v>
                </c:pt>
                <c:pt idx="1">
                  <c:v>0.16</c:v>
                </c:pt>
                <c:pt idx="2">
                  <c:v>0.31</c:v>
                </c:pt>
                <c:pt idx="3">
                  <c:v>0.16</c:v>
                </c:pt>
                <c:pt idx="4">
                  <c:v>0.86</c:v>
                </c:pt>
                <c:pt idx="5">
                  <c:v>2.2</c:v>
                </c:pt>
                <c:pt idx="6">
                  <c:v>0.99</c:v>
                </c:pt>
                <c:pt idx="7">
                  <c:v>0.11</c:v>
                </c:pt>
                <c:pt idx="8">
                  <c:v>0.78</c:v>
                </c:pt>
                <c:pt idx="9">
                  <c:v>0.16</c:v>
                </c:pt>
                <c:pt idx="10">
                  <c:v>0.11</c:v>
                </c:pt>
                <c:pt idx="11">
                  <c:v>0.46</c:v>
                </c:pt>
                <c:pt idx="12">
                  <c:v>1.31</c:v>
                </c:pt>
                <c:pt idx="13">
                  <c:v>0.1</c:v>
                </c:pt>
                <c:pt idx="14">
                  <c:v>0.76</c:v>
                </c:pt>
              </c:numCache>
            </c:numRef>
          </c:val>
        </c:ser>
        <c:dLbls>
          <c:showLegendKey val="0"/>
          <c:showVal val="0"/>
          <c:showCatName val="0"/>
          <c:showSerName val="0"/>
          <c:showPercent val="0"/>
          <c:showBubbleSize val="0"/>
        </c:dLbls>
        <c:gapWidth val="182"/>
        <c:overlap val="0"/>
        <c:axId val="268441623"/>
        <c:axId val="565293838"/>
      </c:barChart>
      <c:catAx>
        <c:axId val="268441623"/>
        <c:scaling>
          <c:orientation val="minMax"/>
        </c:scaling>
        <c:delete val="0"/>
        <c:axPos val="l"/>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65293838"/>
        <c:crosses val="autoZero"/>
        <c:auto val="1"/>
        <c:lblAlgn val="ctr"/>
        <c:lblOffset val="100"/>
        <c:noMultiLvlLbl val="0"/>
      </c:catAx>
      <c:valAx>
        <c:axId val="565293838"/>
        <c:scaling>
          <c:orientation val="minMax"/>
        </c:scaling>
        <c:delete val="0"/>
        <c:axPos val="b"/>
        <c:majorGridlines>
          <c:spPr>
            <a:ln w="9525" cap="flat" cmpd="sng" algn="ctr">
              <a:solidFill>
                <a:schemeClr val="tx1">
                  <a:lumMod val="15000"/>
                  <a:lumOff val="85000"/>
                </a:schemeClr>
              </a:solidFill>
              <a:prstDash val="solid"/>
              <a:round/>
            </a:ln>
            <a:effectLst/>
          </c:spPr>
        </c:majorGridlines>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sz="1000" b="0">
                    <a:latin typeface="黑体" panose="02010609060101010101" charset="-122"/>
                    <a:ea typeface="黑体" panose="02010609060101010101" charset="-122"/>
                  </a:rPr>
                  <a:t>外省完成产值（亿元）</a:t>
                </a:r>
                <a:endParaRPr sz="1000" b="0" i="0" u="none" strike="noStrike" baseline="0">
                  <a:solidFill>
                    <a:srgbClr val="595959">
                      <a:alpha val="100000"/>
                    </a:srgbClr>
                  </a:solidFill>
                  <a:latin typeface="黑体" panose="02010609060101010101" charset="-122"/>
                  <a:ea typeface="黑体" panose="02010609060101010101" charset="-122"/>
                  <a:cs typeface="黑体" panose="02010609060101010101" charset="-122"/>
                </a:endParaRPr>
              </a:p>
            </c:rich>
          </c:tx>
          <c:layout>
            <c:manualLayout>
              <c:xMode val="edge"/>
              <c:yMode val="edge"/>
              <c:x val="0.362124650518937"/>
              <c:y val="0.930682543057623"/>
            </c:manualLayout>
          </c:layout>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68441623"/>
        <c:crosses val="autoZero"/>
        <c:crossBetween val="between"/>
      </c:valAx>
      <c:spPr>
        <a:noFill/>
        <a:ln w="28575" cmpd="sng">
          <a:noFill/>
          <a:prstDash val="solid"/>
        </a:ln>
        <a:effectLst/>
      </c:spPr>
    </c:plotArea>
    <c:plotVisOnly val="1"/>
    <c:dispBlanksAs val="gap"/>
    <c:showDLblsOverMax val="0"/>
  </c:chart>
  <c:spPr>
    <a:noFill/>
    <a:ln w="6350" cap="flat" cmpd="sng" algn="ctr">
      <a:noFill/>
      <a:prstDash val="solid"/>
      <a:round/>
    </a:ln>
  </c:spPr>
  <c:txPr>
    <a:bodyPr wrap="square"/>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黑体" panose="02010609060101010101" charset="-122"/>
                <a:ea typeface="黑体" panose="02010609060101010101" charset="-122"/>
                <a:cs typeface="黑体" panose="02010609060101010101" charset="-122"/>
                <a:sym typeface="黑体" panose="02010609060101010101" charset="-122"/>
              </a:defRPr>
            </a:pPr>
            <a:r>
              <a:rPr b="1">
                <a:latin typeface="黑体" panose="02010609060101010101" charset="-122"/>
                <a:ea typeface="黑体" panose="02010609060101010101" charset="-122"/>
                <a:cs typeface="黑体" panose="02010609060101010101" charset="-122"/>
                <a:sym typeface="黑体" panose="02010609060101010101" charset="-122"/>
              </a:rPr>
              <a:t>图</a:t>
            </a:r>
            <a:r>
              <a:rPr lang="en-US" altLang="zh-CN" b="1">
                <a:latin typeface="黑体" panose="02010609060101010101" charset="-122"/>
                <a:ea typeface="黑体" panose="02010609060101010101" charset="-122"/>
                <a:cs typeface="黑体" panose="02010609060101010101" charset="-122"/>
                <a:sym typeface="黑体" panose="02010609060101010101" charset="-122"/>
              </a:rPr>
              <a:t>3</a:t>
            </a:r>
            <a:r>
              <a:rPr b="1">
                <a:latin typeface="黑体" panose="02010609060101010101" charset="-122"/>
                <a:ea typeface="黑体" panose="02010609060101010101" charset="-122"/>
                <a:cs typeface="黑体" panose="02010609060101010101" charset="-122"/>
                <a:sym typeface="黑体" panose="02010609060101010101" charset="-122"/>
              </a:rPr>
              <a:t>：南安市一季度产值分布图（分资质）</a:t>
            </a:r>
            <a:endParaRPr b="1">
              <a:latin typeface="黑体" panose="02010609060101010101" charset="-122"/>
              <a:ea typeface="黑体" panose="02010609060101010101" charset="-122"/>
              <a:cs typeface="黑体" panose="02010609060101010101" charset="-122"/>
              <a:sym typeface="黑体" panose="02010609060101010101" charset="-122"/>
            </a:endParaRPr>
          </a:p>
        </c:rich>
      </c:tx>
      <c:layout>
        <c:manualLayout>
          <c:xMode val="edge"/>
          <c:yMode val="edge"/>
          <c:x val="0.139469325609032"/>
          <c:y val="0.88183802663174"/>
        </c:manualLayout>
      </c:layout>
      <c:overlay val="0"/>
      <c:spPr>
        <a:noFill/>
        <a:ln>
          <a:noFill/>
        </a:ln>
        <a:effectLst/>
      </c:spPr>
    </c:title>
    <c:autoTitleDeleted val="0"/>
    <c:plotArea>
      <c:layout>
        <c:manualLayout>
          <c:layoutTarget val="inner"/>
          <c:xMode val="edge"/>
          <c:yMode val="edge"/>
          <c:x val="0.00777777777777778"/>
          <c:y val="0.0657407407407407"/>
          <c:w val="0.92"/>
          <c:h val="0.786111111111111"/>
        </c:manualLayout>
      </c:layout>
      <c:pieChart>
        <c:varyColors val="1"/>
        <c:ser>
          <c:idx val="0"/>
          <c:order val="0"/>
          <c:tx>
            <c:strRef>
              <c:f>[2022年建筑业明细.xls]分析!$F$18:$F$19</c:f>
              <c:strCache>
                <c:ptCount val="1"/>
                <c:pt idx="0">
                  <c:v>产值 （亿元）</c:v>
                </c:pt>
              </c:strCache>
            </c:strRef>
          </c:tx>
          <c:spPr>
            <a:ln w="9525">
              <a:solidFill>
                <a:schemeClr val="accent1"/>
              </a:solidFill>
            </a:ln>
            <a:scene3d>
              <a:camera prst="orthographicFront"/>
              <a:lightRig rig="threePt" dir="t"/>
            </a:scene3d>
            <a:sp3d contourW="9525"/>
          </c:spPr>
          <c:explosion val="18"/>
          <c:dPt>
            <c:idx val="0"/>
            <c:bubble3D val="0"/>
            <c:spPr>
              <a:solidFill>
                <a:schemeClr val="accent1"/>
              </a:solidFill>
              <a:ln w="9525">
                <a:solidFill>
                  <a:schemeClr val="accent1"/>
                </a:solidFill>
              </a:ln>
              <a:effectLst/>
              <a:scene3d>
                <a:camera prst="orthographicFront"/>
                <a:lightRig rig="threePt" dir="t"/>
              </a:scene3d>
              <a:sp3d contourW="9525"/>
            </c:spPr>
          </c:dPt>
          <c:dPt>
            <c:idx val="1"/>
            <c:bubble3D val="0"/>
            <c:spPr>
              <a:pattFill prst="openDmnd">
                <a:fgClr>
                  <a:schemeClr val="accent1"/>
                </a:fgClr>
              </a:pattFill>
              <a:ln w="9525">
                <a:solidFill>
                  <a:schemeClr val="accent1"/>
                </a:solidFill>
              </a:ln>
              <a:effectLst/>
              <a:scene3d>
                <a:camera prst="orthographicFront"/>
                <a:lightRig rig="threePt" dir="t"/>
              </a:scene3d>
              <a:sp3d contourW="9525"/>
            </c:spPr>
          </c:dPt>
          <c:dPt>
            <c:idx val="2"/>
            <c:bubble3D val="0"/>
            <c:spPr>
              <a:pattFill prst="dkHorz">
                <a:fgClr>
                  <a:schemeClr val="accent1"/>
                </a:fgClr>
                <a:bgClr>
                  <a:schemeClr val="bg1"/>
                </a:bgClr>
              </a:pattFill>
              <a:ln w="9525">
                <a:solidFill>
                  <a:schemeClr val="accent1"/>
                </a:solidFill>
              </a:ln>
              <a:effectLst/>
              <a:scene3d>
                <a:camera prst="orthographicFront"/>
                <a:lightRig rig="threePt" dir="t"/>
              </a:scene3d>
              <a:sp3d contourW="9525"/>
            </c:spPr>
          </c:dPt>
          <c:dLbls>
            <c:dLbl>
              <c:idx val="0"/>
              <c:layout>
                <c:manualLayout>
                  <c:x val="-0.103509076784141"/>
                  <c:y val="0.129544766495315"/>
                </c:manualLayout>
              </c:layout>
              <c:tx>
                <c:rich>
                  <a:bodyPr rot="0" spcFirstLastPara="0" vertOverflow="ellipsis" vert="horz" wrap="square" lIns="38100" tIns="19050" rIns="38100" bIns="19050" anchor="ctr" anchorCtr="1"/>
                  <a:lstStyle/>
                  <a:p>
                    <a:pPr defTabSz="914400">
                      <a:defRPr lang="zh-CN" sz="1000" b="1" i="0" u="none" strike="noStrike" kern="1200" baseline="0">
                        <a:solidFill>
                          <a:schemeClr val="tx1">
                            <a:lumMod val="75000"/>
                            <a:lumOff val="25000"/>
                          </a:schemeClr>
                        </a:solidFill>
                        <a:latin typeface="+mn-lt"/>
                        <a:ea typeface="+mn-ea"/>
                        <a:cs typeface="+mn-cs"/>
                      </a:defRPr>
                    </a:pPr>
                    <a:r>
                      <a:t>一级</a:t>
                    </a:r>
                    <a:r>
                      <a:rPr lang="en-US" altLang="zh-CN"/>
                      <a:t>28</a:t>
                    </a:r>
                    <a:r>
                      <a:rPr altLang="en-US"/>
                      <a:t>家，</a:t>
                    </a:r>
                    <a:r>
                      <a:t>60.8%</a:t>
                    </a:r>
                  </a:p>
                </c:rich>
              </c:tx>
              <c:numFmt formatCode="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baseline="0">
                      <a:solidFill>
                        <a:schemeClr val="tx1">
                          <a:lumMod val="75000"/>
                          <a:lumOff val="25000"/>
                        </a:schemeClr>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0283333333333333"/>
                  <c:y val="-0.233333333333333"/>
                </c:manualLayout>
              </c:layout>
              <c:tx>
                <c:rich>
                  <a:bodyPr rot="0" spcFirstLastPara="0" vertOverflow="ellipsis" vert="horz" wrap="square" lIns="38100" tIns="19050" rIns="38100" bIns="19050" anchor="ctr" anchorCtr="1"/>
                  <a:lstStyle/>
                  <a:p>
                    <a:pPr defTabSz="914400">
                      <a:defRPr lang="zh-CN" sz="1000" b="1" i="0" u="none" strike="noStrike" kern="1200" baseline="0">
                        <a:solidFill>
                          <a:schemeClr val="tx1">
                            <a:lumMod val="75000"/>
                            <a:lumOff val="25000"/>
                          </a:schemeClr>
                        </a:solidFill>
                        <a:latin typeface="+mn-lt"/>
                        <a:ea typeface="+mn-ea"/>
                        <a:cs typeface="+mn-cs"/>
                      </a:defRPr>
                    </a:pPr>
                    <a:r>
                      <a:rPr altLang="en-US" sz="1000" b="1"/>
                      <a:t>二</a:t>
                    </a:r>
                    <a:r>
                      <a:rPr lang="en-US" altLang="zh-CN" sz="1000" b="1"/>
                      <a:t>级42家，31.8</a:t>
                    </a:r>
                    <a:r>
                      <a:rPr sz="1000" b="1"/>
                      <a:t>%</a:t>
                    </a:r>
                    <a:endParaRPr sz="1000" b="1"/>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tx>
                <c:rich>
                  <a:bodyPr rot="0" spcFirstLastPara="0" vertOverflow="ellipsis" vert="horz" wrap="square" lIns="38100" tIns="19050" rIns="38100" bIns="19050" anchor="ctr" anchorCtr="1"/>
                  <a:lstStyle/>
                  <a:p>
                    <a:pPr defTabSz="914400">
                      <a:defRPr lang="zh-CN" sz="1000" b="1" i="0" u="none" strike="noStrike" kern="1200" baseline="0">
                        <a:solidFill>
                          <a:schemeClr val="tx1">
                            <a:lumMod val="75000"/>
                            <a:lumOff val="25000"/>
                          </a:schemeClr>
                        </a:solidFill>
                        <a:latin typeface="+mn-lt"/>
                        <a:ea typeface="+mn-ea"/>
                        <a:cs typeface="+mn-cs"/>
                      </a:defRPr>
                    </a:pPr>
                    <a:r>
                      <a:rPr altLang="en-US" sz="1000" b="1"/>
                      <a:t>三</a:t>
                    </a:r>
                    <a:r>
                      <a:rPr lang="en-US" altLang="zh-CN" sz="1000" b="1"/>
                      <a:t>级73家，7.5</a:t>
                    </a:r>
                    <a:r>
                      <a:rPr sz="1000" b="1"/>
                      <a:t>%</a:t>
                    </a:r>
                    <a:endParaRPr sz="1000" b="1"/>
                  </a:p>
                </c:rich>
              </c:tx>
              <c:dLblPos val="bestFit"/>
              <c:showLegendKey val="0"/>
              <c:showVal val="0"/>
              <c:showCatName val="1"/>
              <c:showSerName val="0"/>
              <c:showPercent val="1"/>
              <c:showBubbleSize val="0"/>
              <c:separator>
</c:separator>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1" i="0" u="none" strike="noStrike" kern="1200" baseline="0">
                    <a:solidFill>
                      <a:schemeClr val="tx1">
                        <a:lumMod val="75000"/>
                        <a:lumOff val="25000"/>
                      </a:schemeClr>
                    </a:solidFill>
                    <a:latin typeface="+mn-lt"/>
                    <a:ea typeface="+mn-ea"/>
                    <a:cs typeface="+mn-cs"/>
                  </a:defRPr>
                </a:pPr>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[2022年建筑业明细.xls]分析!$C$20:$C$22</c:f>
              <c:strCache>
                <c:ptCount val="3"/>
                <c:pt idx="0">
                  <c:v>一级</c:v>
                </c:pt>
                <c:pt idx="1">
                  <c:v>二级</c:v>
                </c:pt>
                <c:pt idx="2">
                  <c:v>三级</c:v>
                </c:pt>
              </c:strCache>
            </c:strRef>
          </c:cat>
          <c:val>
            <c:numRef>
              <c:f>[2022年建筑业明细.xls]分析!$F$20:$F$22</c:f>
              <c:numCache>
                <c:formatCode>0.00_ </c:formatCode>
                <c:ptCount val="3"/>
                <c:pt idx="0">
                  <c:v>17.40799</c:v>
                </c:pt>
                <c:pt idx="1">
                  <c:v>9.0951</c:v>
                </c:pt>
                <c:pt idx="2">
                  <c:v>2.13795</c:v>
                </c:pt>
              </c:numCache>
            </c:numRef>
          </c:val>
        </c:ser>
        <c:dLbls>
          <c:showLegendKey val="0"/>
          <c:showVal val="0"/>
          <c:showCatName val="1"/>
          <c:showSerName val="0"/>
          <c:showPercent val="1"/>
          <c:showBubbleSize val="0"/>
          <c:showLeaderLines val="1"/>
        </c:dLbls>
        <c:firstSliceAng val="270"/>
      </c:pieChart>
      <c:spPr>
        <a:noFill/>
        <a:ln>
          <a:noFill/>
        </a:ln>
        <a:effectLst/>
      </c:spPr>
    </c:plotArea>
    <c:legend>
      <c:legendPos val="b"/>
      <c:layout>
        <c:manualLayout>
          <c:xMode val="edge"/>
          <c:yMode val="edge"/>
          <c:x val="0.755277777777778"/>
          <c:y val="0.0368055555555556"/>
          <c:w val="0.115833333333333"/>
          <c:h val="0.401157407407407"/>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noFill/>
    <a:ln w="9525" cap="flat" cmpd="sng" algn="ctr">
      <a:no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Office_10.1.0.6382_F1E327BC-269C-435d-A152-05C5408002CA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2020-04-17T07:56:00Z</dcterms:created>
  <dc:creator>lmx</dc:creator>
  <cp:lastModifiedBy>HP</cp:lastModifiedBy>
  <cp:lastPrinted>2022-04-22T02:44:00Z</cp:lastPrinted>
  <dcterms:modified xsi:type="dcterms:W3CDTF">2022-04-28T08:14:25Z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2052-10.1.0.6382</vt:lpwstr>
  </property>
  <property fmtid="{D5CDD505-2E9C-101B-9397-08002B2CF9AE}" pid="3" name="ICV">
    <vt:lpwstr>16123E73679C4DE6A4AD05FA83936D13</vt:lpwstr>
  </property>
</Properties>
</file>