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6" o:spid="_x0000_s1026" o:spt="136" type="#_x0000_t136" style="position:absolute;left:0pt;margin-left:95.95pt;margin-top:140.65pt;height:72.7pt;width:424.6pt;mso-position-horizontal-relative:page;mso-position-vertical-relative:page;z-index:251661312;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eastAsia"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南安市统计局  编                     2022年4月2</w:t>
      </w:r>
      <w:r>
        <w:rPr>
          <w:rFonts w:hint="eastAsia"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103505</wp:posOffset>
                </wp:positionV>
                <wp:extent cx="6125845" cy="76200"/>
                <wp:effectExtent l="7620" t="0" r="8255" b="22860"/>
                <wp:wrapNone/>
                <wp:docPr id="2" name="自选图形 3"/>
                <wp:cNvGraphicFramePr/>
                <a:graphic xmlns:a="http://schemas.openxmlformats.org/drawingml/2006/main">
                  <a:graphicData uri="http://schemas.microsoft.com/office/word/2010/wordprocessingShape">
                    <wps:wsp>
                      <wps:cNvSpPr/>
                      <wps:spPr>
                        <a:xfrm flipV="1">
                          <a:off x="0" y="0"/>
                          <a:ext cx="6125845" cy="76200"/>
                        </a:xfrm>
                        <a:prstGeom prst="flowChartProcess">
                          <a:avLst/>
                        </a:prstGeom>
                        <a:solidFill>
                          <a:srgbClr val="FF0000"/>
                        </a:solidFill>
                        <a:ln w="15875" cap="flat" cmpd="sng">
                          <a:solidFill>
                            <a:srgbClr val="FFFFFF"/>
                          </a:solidFill>
                          <a:prstDash val="solid"/>
                          <a:miter/>
                          <a:headEnd type="none" w="med" len="med"/>
                          <a:tailEnd type="none" w="med" len="med"/>
                        </a:ln>
                        <a:effectLst/>
                      </wps:spPr>
                      <wps:bodyPr upright="1"/>
                    </wps:wsp>
                  </a:graphicData>
                </a:graphic>
              </wp:anchor>
            </w:drawing>
          </mc:Choice>
          <mc:Fallback>
            <w:pict>
              <v:shape id="自选图形 3" o:spid="_x0000_s1026" o:spt="109" type="#_x0000_t109" style="position:absolute;left:0pt;flip:y;margin-left:-15.3pt;margin-top:8.15pt;height:6pt;width:482.35pt;z-index:251662336;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uPsOv+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h77ZAAAACQEAAA8AAAAAAAAAAQAgAAAAIgAAAGRycy9kb3du&#10;cmV2LnhtbFBLAQIUABQAAAAIAIdO4kAbj7Dr/gEAAPoDAAAOAAAAAAAAAAEAIAAAACgBAABkcnMv&#10;ZTJvRG9jLnhtbFBLBQYAAAAABgAGAFkBAACYBQAAAAA=&#10;">
                <v:fill on="t" focussize="0,0"/>
                <v:stroke weight="1.25pt" color="#FFFFFF"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房地产楼市低迷，投资销售双回落</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0" w:firstLineChars="0"/>
        <w:jc w:val="right"/>
        <w:textAlignment w:val="auto"/>
        <w:outlineLvl w:val="9"/>
        <w:rPr>
          <w:rFonts w:hint="eastAsia" w:ascii="方正小标宋简体" w:hAnsi="方正小标宋简体" w:eastAsia="方正小标宋简体" w:cs="方正小标宋简体"/>
          <w:b w:val="0"/>
          <w:bCs w:val="0"/>
          <w:sz w:val="32"/>
          <w:szCs w:val="32"/>
          <w:highlight w:val="none"/>
          <w:lang w:val="en-US" w:eastAsia="zh-CN"/>
        </w:rPr>
      </w:pPr>
      <w:r>
        <w:rPr>
          <w:rFonts w:hint="eastAsia" w:ascii="方正小标宋简体" w:hAnsi="方正小标宋简体" w:eastAsia="方正小标宋简体" w:cs="方正小标宋简体"/>
          <w:b w:val="0"/>
          <w:bCs w:val="0"/>
          <w:sz w:val="32"/>
          <w:szCs w:val="32"/>
          <w:highlight w:val="none"/>
          <w:lang w:val="en-US" w:eastAsia="zh-CN"/>
        </w:rPr>
        <w:t>——南安市2022年一季度房地产开发运行情况</w:t>
      </w: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2022年一季度我市受疫情、房地产调控政策和经济环境叠加影响，房地产市场有所回冷，房地产投资端和销售端出现“双下跌”，需密切关注房地产业增长乏力、土拍流拍等问题，在实现稳地价、稳房价、稳预期目标的同时，防范化解房地产领域重大风险，确保房地产业平稳有序发展。</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1"/>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南安市房地产业发展特点</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2"/>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房地产开发投资持续负增长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一季度房地产开发投资19.81亿元，同比下降12.3%，较上年同期降幅扩大11.3个百分点。从连年高速增长的基数效应来看，2022年一季度比2019年同期增长32.8%，三年平均增长9.9%。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r>
        <w:rPr>
          <w:rFonts w:hint="eastAsia" w:ascii="仿宋" w:hAnsi="仿宋" w:eastAsia="仿宋"/>
          <w:sz w:val="30"/>
          <w:szCs w:val="30"/>
          <w:highlight w:val="none"/>
          <w:lang w:val="en-US" w:eastAsia="zh-CN"/>
        </w:rPr>
        <w:pict>
          <v:shape id="_x0000_s1027" o:spid="_x0000_s1027" o:spt="75" type="#_x0000_t75" style="position:absolute;left:0pt;margin-left:5.35pt;margin-top:-16.9pt;height:206.6pt;width:427.9pt;z-index:-251653120;mso-width-relative:page;mso-height-relative:page;" o:ole="t" filled="f" o:preferrelative="t" stroked="f" coordsize="21600,21600">
            <v:path/>
            <v:fill on="f" focussize="0,0"/>
            <v:stroke on="f"/>
            <v:imagedata r:id="rId6" o:title=""/>
            <o:lock v:ext="edit" aspectratio="t"/>
          </v:shape>
          <o:OLEObject Type="Embed" ProgID="Excel.Chart.8" ShapeID="_x0000_s1027" DrawAspect="Content" ObjectID="_1468075725" r:id="rId5">
            <o:LockedField>false</o:LockedField>
          </o:OLEObj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both"/>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楷体" w:hAnsi="楷体" w:eastAsia="楷体" w:cs="楷体"/>
          <w:b w:val="0"/>
          <w:bCs w:val="0"/>
          <w:sz w:val="30"/>
          <w:szCs w:val="30"/>
          <w:highlight w:val="none"/>
          <w:lang w:val="en-US" w:eastAsia="zh-CN"/>
        </w:rPr>
      </w:pPr>
      <w:r>
        <w:rPr>
          <w:rFonts w:hint="eastAsia" w:ascii="楷体" w:hAnsi="楷体" w:eastAsia="楷体" w:cs="楷体"/>
          <w:b w:val="0"/>
          <w:bCs w:val="0"/>
          <w:sz w:val="30"/>
          <w:szCs w:val="30"/>
          <w:highlight w:val="none"/>
          <w:lang w:val="en-US" w:eastAsia="zh-CN"/>
        </w:rPr>
        <w:t>图1  南安市房地产开发投资增速走势图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从增长曲线看，呈波浪式增长态势。增速由2021年1-4月波浪起伏式增长至2021年1-8月，2021年1-9月得益于新增入库的房地产项目，增速有所回涨，后呈现持续下降态势至今年2月，3月方小幅回涨。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1.土地购置费拉动增长。</w:t>
      </w:r>
      <w:r>
        <w:rPr>
          <w:rFonts w:hint="default" w:ascii="Times New Roman" w:hAnsi="Times New Roman" w:eastAsia="仿宋_GB2312" w:cs="Times New Roman"/>
          <w:color w:val="auto"/>
          <w:kern w:val="0"/>
          <w:sz w:val="32"/>
          <w:szCs w:val="32"/>
          <w:highlight w:val="none"/>
          <w:lang w:val="en-US" w:eastAsia="zh-CN" w:bidi="ar"/>
        </w:rPr>
        <w:t>从投资构成看，一季度，建安工程完成12.38亿元，同比下降23.1%，占房地产开发投资62.5%；土地购置费7.03亿元，增长19.3%，拉动房地产开发投资增长5.0个百分点，占比35.5%。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14" w:afterAutospacing="0" w:line="18" w:lineRule="atLeast"/>
        <w:ind w:left="0" w:right="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2.住宅投资降幅最低。</w:t>
      </w:r>
      <w:r>
        <w:rPr>
          <w:rFonts w:hint="default" w:ascii="Times New Roman" w:hAnsi="Times New Roman" w:eastAsia="仿宋_GB2312" w:cs="Times New Roman"/>
          <w:color w:val="auto"/>
          <w:kern w:val="0"/>
          <w:sz w:val="32"/>
          <w:szCs w:val="32"/>
          <w:highlight w:val="none"/>
          <w:lang w:val="en-US" w:eastAsia="zh-CN" w:bidi="ar"/>
        </w:rPr>
        <w:t>从工程用途看，住宅依旧是投资主体。一季度，全市完成住宅投资15.4亿元，同比下降7.7%，占比高达77.8%，增长贡献率达46.3%；办公楼0.5亿元，下降50.2%；商业营业用房投资1.75亿元，下降27.2%；以教育、文体等公共配套为主的其他房地产投资2.16亿元，下降13.2%</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sz w:val="30"/>
          <w:szCs w:val="30"/>
          <w:highlight w:val="none"/>
          <w:lang w:val="en-US" w:eastAsia="zh-CN"/>
        </w:rPr>
      </w:pPr>
      <w:r>
        <w:rPr>
          <w:rFonts w:hint="eastAsia" w:ascii="楷体" w:hAnsi="楷体" w:eastAsia="楷体" w:cs="楷体"/>
          <w:b w:val="0"/>
          <w:bCs w:val="0"/>
          <w:sz w:val="30"/>
          <w:szCs w:val="30"/>
          <w:highlight w:val="none"/>
          <w:lang w:val="en-US" w:eastAsia="zh-CN"/>
        </w:rPr>
        <w:t>表1  房屋施工面积与竣工面积对比表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楷体" w:hAnsi="楷体" w:eastAsia="楷体" w:cs="楷体"/>
          <w:color w:val="auto"/>
          <w:kern w:val="0"/>
          <w:sz w:val="28"/>
          <w:szCs w:val="28"/>
          <w:highlight w:val="none"/>
          <w:lang w:val="en-US" w:eastAsia="zh-CN" w:bidi="ar"/>
        </w:rPr>
      </w:pPr>
      <w:r>
        <w:rPr>
          <w:rFonts w:hint="eastAsia" w:ascii="楷体" w:hAnsi="楷体" w:eastAsia="楷体" w:cs="楷体"/>
          <w:color w:val="auto"/>
          <w:kern w:val="0"/>
          <w:sz w:val="28"/>
          <w:szCs w:val="28"/>
          <w:highlight w:val="none"/>
          <w:lang w:val="en-US" w:eastAsia="zh-CN" w:bidi="ar"/>
        </w:rPr>
        <w:t>单位：万平方米、%</w:t>
      </w:r>
    </w:p>
    <w:tbl>
      <w:tblPr>
        <w:tblStyle w:val="8"/>
        <w:tblW w:w="84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32"/>
        <w:gridCol w:w="1512"/>
        <w:gridCol w:w="1620"/>
        <w:gridCol w:w="1560"/>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trPr>
        <w:tc>
          <w:tcPr>
            <w:tcW w:w="2332" w:type="dxa"/>
            <w:vMerge w:val="restart"/>
            <w:tcBorders>
              <w:top w:val="single" w:color="000000" w:sz="12"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分类</w:t>
            </w:r>
          </w:p>
        </w:tc>
        <w:tc>
          <w:tcPr>
            <w:tcW w:w="3132" w:type="dxa"/>
            <w:gridSpan w:val="2"/>
            <w:tcBorders>
              <w:top w:val="single" w:color="000000" w:sz="12"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施工面积</w:t>
            </w:r>
          </w:p>
        </w:tc>
        <w:tc>
          <w:tcPr>
            <w:tcW w:w="3021" w:type="dxa"/>
            <w:gridSpan w:val="2"/>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竣工面积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2" w:hRule="atLeast"/>
        </w:trPr>
        <w:tc>
          <w:tcPr>
            <w:tcW w:w="2332" w:type="dxa"/>
            <w:vMerge w:val="continue"/>
            <w:tcBorders>
              <w:top w:val="single" w:color="000000" w:sz="12"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15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本年</w:t>
            </w:r>
          </w:p>
        </w:tc>
        <w:tc>
          <w:tcPr>
            <w:tcW w:w="16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比增</w:t>
            </w:r>
          </w:p>
        </w:tc>
        <w:tc>
          <w:tcPr>
            <w:tcW w:w="15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本年</w:t>
            </w:r>
          </w:p>
        </w:tc>
        <w:tc>
          <w:tcPr>
            <w:tcW w:w="1461"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比增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233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全部房屋</w:t>
            </w:r>
          </w:p>
        </w:tc>
        <w:tc>
          <w:tcPr>
            <w:tcW w:w="151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807.86</w:t>
            </w:r>
          </w:p>
        </w:tc>
        <w:tc>
          <w:tcPr>
            <w:tcW w:w="162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4.8</w:t>
            </w:r>
          </w:p>
        </w:tc>
        <w:tc>
          <w:tcPr>
            <w:tcW w:w="156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85.47</w:t>
            </w:r>
          </w:p>
        </w:tc>
        <w:tc>
          <w:tcPr>
            <w:tcW w:w="1461" w:type="dxa"/>
            <w:tcBorders>
              <w:top w:val="single" w:color="000000" w:sz="8"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lang w:val="en-US"/>
              </w:rPr>
            </w:pPr>
            <w:r>
              <w:rPr>
                <w:rFonts w:hint="default" w:ascii="Times New Roman" w:hAnsi="Times New Roman" w:eastAsia="仿宋_GB2312" w:cs="Times New Roman"/>
                <w:b w:val="0"/>
                <w:bCs w:val="0"/>
                <w:i w:val="0"/>
                <w:iCs w:val="0"/>
                <w:color w:val="000000"/>
                <w:kern w:val="0"/>
                <w:sz w:val="28"/>
                <w:szCs w:val="28"/>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2332" w:type="dxa"/>
            <w:tcBorders>
              <w:top w:val="nil"/>
              <w:left w:val="nil"/>
              <w:bottom w:val="nil"/>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 xml:space="preserve"> 住宅</w:t>
            </w:r>
          </w:p>
        </w:tc>
        <w:tc>
          <w:tcPr>
            <w:tcW w:w="1512"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528.88</w:t>
            </w:r>
          </w:p>
        </w:tc>
        <w:tc>
          <w:tcPr>
            <w:tcW w:w="162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lang w:val="en-US"/>
              </w:rPr>
            </w:pPr>
            <w:r>
              <w:rPr>
                <w:rFonts w:hint="default" w:ascii="Times New Roman" w:hAnsi="Times New Roman" w:eastAsia="仿宋_GB2312" w:cs="Times New Roman"/>
                <w:b w:val="0"/>
                <w:bCs w:val="0"/>
                <w:i w:val="0"/>
                <w:iCs w:val="0"/>
                <w:color w:val="000000"/>
                <w:kern w:val="0"/>
                <w:sz w:val="28"/>
                <w:szCs w:val="28"/>
                <w:u w:val="none"/>
                <w:lang w:val="en-US" w:eastAsia="zh-CN" w:bidi="ar"/>
              </w:rPr>
              <w:t>11.0</w:t>
            </w:r>
          </w:p>
        </w:tc>
        <w:tc>
          <w:tcPr>
            <w:tcW w:w="156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58.11</w:t>
            </w:r>
          </w:p>
        </w:tc>
        <w:tc>
          <w:tcPr>
            <w:tcW w:w="146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2332" w:type="dxa"/>
            <w:tcBorders>
              <w:top w:val="nil"/>
              <w:left w:val="nil"/>
              <w:bottom w:val="nil"/>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 xml:space="preserve"> 办公楼</w:t>
            </w:r>
          </w:p>
        </w:tc>
        <w:tc>
          <w:tcPr>
            <w:tcW w:w="1512"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56.52</w:t>
            </w:r>
          </w:p>
        </w:tc>
        <w:tc>
          <w:tcPr>
            <w:tcW w:w="162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-2.8</w:t>
            </w:r>
          </w:p>
        </w:tc>
        <w:tc>
          <w:tcPr>
            <w:tcW w:w="156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lang w:val="en-US"/>
              </w:rPr>
            </w:pPr>
            <w:r>
              <w:rPr>
                <w:rFonts w:hint="default" w:ascii="Times New Roman" w:hAnsi="Times New Roman" w:eastAsia="仿宋_GB2312" w:cs="Times New Roman"/>
                <w:b w:val="0"/>
                <w:bCs w:val="0"/>
                <w:i w:val="0"/>
                <w:iCs w:val="0"/>
                <w:color w:val="000000"/>
                <w:kern w:val="0"/>
                <w:sz w:val="28"/>
                <w:szCs w:val="28"/>
                <w:u w:val="none"/>
                <w:lang w:val="en-US" w:eastAsia="zh-CN" w:bidi="ar"/>
              </w:rPr>
              <w:t>2.50</w:t>
            </w:r>
          </w:p>
        </w:tc>
        <w:tc>
          <w:tcPr>
            <w:tcW w:w="146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2332" w:type="dxa"/>
            <w:tcBorders>
              <w:top w:val="nil"/>
              <w:left w:val="nil"/>
              <w:bottom w:val="nil"/>
              <w:right w:val="single" w:color="auto"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 xml:space="preserve"> 商业营业用房</w:t>
            </w:r>
          </w:p>
        </w:tc>
        <w:tc>
          <w:tcPr>
            <w:tcW w:w="1512" w:type="dxa"/>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74.79</w:t>
            </w:r>
          </w:p>
        </w:tc>
        <w:tc>
          <w:tcPr>
            <w:tcW w:w="1620" w:type="dxa"/>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-14.4</w:t>
            </w:r>
          </w:p>
        </w:tc>
        <w:tc>
          <w:tcPr>
            <w:tcW w:w="1560" w:type="dxa"/>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6.51</w:t>
            </w:r>
          </w:p>
        </w:tc>
        <w:tc>
          <w:tcPr>
            <w:tcW w:w="1461" w:type="dxa"/>
            <w:tcBorders>
              <w:top w:val="nil"/>
              <w:left w:val="single" w:color="auto" w:sz="8" w:space="0"/>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671.4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2332" w:type="dxa"/>
            <w:tcBorders>
              <w:top w:val="nil"/>
              <w:left w:val="nil"/>
              <w:bottom w:val="single" w:color="auto" w:sz="12" w:space="0"/>
              <w:right w:val="single" w:color="auto"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 xml:space="preserve"> 其他</w:t>
            </w:r>
          </w:p>
        </w:tc>
        <w:tc>
          <w:tcPr>
            <w:tcW w:w="1512" w:type="dxa"/>
            <w:tcBorders>
              <w:top w:val="nil"/>
              <w:left w:val="single" w:color="auto" w:sz="8" w:space="0"/>
              <w:bottom w:val="single" w:color="auto" w:sz="12"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147.66</w:t>
            </w:r>
          </w:p>
        </w:tc>
        <w:tc>
          <w:tcPr>
            <w:tcW w:w="1620" w:type="dxa"/>
            <w:tcBorders>
              <w:top w:val="nil"/>
              <w:left w:val="single" w:color="auto" w:sz="8" w:space="0"/>
              <w:bottom w:val="single" w:color="auto" w:sz="12"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-0.6</w:t>
            </w:r>
          </w:p>
        </w:tc>
        <w:tc>
          <w:tcPr>
            <w:tcW w:w="1560" w:type="dxa"/>
            <w:tcBorders>
              <w:top w:val="nil"/>
              <w:left w:val="single" w:color="auto" w:sz="8" w:space="0"/>
              <w:bottom w:val="single" w:color="auto" w:sz="12"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18.35</w:t>
            </w:r>
          </w:p>
        </w:tc>
        <w:tc>
          <w:tcPr>
            <w:tcW w:w="1461" w:type="dxa"/>
            <w:tcBorders>
              <w:top w:val="nil"/>
              <w:left w:val="single" w:color="auto" w:sz="8" w:space="0"/>
              <w:bottom w:val="single" w:color="auto" w:sz="12"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4" w:hRule="atLeast"/>
        </w:trPr>
        <w:tc>
          <w:tcPr>
            <w:tcW w:w="8485" w:type="dxa"/>
            <w:gridSpan w:val="5"/>
            <w:tcBorders>
              <w:top w:val="single" w:color="auto" w:sz="12" w:space="0"/>
              <w:left w:val="nil"/>
              <w:bottom w:val="nil"/>
              <w:right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注：因四舍五入存在分项总计不等于合计。</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仿宋_GB2312" w:cs="Times New Roman"/>
          <w:b/>
          <w:bCs/>
          <w:color w:val="auto"/>
          <w:kern w:val="0"/>
          <w:sz w:val="32"/>
          <w:szCs w:val="32"/>
          <w:highlight w:val="none"/>
          <w:lang w:val="en-US" w:eastAsia="zh-CN" w:bidi="ar"/>
        </w:rPr>
        <w:t>3.房屋施工面积小幅增长。</w:t>
      </w:r>
      <w:r>
        <w:rPr>
          <w:rFonts w:hint="default" w:ascii="Times New Roman" w:hAnsi="Times New Roman" w:eastAsia="仿宋_GB2312" w:cs="Times New Roman"/>
          <w:color w:val="auto"/>
          <w:kern w:val="0"/>
          <w:sz w:val="32"/>
          <w:szCs w:val="32"/>
          <w:highlight w:val="none"/>
          <w:lang w:val="en-US" w:eastAsia="zh-CN" w:bidi="ar"/>
        </w:rPr>
        <w:t>房地产开发企业房屋施工面积807.86万平方米，比增4.8%。从房屋类型看，住宅施工面积528.88万平方米，比增11.0%；商办及其他房屋施工面积278.98万平方米，下降5.1%。</w:t>
      </w:r>
      <w:r>
        <w:rPr>
          <w:rFonts w:hint="default" w:ascii="Times New Roman" w:hAnsi="Times New Roman" w:eastAsia="仿宋_GB2312" w:cs="Times New Roman"/>
          <w:b/>
          <w:bCs/>
          <w:color w:val="auto"/>
          <w:kern w:val="0"/>
          <w:sz w:val="32"/>
          <w:szCs w:val="32"/>
          <w:highlight w:val="none"/>
          <w:lang w:val="en-US" w:eastAsia="zh-CN" w:bidi="ar"/>
        </w:rPr>
        <w:t>房屋竣工面积较快增长。</w:t>
      </w:r>
      <w:r>
        <w:rPr>
          <w:rFonts w:hint="default" w:ascii="Times New Roman" w:hAnsi="Times New Roman" w:eastAsia="仿宋_GB2312" w:cs="Times New Roman"/>
          <w:color w:val="auto"/>
          <w:kern w:val="0"/>
          <w:sz w:val="32"/>
          <w:szCs w:val="32"/>
          <w:highlight w:val="none"/>
          <w:lang w:val="en-US" w:eastAsia="zh-CN" w:bidi="ar"/>
        </w:rPr>
        <w:t>房屋竣工面积85.47万平方米，比增112.0%。其中住宅竣工面积58.11万平方米，比增332.8%。商办及其他竣工面积27.36万平方米，比增1.8%。</w:t>
      </w:r>
      <w:r>
        <w:rPr>
          <w:rFonts w:hint="default" w:ascii="Times New Roman" w:hAnsi="Times New Roman" w:eastAsia="宋体" w:cs="Times New Roman"/>
          <w:i w:val="0"/>
          <w:caps w:val="0"/>
          <w:color w:val="353637"/>
          <w:spacing w:val="0"/>
          <w:sz w:val="24"/>
          <w:szCs w:val="24"/>
          <w:shd w:val="clear" w:color="auto" w:fill="FFFFFF"/>
        </w:rPr>
        <w:t> </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2"/>
        <w:rPr>
          <w:rFonts w:hint="default" w:ascii="Times New Roman" w:hAnsi="Times New Roman" w:eastAsia="楷体"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商品房销售面积接连遇寒冬</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受春节期间销售遇冷，叠加房地产市场仍处于调整期，今年以来全市商品房销售增速持续走低。2022年1-3月我市房地产企业商品房销售面积40.13万平方米，同比下降34.2%，较1-2月降幅扩大11.3个百分点。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1.住宅销售增速大幅下滑是全市商品房销售遇冷的主要原因。</w:t>
      </w:r>
      <w:r>
        <w:rPr>
          <w:rFonts w:hint="default" w:ascii="Times New Roman" w:hAnsi="Times New Roman" w:eastAsia="仿宋_GB2312" w:cs="Times New Roman"/>
          <w:color w:val="auto"/>
          <w:kern w:val="0"/>
          <w:sz w:val="32"/>
          <w:szCs w:val="32"/>
          <w:highlight w:val="none"/>
          <w:lang w:val="en-US" w:eastAsia="zh-CN" w:bidi="ar"/>
        </w:rPr>
        <w:t>住宅销售面积完成35.48万平方米，下降28.5%，拉低销售面积23.2个百分点；办公楼销售面积完成0.32万平方米，下降51.4%，商业营业用房销售面积完成1.22万平方米，下降85.4%</w:t>
      </w:r>
      <w:r>
        <w:rPr>
          <w:rFonts w:hint="eastAsia" w:ascii="仿宋_GB2312" w:hAnsi="仿宋_GB2312" w:eastAsia="仿宋_GB2312" w:cs="仿宋_GB2312"/>
          <w:color w:val="auto"/>
          <w:kern w:val="0"/>
          <w:sz w:val="32"/>
          <w:szCs w:val="32"/>
          <w:highlight w:val="none"/>
          <w:lang w:val="en-US" w:eastAsia="zh-CN" w:bidi="ar"/>
        </w:rPr>
        <w:t>。</w:t>
      </w:r>
    </w:p>
    <w:p>
      <w:pPr>
        <w:pStyle w:val="2"/>
        <w:numPr>
          <w:ilvl w:val="0"/>
          <w:numId w:val="0"/>
        </w:numPr>
      </w:pPr>
      <w:r>
        <w:drawing>
          <wp:anchor distT="0" distB="0" distL="114300" distR="114300" simplePos="0" relativeHeight="251663360" behindDoc="1" locked="0" layoutInCell="1" allowOverlap="1">
            <wp:simplePos x="0" y="0"/>
            <wp:positionH relativeFrom="column">
              <wp:posOffset>106680</wp:posOffset>
            </wp:positionH>
            <wp:positionV relativeFrom="paragraph">
              <wp:posOffset>44450</wp:posOffset>
            </wp:positionV>
            <wp:extent cx="5274310" cy="3248025"/>
            <wp:effectExtent l="0" t="0" r="0" b="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rPr>
          <w:rFonts w:hint="eastAsia" w:ascii="楷体" w:hAnsi="楷体" w:eastAsia="楷体" w:cs="楷体"/>
          <w:b w:val="0"/>
          <w:bCs w:val="0"/>
          <w:sz w:val="30"/>
          <w:szCs w:val="30"/>
          <w:highlight w:val="none"/>
          <w:lang w:val="en-US" w:eastAsia="zh-CN"/>
        </w:rPr>
      </w:pPr>
      <w:r>
        <w:rPr>
          <w:rFonts w:hint="eastAsia" w:ascii="楷体" w:hAnsi="楷体" w:eastAsia="楷体" w:cs="楷体"/>
          <w:b w:val="0"/>
          <w:bCs w:val="0"/>
          <w:sz w:val="30"/>
          <w:szCs w:val="30"/>
          <w:highlight w:val="none"/>
          <w:lang w:val="en-US" w:eastAsia="zh-CN"/>
        </w:rPr>
        <w:t>图2  南安市商品房销售面积分布图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 2.住宅销售以改善型住房为主。</w:t>
      </w:r>
      <w:r>
        <w:rPr>
          <w:rFonts w:hint="default" w:ascii="Times New Roman" w:hAnsi="Times New Roman" w:eastAsia="仿宋_GB2312" w:cs="Times New Roman"/>
          <w:color w:val="auto"/>
          <w:kern w:val="0"/>
          <w:sz w:val="32"/>
          <w:szCs w:val="32"/>
          <w:highlight w:val="none"/>
          <w:lang w:val="en-US" w:eastAsia="zh-CN" w:bidi="ar"/>
        </w:rPr>
        <w:t>1-3月，全市商品房90平方米以上住宅销售25.92万平方米，占73.1%；90平方米及以下住宅销售9.56万平方米，比增188.1%，占26.9%。</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3.商品房销售额下降近四成。</w:t>
      </w:r>
      <w:r>
        <w:rPr>
          <w:rFonts w:hint="default" w:ascii="Times New Roman" w:hAnsi="Times New Roman" w:eastAsia="仿宋_GB2312" w:cs="Times New Roman"/>
          <w:color w:val="auto"/>
          <w:kern w:val="0"/>
          <w:sz w:val="32"/>
          <w:szCs w:val="32"/>
          <w:highlight w:val="none"/>
          <w:lang w:val="en-US" w:eastAsia="zh-CN" w:bidi="ar"/>
        </w:rPr>
        <w:t>商品房销售额完成28.4亿元，同比下降37.8%。从销售端看，住宅销售额下降35.7%，其中144平方米以上住宅销售额下降54.5%，90-144平方米住宅下降44.4%；办公楼销售额下降28.7%，商业营业用房销售额下降74.1%。</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2"/>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房地产企业资金链全面趋紧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2"/>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2022年1-3月我市房地产开发项目本年到位资金呈下降趋势，到位资金25.96亿元，比去年同期下降37.9%。</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600" w:lineRule="exact"/>
        <w:ind w:left="0" w:leftChars="0" w:right="0" w:rightChars="0" w:firstLine="640" w:firstLineChars="200"/>
        <w:jc w:val="left"/>
        <w:textAlignment w:val="auto"/>
        <w:outlineLvl w:val="2"/>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1.受销售放缓影响，销售回款降幅较大。</w:t>
      </w:r>
      <w:r>
        <w:rPr>
          <w:rFonts w:hint="default" w:ascii="Times New Roman" w:hAnsi="Times New Roman" w:eastAsia="仿宋_GB2312" w:cs="Times New Roman"/>
          <w:color w:val="auto"/>
          <w:kern w:val="0"/>
          <w:sz w:val="32"/>
          <w:szCs w:val="32"/>
          <w:highlight w:val="none"/>
          <w:lang w:val="en-US" w:eastAsia="zh-CN" w:bidi="ar"/>
        </w:rPr>
        <w:t>销售市场低迷一定程度上影响购房款回笼，定金及预收款完成12.4亿元，下降27.7％，个人按揭贷款7.21亿元，下降44.3%。销售回款共占全部到位资金的75.6%，同比下降34.8%。</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sz w:val="30"/>
          <w:szCs w:val="30"/>
          <w:highlight w:val="none"/>
          <w:lang w:val="en-US" w:eastAsia="zh-CN"/>
        </w:rPr>
      </w:pPr>
      <w:r>
        <w:rPr>
          <w:rFonts w:hint="eastAsia" w:ascii="楷体" w:hAnsi="楷体" w:eastAsia="楷体" w:cs="楷体"/>
          <w:b w:val="0"/>
          <w:bCs w:val="0"/>
          <w:sz w:val="30"/>
          <w:szCs w:val="30"/>
          <w:highlight w:val="none"/>
          <w:lang w:val="en-US" w:eastAsia="zh-CN"/>
        </w:rPr>
        <w:t>表2  南安市一季度本年实际到位资金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楷体" w:hAnsi="楷体" w:eastAsia="楷体" w:cs="楷体"/>
          <w:color w:val="auto"/>
          <w:kern w:val="0"/>
          <w:sz w:val="28"/>
          <w:szCs w:val="28"/>
          <w:highlight w:val="none"/>
          <w:lang w:val="en-US" w:eastAsia="zh-CN" w:bidi="ar"/>
        </w:rPr>
      </w:pPr>
      <w:r>
        <w:rPr>
          <w:rFonts w:hint="eastAsia" w:ascii="楷体" w:hAnsi="楷体" w:eastAsia="楷体" w:cs="楷体"/>
          <w:color w:val="auto"/>
          <w:kern w:val="0"/>
          <w:sz w:val="28"/>
          <w:szCs w:val="28"/>
          <w:highlight w:val="none"/>
          <w:lang w:val="en-US" w:eastAsia="zh-CN" w:bidi="ar"/>
        </w:rPr>
        <w:t>单位：亿元、%</w:t>
      </w:r>
    </w:p>
    <w:tbl>
      <w:tblPr>
        <w:tblStyle w:val="8"/>
        <w:tblW w:w="8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08"/>
        <w:gridCol w:w="2088"/>
        <w:gridCol w:w="2112"/>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1" w:hRule="atLeast"/>
        </w:trPr>
        <w:tc>
          <w:tcPr>
            <w:tcW w:w="2608" w:type="dxa"/>
            <w:tcBorders>
              <w:top w:val="single" w:color="000000" w:sz="12"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指标</w:t>
            </w:r>
          </w:p>
        </w:tc>
        <w:tc>
          <w:tcPr>
            <w:tcW w:w="2088" w:type="dxa"/>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资金额（亿元）</w:t>
            </w:r>
          </w:p>
        </w:tc>
        <w:tc>
          <w:tcPr>
            <w:tcW w:w="2112" w:type="dxa"/>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同比增长（%）</w:t>
            </w:r>
          </w:p>
        </w:tc>
        <w:tc>
          <w:tcPr>
            <w:tcW w:w="2160" w:type="dxa"/>
            <w:tcBorders>
              <w:top w:val="single" w:color="000000" w:sz="12"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26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本年实际到位资金</w:t>
            </w:r>
          </w:p>
        </w:tc>
        <w:tc>
          <w:tcPr>
            <w:tcW w:w="20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25.96</w:t>
            </w:r>
          </w:p>
        </w:tc>
        <w:tc>
          <w:tcPr>
            <w:tcW w:w="21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-37.9</w:t>
            </w:r>
          </w:p>
        </w:tc>
        <w:tc>
          <w:tcPr>
            <w:tcW w:w="2160"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仿宋_GB2312" w:cs="Times New Roman"/>
                <w:i w:val="0"/>
                <w:iCs w:val="0"/>
                <w:color w:val="000000"/>
                <w:kern w:val="0"/>
                <w:sz w:val="28"/>
                <w:szCs w:val="2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26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国内贷款</w:t>
            </w:r>
          </w:p>
        </w:tc>
        <w:tc>
          <w:tcPr>
            <w:tcW w:w="20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3.74</w:t>
            </w:r>
          </w:p>
        </w:tc>
        <w:tc>
          <w:tcPr>
            <w:tcW w:w="21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-35.5</w:t>
            </w:r>
          </w:p>
        </w:tc>
        <w:tc>
          <w:tcPr>
            <w:tcW w:w="2160"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26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自筹资金</w:t>
            </w:r>
          </w:p>
        </w:tc>
        <w:tc>
          <w:tcPr>
            <w:tcW w:w="20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1.75</w:t>
            </w:r>
          </w:p>
        </w:tc>
        <w:tc>
          <w:tcPr>
            <w:tcW w:w="21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-65.0</w:t>
            </w:r>
          </w:p>
        </w:tc>
        <w:tc>
          <w:tcPr>
            <w:tcW w:w="2160"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26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定金及预收款</w:t>
            </w:r>
          </w:p>
        </w:tc>
        <w:tc>
          <w:tcPr>
            <w:tcW w:w="20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12.40</w:t>
            </w:r>
          </w:p>
        </w:tc>
        <w:tc>
          <w:tcPr>
            <w:tcW w:w="21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-27.7</w:t>
            </w:r>
          </w:p>
        </w:tc>
        <w:tc>
          <w:tcPr>
            <w:tcW w:w="2160"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26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个人按揭贷款</w:t>
            </w:r>
          </w:p>
        </w:tc>
        <w:tc>
          <w:tcPr>
            <w:tcW w:w="20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7.21</w:t>
            </w:r>
          </w:p>
        </w:tc>
        <w:tc>
          <w:tcPr>
            <w:tcW w:w="21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-44.3</w:t>
            </w:r>
          </w:p>
        </w:tc>
        <w:tc>
          <w:tcPr>
            <w:tcW w:w="2160"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2608" w:type="dxa"/>
            <w:tcBorders>
              <w:top w:val="single" w:color="000000" w:sz="8" w:space="0"/>
              <w:left w:val="nil"/>
              <w:bottom w:val="single" w:color="000000" w:sz="12"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其他到位资金</w:t>
            </w:r>
          </w:p>
        </w:tc>
        <w:tc>
          <w:tcPr>
            <w:tcW w:w="2088"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0.85</w:t>
            </w:r>
          </w:p>
        </w:tc>
        <w:tc>
          <w:tcPr>
            <w:tcW w:w="2112"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-2.1</w:t>
            </w:r>
          </w:p>
        </w:tc>
        <w:tc>
          <w:tcPr>
            <w:tcW w:w="2160" w:type="dxa"/>
            <w:tcBorders>
              <w:top w:val="single" w:color="000000" w:sz="8" w:space="0"/>
              <w:left w:val="single" w:color="000000" w:sz="8" w:space="0"/>
              <w:bottom w:val="single" w:color="000000" w:sz="12"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8968" w:type="dxa"/>
            <w:gridSpan w:val="4"/>
            <w:tcBorders>
              <w:top w:val="single" w:color="000000" w:sz="12" w:space="0"/>
              <w:left w:val="nil"/>
              <w:bottom w:val="nil"/>
              <w:right w:val="nil"/>
            </w:tcBorders>
            <w:shd w:val="clear" w:color="auto" w:fill="auto"/>
            <w:vAlign w:val="top"/>
          </w:tcPr>
          <w:p>
            <w:pPr>
              <w:jc w:val="left"/>
              <w:rPr>
                <w:rFonts w:hint="eastAsia" w:ascii="仿宋_GB2312" w:hAnsi="仿宋_GB2312" w:eastAsia="仿宋_GB2312" w:cs="仿宋_GB2312"/>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注：因四舍五入存在分项总计不等于合计。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2.</w:t>
      </w:r>
      <w:r>
        <w:rPr>
          <w:rFonts w:hint="default" w:ascii="仿宋_GB2312" w:hAnsi="仿宋_GB2312" w:eastAsia="仿宋_GB2312" w:cs="仿宋_GB2312"/>
          <w:b/>
          <w:bCs/>
          <w:color w:val="auto"/>
          <w:kern w:val="0"/>
          <w:sz w:val="32"/>
          <w:szCs w:val="32"/>
          <w:highlight w:val="none"/>
          <w:lang w:val="en-US" w:eastAsia="zh-CN" w:bidi="ar"/>
        </w:rPr>
        <w:t>房企资金链抗风险压力较大。</w:t>
      </w:r>
      <w:r>
        <w:rPr>
          <w:rFonts w:hint="eastAsia" w:ascii="仿宋_GB2312" w:hAnsi="仿宋_GB2312" w:eastAsia="仿宋_GB2312" w:cs="仿宋_GB2312"/>
          <w:color w:val="auto"/>
          <w:kern w:val="0"/>
          <w:sz w:val="32"/>
          <w:szCs w:val="32"/>
          <w:highlight w:val="none"/>
          <w:lang w:val="en-US" w:eastAsia="zh-CN" w:bidi="ar"/>
        </w:rPr>
        <w:t>本年</w:t>
      </w:r>
      <w:r>
        <w:rPr>
          <w:rFonts w:hint="default" w:ascii="仿宋_GB2312" w:hAnsi="仿宋_GB2312" w:eastAsia="仿宋_GB2312" w:cs="仿宋_GB2312"/>
          <w:color w:val="auto"/>
          <w:kern w:val="0"/>
          <w:sz w:val="32"/>
          <w:szCs w:val="32"/>
          <w:highlight w:val="none"/>
          <w:lang w:val="en-US" w:eastAsia="zh-CN" w:bidi="ar"/>
        </w:rPr>
        <w:t>到位资金逾8成依赖企业自筹资金和销售回款，自筹资金1.75亿元，下降65.0%。</w:t>
      </w:r>
      <w:r>
        <w:rPr>
          <w:rFonts w:hint="eastAsia" w:ascii="仿宋_GB2312" w:hAnsi="仿宋_GB2312" w:eastAsia="仿宋_GB2312" w:cs="仿宋_GB2312"/>
          <w:color w:val="auto"/>
          <w:kern w:val="0"/>
          <w:sz w:val="32"/>
          <w:szCs w:val="32"/>
          <w:highlight w:val="none"/>
          <w:lang w:val="en-US" w:eastAsia="zh-CN" w:bidi="ar"/>
        </w:rPr>
        <w:t>上年末结余资金33.45亿元，下降35.9%，各项应付款合计共12.52亿元，比增5.5%。资金链的影响直接体现在项目的施工及销售进度上，会进一步影响后续的项目进度。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需关注的问题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土地购置费依赖明显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近年来我市房地产开发项目土地购置费成为支撑房地产开发投资增长的重要因素。2022年1-3月土地购置费投资增长19.3%，拉动房地产开发投资增长5.0个百分点。而建安工程投资仍保持负增长状态。总体上，房地产投资增长对土地购置费用依赖仍较明显，不利于我市房地产开发投资持续平稳增长。</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楷体" w:hAnsi="楷体" w:eastAsia="楷体" w:cs="楷体"/>
          <w:b w:val="0"/>
          <w:bCs/>
          <w:color w:val="auto"/>
          <w:kern w:val="0"/>
          <w:sz w:val="32"/>
          <w:szCs w:val="32"/>
          <w:highlight w:val="none"/>
          <w:lang w:val="en-US" w:eastAsia="zh-CN"/>
        </w:rPr>
      </w:pPr>
      <w:r>
        <w:rPr>
          <w:rFonts w:hint="eastAsia" w:ascii="楷体" w:hAnsi="楷体" w:eastAsia="楷体" w:cs="楷体"/>
          <w:b w:val="0"/>
          <w:bCs/>
          <w:color w:val="auto"/>
          <w:kern w:val="0"/>
          <w:sz w:val="32"/>
          <w:szCs w:val="32"/>
          <w:highlight w:val="none"/>
          <w:lang w:val="en-US" w:eastAsia="zh-CN"/>
        </w:rPr>
        <w:t>商品房库存不足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2022年1-3月，我市商品房待售面积69.37万平米，比增12%。</w:t>
      </w:r>
      <w:r>
        <w:rPr>
          <w:rFonts w:hint="eastAsia" w:ascii="仿宋_GB2312" w:hAnsi="仿宋_GB2312" w:eastAsia="仿宋_GB2312" w:cs="仿宋_GB2312"/>
          <w:b/>
          <w:bCs/>
          <w:color w:val="auto"/>
          <w:kern w:val="0"/>
          <w:sz w:val="32"/>
          <w:szCs w:val="32"/>
          <w:highlight w:val="none"/>
          <w:lang w:val="en-US" w:eastAsia="zh-CN" w:bidi="ar"/>
        </w:rPr>
        <w:t>从待售市场看，</w:t>
      </w:r>
      <w:r>
        <w:rPr>
          <w:rFonts w:hint="eastAsia" w:ascii="仿宋_GB2312" w:hAnsi="仿宋_GB2312" w:eastAsia="仿宋_GB2312" w:cs="仿宋_GB2312"/>
          <w:color w:val="auto"/>
          <w:kern w:val="0"/>
          <w:sz w:val="32"/>
          <w:szCs w:val="32"/>
          <w:highlight w:val="none"/>
          <w:lang w:val="en-US" w:eastAsia="zh-CN" w:bidi="ar"/>
        </w:rPr>
        <w:t>1-3年(含1年)的房屋待售面积27.23万平方米，增长19.6%；3年以上(含3年)的房屋待售面积21.60万平方米，下降1.6%。</w:t>
      </w:r>
      <w:r>
        <w:rPr>
          <w:rFonts w:hint="eastAsia" w:ascii="仿宋_GB2312" w:hAnsi="仿宋_GB2312" w:eastAsia="仿宋_GB2312" w:cs="仿宋_GB2312"/>
          <w:b/>
          <w:bCs/>
          <w:color w:val="auto"/>
          <w:kern w:val="0"/>
          <w:sz w:val="32"/>
          <w:szCs w:val="32"/>
          <w:highlight w:val="none"/>
          <w:lang w:val="en-US" w:eastAsia="zh-CN" w:bidi="ar"/>
        </w:rPr>
        <w:t>从房屋类型看，</w:t>
      </w:r>
      <w:r>
        <w:rPr>
          <w:rFonts w:hint="eastAsia" w:ascii="仿宋_GB2312" w:hAnsi="仿宋_GB2312" w:eastAsia="仿宋_GB2312" w:cs="仿宋_GB2312"/>
          <w:color w:val="auto"/>
          <w:kern w:val="0"/>
          <w:sz w:val="32"/>
          <w:szCs w:val="32"/>
          <w:highlight w:val="none"/>
          <w:lang w:val="en-US" w:eastAsia="zh-CN" w:bidi="ar"/>
        </w:rPr>
        <w:t>住宅类待售面积30.41万平米，增长45.3%；非住宅类待售面积38.95万平米，下降4.9%。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黑体" w:hAnsi="黑体" w:eastAsia="黑体" w:cs="黑体"/>
          <w:bCs/>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从商品房存销比上来看，近两年我市存销比低于6个月，存销比偏小，库存去化周期进一步走低，市场供应相对较弱，亟需增加土地供应或租赁用地以对冲购房市场压力。</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土地市场零成交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季度全市土地市场零成交，在库企业土地购置面积和土地成交价款均为0。现行房地产市场大环境下房企资金紧张未得到改善，居民购房意愿降低，房企拿地积极性不高。土地购置面积作为房地产开发投资主要先行指标之一，拿地量少，这将成为制约后续房地产开发投资回稳的重要因素。</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楷体" w:hAnsi="楷体" w:eastAsia="楷体" w:cs="楷体"/>
          <w:bCs/>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bidi="ar"/>
        </w:rPr>
        <w:t> </w:t>
      </w:r>
      <w:r>
        <w:rPr>
          <w:rFonts w:hint="eastAsia" w:ascii="楷体" w:hAnsi="楷体" w:eastAsia="楷体" w:cs="楷体"/>
          <w:bCs/>
          <w:color w:val="auto"/>
          <w:kern w:val="0"/>
          <w:sz w:val="32"/>
          <w:szCs w:val="32"/>
          <w:highlight w:val="none"/>
          <w:lang w:val="en-US" w:eastAsia="zh-CN"/>
        </w:rPr>
        <w:t>企业经营信心不足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从企业生产经营景气状况来看，</w:t>
      </w:r>
      <w:r>
        <w:rPr>
          <w:rFonts w:hint="eastAsia" w:ascii="仿宋_GB2312" w:hAnsi="仿宋_GB2312" w:eastAsia="仿宋_GB2312" w:cs="仿宋_GB2312"/>
          <w:color w:val="auto"/>
          <w:kern w:val="0"/>
          <w:sz w:val="32"/>
          <w:szCs w:val="32"/>
          <w:highlight w:val="none"/>
          <w:lang w:val="en-US" w:eastAsia="zh-CN" w:bidi="ar"/>
        </w:rPr>
        <w:t>企业存在招工难、资金紧张等问题，对市场观望情绪浓厚，经营信心不足，对下季度企业的经营状况持非乐观状况。34.1%的企业认为存在招工难问题，大部分是因为求职者对薪酬期望过高和符合岗位要求的应聘者减少，20%的企业存在资金紧张状况，主要由融资难、存货占用成本、贷款回笼慢、疫情影响下的销售滞慢等多方面问题造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从企业对下季度的合理预期来看，</w:t>
      </w:r>
      <w:r>
        <w:rPr>
          <w:rFonts w:hint="eastAsia" w:ascii="仿宋_GB2312" w:hAnsi="仿宋_GB2312" w:eastAsia="仿宋_GB2312" w:cs="仿宋_GB2312"/>
          <w:color w:val="auto"/>
          <w:kern w:val="0"/>
          <w:sz w:val="32"/>
          <w:szCs w:val="32"/>
          <w:highlight w:val="none"/>
          <w:lang w:val="en-US" w:eastAsia="zh-CN" w:bidi="ar"/>
        </w:rPr>
        <w:t>78.8%的企业持非乐观状态。仅2.4%的企业下季度计划追投固定资产，大部分企业持观望状态，更有18.8%的企业计划下季度减少固定资产投资。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工作建议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黑体" w:hAnsi="黑体" w:eastAsia="黑体" w:cs="黑体"/>
          <w:bCs/>
          <w:color w:val="auto"/>
          <w:kern w:val="0"/>
          <w:sz w:val="32"/>
          <w:szCs w:val="32"/>
          <w:highlight w:val="none"/>
          <w:lang w:val="en-US" w:eastAsia="zh-CN"/>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科学供给土地，确保土地市场稳健发展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eastAsia="仿宋_GB2312"/>
          <w:sz w:val="32"/>
          <w:szCs w:val="32"/>
        </w:rPr>
      </w:pPr>
      <w:r>
        <w:rPr>
          <w:rFonts w:hint="eastAsia" w:ascii="仿宋_GB2312" w:hAnsi="仿宋_GB2312" w:eastAsia="仿宋_GB2312" w:cs="仿宋_GB2312"/>
          <w:color w:val="auto"/>
          <w:kern w:val="0"/>
          <w:sz w:val="32"/>
          <w:szCs w:val="32"/>
          <w:highlight w:val="none"/>
          <w:lang w:val="en-US" w:eastAsia="zh-CN" w:bidi="ar"/>
        </w:rPr>
        <w:t>做好房地产市场分析研判、预警预测，加强市场宏观调控，相关部门认真梳理区域存量土地，根据市场需求合理配置土地供应，</w:t>
      </w:r>
      <w:r>
        <w:rPr>
          <w:rFonts w:hint="eastAsia" w:ascii="仿宋_GB2312" w:eastAsia="仿宋_GB2312"/>
          <w:sz w:val="32"/>
          <w:szCs w:val="32"/>
        </w:rPr>
        <w:t xml:space="preserve">调整土地供给结构，保障房地产开发市场平稳运行。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强化动态监测，推进项目建设进度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eastAsia="仿宋_GB2312"/>
          <w:sz w:val="32"/>
          <w:szCs w:val="32"/>
        </w:rPr>
      </w:pPr>
      <w:r>
        <w:rPr>
          <w:rFonts w:hint="eastAsia" w:ascii="仿宋_GB2312" w:hAnsi="仿宋_GB2312" w:eastAsia="仿宋_GB2312" w:cs="仿宋_GB2312"/>
          <w:color w:val="auto"/>
          <w:kern w:val="0"/>
          <w:sz w:val="32"/>
          <w:szCs w:val="32"/>
          <w:highlight w:val="none"/>
          <w:lang w:val="en-US" w:eastAsia="zh-CN" w:bidi="ar"/>
        </w:rPr>
        <w:t>及时了解房地产开发企业在项目引进、购地立项、融资周转、项目建设等环节中遇到的困难和问题，着力做好新开工项目各项指标推进问题的协调解决，加快项目建设进度，及时化</w:t>
      </w:r>
      <w:r>
        <w:rPr>
          <w:rFonts w:hint="eastAsia" w:ascii="仿宋_GB2312" w:eastAsia="仿宋_GB2312"/>
          <w:sz w:val="32"/>
          <w:szCs w:val="32"/>
        </w:rPr>
        <w:t>解各种风险，确保项目按期建成</w:t>
      </w:r>
      <w:r>
        <w:rPr>
          <w:rFonts w:hint="eastAsia" w:ascii="仿宋_GB2312" w:eastAsia="仿宋_GB2312"/>
          <w:sz w:val="32"/>
          <w:szCs w:val="32"/>
          <w:lang w:eastAsia="zh-CN"/>
        </w:rPr>
        <w:t>如期</w:t>
      </w:r>
      <w:r>
        <w:rPr>
          <w:rFonts w:hint="eastAsia" w:ascii="仿宋_GB2312" w:eastAsia="仿宋_GB2312"/>
          <w:sz w:val="32"/>
          <w:szCs w:val="32"/>
        </w:rPr>
        <w:t>交付；对已达标项目加快发放预售许可，保障市场可售房源的供应。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优化信贷政策，增强供给端资金保障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针对当前形势下房地产企业资金压力的问题，要加大信贷支持力度，强化银企对接，拓宽融资渠道，建立多元化融资渠道</w:t>
      </w:r>
      <w:r>
        <w:rPr>
          <w:rFonts w:hint="eastAsia" w:ascii="仿宋_GB2312" w:eastAsia="仿宋_GB2312"/>
          <w:sz w:val="32"/>
          <w:szCs w:val="32"/>
          <w:lang w:eastAsia="zh-CN"/>
        </w:rPr>
        <w:t>，</w:t>
      </w:r>
      <w:r>
        <w:rPr>
          <w:rFonts w:hint="eastAsia" w:ascii="仿宋_GB2312" w:eastAsia="仿宋_GB2312"/>
          <w:sz w:val="32"/>
          <w:szCs w:val="32"/>
        </w:rPr>
        <w:t>减少社会融资成本，减轻房地产企业的融资压力；在严格执行预售资金监管的前提下，结合实际调整预售许可形象进度要求，因地制宜调整预售许可办理条件。对于办理预售的项目加强预售资金监管，确保预售资金用于项目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eastAsia="仿宋_GB2312"/>
          <w:sz w:val="32"/>
          <w:szCs w:val="32"/>
          <w:lang w:eastAsia="zh-CN"/>
        </w:rPr>
      </w:pPr>
      <w:r>
        <w:rPr>
          <w:rFonts w:hint="eastAsia" w:ascii="仿宋_GB2312" w:eastAsia="仿宋_GB2312"/>
          <w:b/>
          <w:bCs/>
          <w:sz w:val="32"/>
          <w:szCs w:val="32"/>
          <w:lang w:eastAsia="zh-CN"/>
        </w:rPr>
        <w:t>综合来看，</w:t>
      </w:r>
      <w:r>
        <w:rPr>
          <w:rFonts w:hint="eastAsia" w:ascii="仿宋_GB2312" w:eastAsia="仿宋_GB2312"/>
          <w:sz w:val="32"/>
          <w:szCs w:val="32"/>
          <w:lang w:eastAsia="zh-CN"/>
        </w:rPr>
        <w:t>房地产开发企业购地、投资、融资、销售等行为正处于较为“低迷”阶段，随着房地产长效机制不断完善，因城施策效果不断显现，预计后续整体投资和销售增速或将累计同比负增长，后随着房地产市场复苏而缓慢回升。</w:t>
      </w: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0" w:firstLineChars="200"/>
        <w:jc w:val="right"/>
        <w:textAlignment w:val="auto"/>
        <w:outlineLvl w:val="9"/>
        <w:rPr>
          <w:rFonts w:hint="eastAsia" w:ascii="仿宋_GB2312" w:eastAsia="仿宋_GB2312" w:hAnsiTheme="minorEastAsia" w:cstheme="minorEastAsia"/>
          <w:kern w:val="0"/>
          <w:sz w:val="32"/>
          <w:szCs w:val="32"/>
          <w:highlight w:val="none"/>
          <w:lang w:val="en-US" w:eastAsia="zh-CN"/>
        </w:rPr>
      </w:pPr>
      <w:r>
        <w:rPr>
          <w:rFonts w:hint="eastAsia" w:ascii="仿宋_GB2312" w:eastAsia="仿宋_GB2312" w:hAnsiTheme="minorEastAsia" w:cstheme="minorEastAsia"/>
          <w:kern w:val="0"/>
          <w:sz w:val="32"/>
          <w:szCs w:val="32"/>
          <w:highlight w:val="none"/>
          <w:lang w:val="en-US" w:eastAsia="zh-CN"/>
        </w:rPr>
        <w:t>（南安市统计局　赖艺婷）</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40" w:lineRule="exact"/>
        <w:ind w:right="0" w:rightChars="0"/>
        <w:jc w:val="both"/>
        <w:outlineLvl w:val="9"/>
        <w:rPr>
          <w:rFonts w:hint="eastAsia" w:ascii="楷体" w:hAnsi="楷体" w:eastAsia="楷体" w:cs="楷体"/>
          <w:b w:val="0"/>
          <w:bCs w:val="0"/>
          <w:sz w:val="28"/>
          <w:szCs w:val="28"/>
          <w:highlight w:val="none"/>
          <w:lang w:val="en-US" w:eastAsia="zh-CN"/>
        </w:rPr>
      </w:pPr>
      <w:bookmarkStart w:id="0" w:name="_GoBack"/>
      <w:bookmarkEnd w:id="0"/>
      <w:r>
        <w:rPr>
          <w:rFonts w:hint="eastAsia" w:ascii="楷体" w:hAnsi="楷体" w:eastAsia="楷体" w:cs="楷体"/>
          <w:b w:val="0"/>
          <w:bCs w:val="0"/>
          <w:sz w:val="28"/>
          <w:szCs w:val="28"/>
          <w:highlight w:val="none"/>
          <w:lang w:val="en-US" w:eastAsia="zh-CN"/>
        </w:rPr>
        <w:t>指标解释：</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560" w:firstLineChars="200"/>
        <w:jc w:val="both"/>
        <w:outlineLvl w:val="9"/>
        <w:rPr>
          <w:rFonts w:hint="eastAsia" w:ascii="楷体" w:hAnsi="楷体" w:eastAsia="楷体" w:cs="楷体"/>
          <w:b w:val="0"/>
          <w:bCs w:val="0"/>
          <w:sz w:val="28"/>
          <w:szCs w:val="28"/>
          <w:highlight w:val="none"/>
        </w:rPr>
      </w:pPr>
      <w:r>
        <w:rPr>
          <w:rFonts w:hint="eastAsia" w:ascii="楷体" w:hAnsi="楷体" w:eastAsia="楷体" w:cs="楷体"/>
          <w:b w:val="0"/>
          <w:bCs w:val="0"/>
          <w:sz w:val="28"/>
          <w:szCs w:val="28"/>
          <w:highlight w:val="none"/>
          <w:lang w:val="en-US" w:eastAsia="zh-CN"/>
        </w:rPr>
        <w:t>[1]</w:t>
      </w:r>
      <w:r>
        <w:rPr>
          <w:rFonts w:hint="eastAsia" w:ascii="楷体" w:hAnsi="楷体" w:eastAsia="楷体" w:cs="楷体"/>
          <w:b w:val="0"/>
          <w:bCs w:val="0"/>
          <w:color w:val="auto"/>
          <w:kern w:val="0"/>
          <w:sz w:val="28"/>
          <w:szCs w:val="28"/>
          <w:highlight w:val="none"/>
          <w:lang w:val="en-US" w:eastAsia="zh-CN" w:bidi="ar"/>
        </w:rPr>
        <w:t>房地产开发投资：</w:t>
      </w:r>
      <w:r>
        <w:rPr>
          <w:rFonts w:hint="eastAsia" w:ascii="楷体" w:hAnsi="楷体" w:eastAsia="楷体" w:cs="楷体"/>
          <w:b w:val="0"/>
          <w:bCs w:val="0"/>
          <w:sz w:val="28"/>
          <w:szCs w:val="28"/>
          <w:highlight w:val="none"/>
        </w:rPr>
        <w:t>指各种登记注册类型的房地产开发法人单位统一开发的住宅、厂房、仓库、饭店、宾馆、度假村、写字楼、办公楼等房屋建筑物</w:t>
      </w:r>
      <w:r>
        <w:rPr>
          <w:rFonts w:hint="eastAsia" w:ascii="楷体" w:hAnsi="楷体" w:eastAsia="楷体" w:cs="楷体"/>
          <w:b w:val="0"/>
          <w:bCs w:val="0"/>
          <w:sz w:val="28"/>
          <w:szCs w:val="28"/>
          <w:highlight w:val="none"/>
          <w:lang w:eastAsia="zh-CN"/>
        </w:rPr>
        <w:t>、</w:t>
      </w:r>
      <w:r>
        <w:rPr>
          <w:rFonts w:hint="eastAsia" w:ascii="楷体" w:hAnsi="楷体" w:eastAsia="楷体" w:cs="楷体"/>
          <w:b w:val="0"/>
          <w:bCs w:val="0"/>
          <w:sz w:val="28"/>
          <w:szCs w:val="28"/>
          <w:highlight w:val="none"/>
        </w:rPr>
        <w:t>配套的服务设施</w:t>
      </w:r>
      <w:r>
        <w:rPr>
          <w:rFonts w:hint="eastAsia" w:ascii="楷体" w:hAnsi="楷体" w:eastAsia="楷体" w:cs="楷体"/>
          <w:b w:val="0"/>
          <w:bCs w:val="0"/>
          <w:sz w:val="28"/>
          <w:szCs w:val="28"/>
          <w:highlight w:val="none"/>
          <w:lang w:eastAsia="zh-CN"/>
        </w:rPr>
        <w:t>、</w:t>
      </w:r>
      <w:r>
        <w:rPr>
          <w:rFonts w:hint="eastAsia" w:ascii="楷体" w:hAnsi="楷体" w:eastAsia="楷体" w:cs="楷体"/>
          <w:b w:val="0"/>
          <w:bCs w:val="0"/>
          <w:sz w:val="28"/>
          <w:szCs w:val="28"/>
          <w:highlight w:val="none"/>
        </w:rPr>
        <w:t>土地开发工程和土地购置的投资;不包括单纯的土地开发和交易活动。</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560" w:firstLineChars="200"/>
        <w:jc w:val="both"/>
        <w:outlineLvl w:val="9"/>
        <w:rPr>
          <w:rFonts w:hint="eastAsia" w:ascii="楷体" w:hAnsi="楷体" w:eastAsia="楷体" w:cs="楷体"/>
          <w:b w:val="0"/>
          <w:bCs w:val="0"/>
          <w:sz w:val="28"/>
          <w:szCs w:val="28"/>
          <w:highlight w:val="none"/>
        </w:rPr>
      </w:pPr>
      <w:r>
        <w:rPr>
          <w:rFonts w:hint="eastAsia" w:ascii="楷体" w:hAnsi="楷体" w:eastAsia="楷体" w:cs="楷体"/>
          <w:b w:val="0"/>
          <w:bCs w:val="0"/>
          <w:sz w:val="28"/>
          <w:szCs w:val="28"/>
          <w:highlight w:val="none"/>
          <w:lang w:val="en-US" w:eastAsia="zh-CN"/>
        </w:rPr>
        <w:t>[2]</w:t>
      </w:r>
      <w:r>
        <w:rPr>
          <w:rFonts w:hint="eastAsia" w:ascii="楷体" w:hAnsi="楷体" w:eastAsia="楷体" w:cs="楷体"/>
          <w:b w:val="0"/>
          <w:bCs w:val="0"/>
          <w:color w:val="auto"/>
          <w:kern w:val="0"/>
          <w:sz w:val="28"/>
          <w:szCs w:val="28"/>
          <w:highlight w:val="none"/>
          <w:lang w:val="en-US" w:eastAsia="zh-CN" w:bidi="ar"/>
        </w:rPr>
        <w:t>房屋施工面积：</w:t>
      </w:r>
      <w:r>
        <w:rPr>
          <w:rFonts w:hint="eastAsia" w:ascii="楷体" w:hAnsi="楷体" w:eastAsia="楷体" w:cs="楷体"/>
          <w:b w:val="0"/>
          <w:bCs w:val="0"/>
          <w:sz w:val="28"/>
          <w:szCs w:val="28"/>
          <w:highlight w:val="none"/>
          <w:lang w:eastAsia="zh-CN"/>
        </w:rPr>
        <w:t>指报告期内施工的全部房屋建筑面积。 </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560" w:firstLineChars="200"/>
        <w:jc w:val="both"/>
        <w:outlineLvl w:val="9"/>
        <w:rPr>
          <w:rFonts w:hint="eastAsia" w:ascii="楷体" w:hAnsi="楷体" w:eastAsia="楷体" w:cs="楷体"/>
          <w:b w:val="0"/>
          <w:bCs w:val="0"/>
          <w:sz w:val="28"/>
          <w:szCs w:val="28"/>
          <w:highlight w:val="none"/>
          <w:lang w:eastAsia="zh-CN"/>
        </w:rPr>
      </w:pPr>
      <w:r>
        <w:rPr>
          <w:rFonts w:hint="eastAsia" w:ascii="楷体" w:hAnsi="楷体" w:eastAsia="楷体" w:cs="楷体"/>
          <w:b w:val="0"/>
          <w:bCs w:val="0"/>
          <w:sz w:val="28"/>
          <w:szCs w:val="28"/>
          <w:highlight w:val="none"/>
          <w:lang w:val="en-US" w:eastAsia="zh-CN"/>
        </w:rPr>
        <w:t>[3]</w:t>
      </w:r>
      <w:r>
        <w:rPr>
          <w:rFonts w:hint="eastAsia" w:ascii="楷体" w:hAnsi="楷体" w:eastAsia="楷体" w:cs="楷体"/>
          <w:b w:val="0"/>
          <w:bCs w:val="0"/>
          <w:color w:val="auto"/>
          <w:kern w:val="0"/>
          <w:sz w:val="28"/>
          <w:szCs w:val="28"/>
          <w:highlight w:val="none"/>
          <w:lang w:val="en-US" w:eastAsia="zh-CN" w:bidi="ar"/>
        </w:rPr>
        <w:t>房屋竣工面积：</w:t>
      </w:r>
      <w:r>
        <w:rPr>
          <w:rFonts w:hint="eastAsia" w:ascii="楷体" w:hAnsi="楷体" w:eastAsia="楷体" w:cs="楷体"/>
          <w:b w:val="0"/>
          <w:bCs w:val="0"/>
          <w:sz w:val="28"/>
          <w:szCs w:val="28"/>
          <w:highlight w:val="none"/>
          <w:lang w:eastAsia="zh-CN"/>
        </w:rPr>
        <w:t>指报告期内房屋建筑按照设计要求已全部完工，达到住人和使用条件，经验收鉴定合格或达到竣工验收标准，可正式移交使用的各栋房屋建筑面积的总和。竣工面积以房屋单位工程（栋）为核算对象。</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560" w:firstLineChars="200"/>
        <w:jc w:val="both"/>
        <w:outlineLvl w:val="9"/>
        <w:rPr>
          <w:rFonts w:hint="eastAsia" w:ascii="楷体" w:hAnsi="楷体" w:eastAsia="楷体" w:cs="楷体"/>
          <w:b w:val="0"/>
          <w:bCs w:val="0"/>
          <w:sz w:val="28"/>
          <w:szCs w:val="28"/>
          <w:highlight w:val="none"/>
        </w:rPr>
      </w:pPr>
      <w:r>
        <w:rPr>
          <w:rFonts w:hint="eastAsia" w:ascii="楷体" w:hAnsi="楷体" w:eastAsia="楷体" w:cs="楷体"/>
          <w:b w:val="0"/>
          <w:bCs w:val="0"/>
          <w:sz w:val="28"/>
          <w:szCs w:val="28"/>
          <w:highlight w:val="none"/>
          <w:lang w:val="en-US" w:eastAsia="zh-CN"/>
        </w:rPr>
        <w:t>[</w:t>
      </w:r>
      <w:r>
        <w:rPr>
          <w:rFonts w:hint="eastAsia" w:ascii="楷体" w:hAnsi="楷体" w:eastAsia="楷体" w:cs="楷体"/>
          <w:b w:val="0"/>
          <w:bCs w:val="0"/>
          <w:color w:val="auto"/>
          <w:kern w:val="0"/>
          <w:sz w:val="28"/>
          <w:szCs w:val="28"/>
          <w:highlight w:val="none"/>
          <w:lang w:val="en-US" w:eastAsia="zh-CN" w:bidi="ar"/>
        </w:rPr>
        <w:t>4]商品房销售面积：</w:t>
      </w:r>
      <w:r>
        <w:rPr>
          <w:rFonts w:hint="eastAsia" w:ascii="楷体" w:hAnsi="楷体" w:eastAsia="楷体" w:cs="楷体"/>
          <w:b w:val="0"/>
          <w:bCs w:val="0"/>
          <w:sz w:val="28"/>
          <w:szCs w:val="28"/>
          <w:highlight w:val="none"/>
        </w:rPr>
        <w:t>指报告期内出售商品房屋的合同总面积（即双方签署的正式买卖合同中所确定的建筑面积）。</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560" w:firstLineChars="200"/>
        <w:jc w:val="both"/>
        <w:outlineLvl w:val="9"/>
        <w:rPr>
          <w:rFonts w:hint="eastAsia" w:ascii="楷体" w:hAnsi="楷体" w:eastAsia="楷体" w:cs="楷体"/>
          <w:b w:val="0"/>
          <w:bCs w:val="0"/>
          <w:sz w:val="28"/>
          <w:szCs w:val="28"/>
          <w:highlight w:val="none"/>
        </w:rPr>
      </w:pPr>
      <w:r>
        <w:rPr>
          <w:rFonts w:hint="eastAsia" w:ascii="楷体" w:hAnsi="楷体" w:eastAsia="楷体" w:cs="楷体"/>
          <w:b w:val="0"/>
          <w:bCs w:val="0"/>
          <w:sz w:val="28"/>
          <w:szCs w:val="28"/>
          <w:highlight w:val="none"/>
          <w:lang w:val="en-US" w:eastAsia="zh-CN"/>
        </w:rPr>
        <w:t>[5]</w:t>
      </w:r>
      <w:r>
        <w:rPr>
          <w:rFonts w:hint="eastAsia" w:ascii="楷体" w:hAnsi="楷体" w:eastAsia="楷体" w:cs="楷体"/>
          <w:b w:val="0"/>
          <w:bCs w:val="0"/>
          <w:color w:val="auto"/>
          <w:kern w:val="0"/>
          <w:sz w:val="28"/>
          <w:szCs w:val="28"/>
          <w:highlight w:val="none"/>
          <w:lang w:val="en-US" w:eastAsia="zh-CN" w:bidi="ar"/>
        </w:rPr>
        <w:t>商品房销售额：</w:t>
      </w:r>
      <w:r>
        <w:rPr>
          <w:rFonts w:hint="eastAsia" w:ascii="楷体" w:hAnsi="楷体" w:eastAsia="楷体" w:cs="楷体"/>
          <w:b w:val="0"/>
          <w:bCs w:val="0"/>
          <w:sz w:val="28"/>
          <w:szCs w:val="28"/>
          <w:highlight w:val="none"/>
        </w:rPr>
        <w:t>指报告期内出售商品房屋的合同总价款（即双方签署的正式买卖合同中所确定的合同总价）。</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560" w:firstLineChars="200"/>
        <w:jc w:val="both"/>
        <w:outlineLvl w:val="9"/>
        <w:rPr>
          <w:rFonts w:hint="eastAsia" w:ascii="楷体" w:hAnsi="楷体" w:eastAsia="楷体" w:cs="楷体"/>
          <w:b w:val="0"/>
          <w:bCs w:val="0"/>
          <w:sz w:val="28"/>
          <w:szCs w:val="28"/>
          <w:highlight w:val="none"/>
          <w:lang w:val="en-US" w:eastAsia="zh-CN"/>
        </w:rPr>
      </w:pPr>
      <w:r>
        <w:rPr>
          <w:rFonts w:hint="eastAsia" w:ascii="楷体" w:hAnsi="楷体" w:eastAsia="楷体" w:cs="楷体"/>
          <w:b w:val="0"/>
          <w:bCs w:val="0"/>
          <w:sz w:val="28"/>
          <w:szCs w:val="28"/>
          <w:highlight w:val="none"/>
          <w:lang w:val="en-US" w:eastAsia="zh-CN"/>
        </w:rPr>
        <w:t>[6]</w:t>
      </w:r>
      <w:r>
        <w:rPr>
          <w:rFonts w:hint="eastAsia" w:ascii="楷体" w:hAnsi="楷体" w:eastAsia="楷体" w:cs="楷体"/>
          <w:b w:val="0"/>
          <w:bCs w:val="0"/>
          <w:color w:val="auto"/>
          <w:kern w:val="0"/>
          <w:sz w:val="28"/>
          <w:szCs w:val="28"/>
          <w:highlight w:val="none"/>
          <w:lang w:val="en-US" w:eastAsia="zh-CN" w:bidi="ar"/>
        </w:rPr>
        <w:t>待售面积：</w:t>
      </w:r>
      <w:r>
        <w:rPr>
          <w:rFonts w:hint="eastAsia" w:ascii="楷体" w:hAnsi="楷体" w:eastAsia="楷体" w:cs="楷体"/>
          <w:b w:val="0"/>
          <w:bCs w:val="0"/>
          <w:sz w:val="28"/>
          <w:szCs w:val="28"/>
          <w:highlight w:val="none"/>
        </w:rPr>
        <w:t>指报告期末已竣工的可供销售或出租的商品房屋建筑面积中</w:t>
      </w:r>
      <w:r>
        <w:rPr>
          <w:rFonts w:hint="eastAsia" w:ascii="楷体" w:hAnsi="楷体" w:eastAsia="楷体" w:cs="楷体"/>
          <w:b w:val="0"/>
          <w:bCs w:val="0"/>
          <w:sz w:val="28"/>
          <w:szCs w:val="28"/>
          <w:highlight w:val="none"/>
          <w:lang w:eastAsia="zh-CN"/>
        </w:rPr>
        <w:t>，</w:t>
      </w:r>
      <w:r>
        <w:rPr>
          <w:rFonts w:hint="eastAsia" w:ascii="楷体" w:hAnsi="楷体" w:eastAsia="楷体" w:cs="楷体"/>
          <w:b w:val="0"/>
          <w:bCs w:val="0"/>
          <w:sz w:val="28"/>
          <w:szCs w:val="28"/>
          <w:highlight w:val="none"/>
        </w:rPr>
        <w:t>尚未销售或出租的商品房屋建筑面积</w:t>
      </w:r>
      <w:r>
        <w:rPr>
          <w:rFonts w:hint="eastAsia" w:ascii="楷体" w:hAnsi="楷体" w:eastAsia="楷体" w:cs="楷体"/>
          <w:b w:val="0"/>
          <w:bCs w:val="0"/>
          <w:sz w:val="28"/>
          <w:szCs w:val="28"/>
          <w:highlight w:val="none"/>
          <w:lang w:eastAsia="zh-CN"/>
        </w:rPr>
        <w:t>。商品房存销比</w:t>
      </w:r>
      <w:r>
        <w:rPr>
          <w:rFonts w:hint="eastAsia" w:ascii="楷体" w:hAnsi="楷体" w:eastAsia="楷体" w:cs="楷体"/>
          <w:b w:val="0"/>
          <w:bCs w:val="0"/>
          <w:sz w:val="28"/>
          <w:szCs w:val="28"/>
          <w:highlight w:val="none"/>
          <w:lang w:val="en-US" w:eastAsia="zh-CN"/>
        </w:rPr>
        <w:t>=待售面积/平均销售面积。</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560" w:firstLineChars="200"/>
        <w:jc w:val="both"/>
        <w:outlineLvl w:val="9"/>
        <w:rPr>
          <w:rFonts w:hint="eastAsia" w:ascii="楷体" w:hAnsi="楷体" w:eastAsia="楷体" w:cs="楷体"/>
          <w:b w:val="0"/>
          <w:bCs w:val="0"/>
          <w:sz w:val="28"/>
          <w:szCs w:val="28"/>
          <w:highlight w:val="none"/>
        </w:rPr>
      </w:pPr>
      <w:r>
        <w:rPr>
          <w:rFonts w:hint="eastAsia" w:ascii="楷体" w:hAnsi="楷体" w:eastAsia="楷体" w:cs="楷体"/>
          <w:b w:val="0"/>
          <w:bCs w:val="0"/>
          <w:sz w:val="28"/>
          <w:szCs w:val="28"/>
          <w:highlight w:val="none"/>
          <w:lang w:val="en-US" w:eastAsia="zh-CN"/>
        </w:rPr>
        <w:t>[7]</w:t>
      </w:r>
      <w:r>
        <w:rPr>
          <w:rFonts w:hint="eastAsia" w:ascii="楷体" w:hAnsi="楷体" w:eastAsia="楷体" w:cs="楷体"/>
          <w:b w:val="0"/>
          <w:bCs w:val="0"/>
          <w:color w:val="auto"/>
          <w:kern w:val="0"/>
          <w:sz w:val="28"/>
          <w:szCs w:val="28"/>
          <w:highlight w:val="none"/>
          <w:lang w:val="en-US" w:eastAsia="zh-CN" w:bidi="ar"/>
        </w:rPr>
        <w:t>土地购置费：</w:t>
      </w:r>
      <w:r>
        <w:rPr>
          <w:rFonts w:hint="eastAsia" w:ascii="楷体" w:hAnsi="楷体" w:eastAsia="楷体" w:cs="楷体"/>
          <w:b w:val="0"/>
          <w:bCs w:val="0"/>
          <w:sz w:val="28"/>
          <w:szCs w:val="28"/>
          <w:highlight w:val="none"/>
        </w:rPr>
        <w:t>指房地产开发企业通过各种方式取得土地使用权而支付的费用。</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560" w:firstLineChars="200"/>
        <w:jc w:val="both"/>
        <w:outlineLvl w:val="9"/>
        <w:rPr>
          <w:rFonts w:hint="eastAsia" w:ascii="楷体" w:hAnsi="楷体" w:eastAsia="楷体" w:cs="楷体"/>
          <w:b w:val="0"/>
          <w:bCs w:val="0"/>
          <w:sz w:val="28"/>
          <w:szCs w:val="28"/>
          <w:highlight w:val="none"/>
        </w:rPr>
      </w:pPr>
      <w:r>
        <w:rPr>
          <w:rFonts w:hint="eastAsia" w:ascii="楷体" w:hAnsi="楷体" w:eastAsia="楷体" w:cs="楷体"/>
          <w:b w:val="0"/>
          <w:bCs w:val="0"/>
          <w:sz w:val="28"/>
          <w:szCs w:val="28"/>
          <w:highlight w:val="none"/>
          <w:lang w:val="en-US" w:eastAsia="zh-CN"/>
        </w:rPr>
        <w:t>[8]</w:t>
      </w:r>
      <w:r>
        <w:rPr>
          <w:rFonts w:hint="eastAsia" w:ascii="楷体" w:hAnsi="楷体" w:eastAsia="楷体" w:cs="楷体"/>
          <w:b w:val="0"/>
          <w:bCs w:val="0"/>
          <w:color w:val="auto"/>
          <w:kern w:val="0"/>
          <w:sz w:val="28"/>
          <w:szCs w:val="28"/>
          <w:highlight w:val="none"/>
          <w:lang w:val="en-US" w:eastAsia="zh-CN" w:bidi="ar"/>
        </w:rPr>
        <w:t>本年实际到位资金：</w:t>
      </w:r>
      <w:r>
        <w:rPr>
          <w:rFonts w:hint="eastAsia" w:ascii="楷体" w:hAnsi="楷体" w:eastAsia="楷体" w:cs="楷体"/>
          <w:b w:val="0"/>
          <w:bCs w:val="0"/>
          <w:sz w:val="28"/>
          <w:szCs w:val="28"/>
          <w:highlight w:val="none"/>
        </w:rPr>
        <w:t>指在报告期收到的</w:t>
      </w:r>
      <w:r>
        <w:rPr>
          <w:rFonts w:hint="eastAsia" w:ascii="楷体" w:hAnsi="楷体" w:eastAsia="楷体" w:cs="楷体"/>
          <w:b w:val="0"/>
          <w:bCs w:val="0"/>
          <w:sz w:val="28"/>
          <w:szCs w:val="28"/>
          <w:highlight w:val="none"/>
          <w:lang w:eastAsia="zh-CN"/>
        </w:rPr>
        <w:t>，</w:t>
      </w:r>
      <w:r>
        <w:rPr>
          <w:rFonts w:hint="eastAsia" w:ascii="楷体" w:hAnsi="楷体" w:eastAsia="楷体" w:cs="楷体"/>
          <w:b w:val="0"/>
          <w:bCs w:val="0"/>
          <w:sz w:val="28"/>
          <w:szCs w:val="28"/>
          <w:highlight w:val="none"/>
        </w:rPr>
        <w:t>用于在建项目投资的各种货币资金。包括国内贷款、利用外资、自筹资金、定金及预收款、个人按揭贷款和其他资金。</w:t>
      </w:r>
    </w:p>
    <w:p>
      <w:pPr>
        <w:pStyle w:val="2"/>
        <w:keepNext w:val="0"/>
        <w:keepLines w:val="0"/>
        <w:pageBreakBefore w:val="0"/>
        <w:widowControl w:val="0"/>
        <w:kinsoku/>
        <w:wordWrap/>
        <w:overflowPunct/>
        <w:topLinePunct w:val="0"/>
        <w:autoSpaceDE/>
        <w:autoSpaceDN/>
        <w:bidi w:val="0"/>
        <w:adjustRightInd w:val="0"/>
        <w:snapToGrid/>
        <w:spacing w:after="157" w:afterLines="50" w:line="540" w:lineRule="exact"/>
        <w:ind w:left="0" w:leftChars="0" w:right="0" w:rightChars="0" w:firstLine="560" w:firstLineChars="200"/>
        <w:jc w:val="both"/>
        <w:textAlignment w:val="baseline"/>
        <w:outlineLvl w:val="9"/>
        <w:rPr>
          <w:rFonts w:hint="eastAsia" w:ascii="楷体" w:hAnsi="楷体" w:eastAsia="楷体" w:cs="楷体"/>
          <w:b w:val="0"/>
          <w:bCs w:val="0"/>
          <w:kern w:val="2"/>
          <w:sz w:val="28"/>
          <w:szCs w:val="28"/>
          <w:highlight w:val="none"/>
          <w:lang w:val="en-US" w:eastAsia="zh-CN" w:bidi="ar-SA"/>
        </w:rPr>
      </w:pPr>
      <w:r>
        <w:rPr>
          <w:rFonts w:hint="eastAsia" w:ascii="楷体" w:hAnsi="楷体" w:eastAsia="楷体" w:cs="楷体"/>
          <w:b w:val="0"/>
          <w:bCs w:val="0"/>
          <w:sz w:val="28"/>
          <w:szCs w:val="28"/>
          <w:highlight w:val="none"/>
          <w:lang w:val="en-US" w:eastAsia="zh-CN"/>
        </w:rPr>
        <w:t>[9]本年各项应付款：</w:t>
      </w:r>
      <w:r>
        <w:rPr>
          <w:rFonts w:hint="eastAsia" w:ascii="楷体" w:hAnsi="楷体" w:eastAsia="楷体" w:cs="楷体"/>
          <w:b w:val="0"/>
          <w:bCs w:val="0"/>
          <w:kern w:val="2"/>
          <w:sz w:val="28"/>
          <w:szCs w:val="28"/>
          <w:highlight w:val="none"/>
          <w:lang w:val="en-US" w:eastAsia="zh-CN" w:bidi="ar-SA"/>
        </w:rPr>
        <w:t>指本年项目建设过程中应付未付的投资款。包括应付工程款、应付器材款、应付工资、应交税金、应交基建收入及其他应交款。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仿宋_GB2312"/>
          <w:lang w:eastAsia="zh-CN"/>
        </w:rPr>
      </w:pPr>
      <w:r>
        <w:rPr>
          <w:rFonts w:hint="eastAsia" w:eastAsia="仿宋_GB2312"/>
          <w:lang w:eastAsia="zh-CN"/>
        </w:rPr>
        <w:drawing>
          <wp:inline distT="0" distB="0" distL="114300" distR="114300">
            <wp:extent cx="868045" cy="784225"/>
            <wp:effectExtent l="0" t="0" r="635" b="8255"/>
            <wp:docPr id="4" name="图片 3"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rcode_for_gh_1eebab0522fd_258"/>
                    <pic:cNvPicPr>
                      <a:picLocks noChangeAspect="1"/>
                    </pic:cNvPicPr>
                  </pic:nvPicPr>
                  <pic:blipFill>
                    <a:blip r:embed="rId8"/>
                    <a:stretch>
                      <a:fillRect/>
                    </a:stretch>
                  </pic:blipFill>
                  <pic:spPr>
                    <a:xfrm>
                      <a:off x="0" y="0"/>
                      <a:ext cx="868045" cy="7842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lang w:val="en-US" w:eastAsia="zh-CN"/>
        </w:rPr>
      </w:pPr>
      <w:r>
        <w:rPr>
          <w:rFonts w:hint="eastAsia" w:ascii="仿宋_GB2312" w:hAnsi="仿宋_GB2312" w:eastAsia="仿宋_GB2312" w:cs="仿宋_GB2312"/>
          <w:sz w:val="24"/>
          <w:szCs w:val="24"/>
          <w:lang w:val="en-US" w:eastAsia="zh-CN"/>
        </w:rPr>
        <w:t>扫码关注南安市统计局</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9A66C"/>
    <w:multiLevelType w:val="singleLevel"/>
    <w:tmpl w:val="A729A66C"/>
    <w:lvl w:ilvl="0" w:tentative="0">
      <w:start w:val="1"/>
      <w:numFmt w:val="chineseCounting"/>
      <w:suff w:val="nothing"/>
      <w:lvlText w:val="（%1）"/>
      <w:lvlJc w:val="left"/>
      <w:pPr>
        <w:ind w:left="0" w:firstLine="420"/>
      </w:pPr>
      <w:rPr>
        <w:rFonts w:hint="eastAsia"/>
      </w:rPr>
    </w:lvl>
  </w:abstractNum>
  <w:abstractNum w:abstractNumId="1">
    <w:nsid w:val="B6BB5FF5"/>
    <w:multiLevelType w:val="singleLevel"/>
    <w:tmpl w:val="B6BB5FF5"/>
    <w:lvl w:ilvl="0" w:tentative="0">
      <w:start w:val="1"/>
      <w:numFmt w:val="chineseCounting"/>
      <w:suff w:val="nothing"/>
      <w:lvlText w:val="%1、"/>
      <w:lvlJc w:val="left"/>
      <w:rPr>
        <w:rFonts w:hint="eastAsia"/>
      </w:rPr>
    </w:lvl>
  </w:abstractNum>
  <w:abstractNum w:abstractNumId="2">
    <w:nsid w:val="5AFB74F8"/>
    <w:multiLevelType w:val="singleLevel"/>
    <w:tmpl w:val="5AFB74F8"/>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A0FDB"/>
    <w:rsid w:val="0EA57A91"/>
    <w:rsid w:val="0F331F40"/>
    <w:rsid w:val="19FE3089"/>
    <w:rsid w:val="1AB92BA0"/>
    <w:rsid w:val="1C634610"/>
    <w:rsid w:val="1F677B10"/>
    <w:rsid w:val="20EA1EC5"/>
    <w:rsid w:val="240547EF"/>
    <w:rsid w:val="257B6FF2"/>
    <w:rsid w:val="261E7B7C"/>
    <w:rsid w:val="277814CD"/>
    <w:rsid w:val="2A6327A9"/>
    <w:rsid w:val="2B293140"/>
    <w:rsid w:val="2BBF2ED3"/>
    <w:rsid w:val="2CDA0FDB"/>
    <w:rsid w:val="2EFC2BF6"/>
    <w:rsid w:val="31EB116C"/>
    <w:rsid w:val="33DD3A0C"/>
    <w:rsid w:val="34EE4224"/>
    <w:rsid w:val="35CA5580"/>
    <w:rsid w:val="36734EFF"/>
    <w:rsid w:val="3B2C3880"/>
    <w:rsid w:val="44526805"/>
    <w:rsid w:val="45651A5E"/>
    <w:rsid w:val="45A62239"/>
    <w:rsid w:val="488B61EA"/>
    <w:rsid w:val="49124238"/>
    <w:rsid w:val="500E62EF"/>
    <w:rsid w:val="539B1EA6"/>
    <w:rsid w:val="567A38A3"/>
    <w:rsid w:val="58FF10B7"/>
    <w:rsid w:val="5FB44584"/>
    <w:rsid w:val="61A540ED"/>
    <w:rsid w:val="649C30E6"/>
    <w:rsid w:val="64AD10F6"/>
    <w:rsid w:val="6BF0030B"/>
    <w:rsid w:val="6CEA2B81"/>
    <w:rsid w:val="6D4633E0"/>
    <w:rsid w:val="6FB0031F"/>
    <w:rsid w:val="70A54DE0"/>
    <w:rsid w:val="74D06679"/>
    <w:rsid w:val="75002532"/>
    <w:rsid w:val="75E44A3C"/>
    <w:rsid w:val="7B205392"/>
    <w:rsid w:val="7C72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qFormat/>
    <w:uiPriority w:val="0"/>
    <w:pPr>
      <w:adjustRightInd w:val="0"/>
      <w:spacing w:line="360" w:lineRule="atLeast"/>
      <w:ind w:firstLine="600"/>
      <w:textAlignment w:val="baseline"/>
    </w:pPr>
    <w:rPr>
      <w:rFonts w:eastAsia="宋体" w:asciiTheme="minorAscii" w:hAnsiTheme="minorAscii"/>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65288;&#9733;2&#65289;&#32479;&#35745;&#20998;&#26512;&#12289;&#20449;&#24687;&#12289;&#24635;&#32467;\&#32479;&#35745;&#20998;&#26512;\2022\2022&#24180;&#19968;&#23395;&#24230;&#20998;&#26512;\F&#38144;&#21806;&#38754;&#31215;&#20998;&#2406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22222222222222"/>
          <c:y val="0.176388888888889"/>
          <c:w val="0.938888888888889"/>
          <c:h val="0.53912037037037"/>
        </c:manualLayout>
      </c:layout>
      <c:ofPieChart>
        <c:ofPieType val="pie"/>
        <c:varyColors val="1"/>
        <c:ser>
          <c:idx val="0"/>
          <c:order val="0"/>
          <c:spPr>
            <a:ln w="6350">
              <a:solidFill>
                <a:schemeClr val="accent1"/>
              </a:solidFill>
            </a:ln>
            <a:sp3d contourW="6350"/>
          </c:spPr>
          <c:explosion val="0"/>
          <c:dPt>
            <c:idx val="0"/>
            <c:bubble3D val="0"/>
            <c:spPr>
              <a:solidFill>
                <a:schemeClr val="accent1"/>
              </a:solidFill>
              <a:ln w="6350">
                <a:solidFill>
                  <a:schemeClr val="accent1"/>
                </a:solidFill>
              </a:ln>
              <a:effectLst/>
              <a:sp3d contourW="6350"/>
            </c:spPr>
          </c:dPt>
          <c:dPt>
            <c:idx val="1"/>
            <c:bubble3D val="0"/>
            <c:spPr>
              <a:solidFill>
                <a:schemeClr val="accent1">
                  <a:lumMod val="60000"/>
                  <a:lumOff val="40000"/>
                </a:schemeClr>
              </a:solidFill>
              <a:ln w="6350">
                <a:solidFill>
                  <a:schemeClr val="accent1"/>
                </a:solidFill>
              </a:ln>
              <a:effectLst/>
              <a:sp3d contourW="6350"/>
            </c:spPr>
          </c:dPt>
          <c:dPt>
            <c:idx val="2"/>
            <c:bubble3D val="0"/>
            <c:spPr>
              <a:pattFill prst="solidDmnd">
                <a:fgClr>
                  <a:schemeClr val="accent3"/>
                </a:fgClr>
                <a:bgClr>
                  <a:schemeClr val="bg1"/>
                </a:bgClr>
              </a:pattFill>
              <a:ln w="6350">
                <a:solidFill>
                  <a:schemeClr val="accent1"/>
                </a:solidFill>
              </a:ln>
              <a:effectLst/>
              <a:sp3d contourW="6350"/>
            </c:spPr>
          </c:dPt>
          <c:dPt>
            <c:idx val="3"/>
            <c:bubble3D val="0"/>
            <c:spPr>
              <a:pattFill prst="dashHorz">
                <a:fgClr>
                  <a:srgbClr val="5B9BD5"/>
                </a:fgClr>
                <a:bgClr>
                  <a:srgbClr val="FFFFFF"/>
                </a:bgClr>
              </a:pattFill>
              <a:ln w="6350">
                <a:solidFill>
                  <a:schemeClr val="accent1"/>
                </a:solidFill>
              </a:ln>
              <a:effectLst/>
              <a:sp3d contourW="6350"/>
            </c:spPr>
          </c:dPt>
          <c:dPt>
            <c:idx val="4"/>
            <c:bubble3D val="0"/>
            <c:spPr>
              <a:pattFill prst="pct60">
                <a:fgClr>
                  <a:schemeClr val="accent5"/>
                </a:fgClr>
                <a:bgClr>
                  <a:schemeClr val="bg1"/>
                </a:bgClr>
              </a:pattFill>
              <a:ln w="6350">
                <a:solidFill>
                  <a:schemeClr val="accent1"/>
                </a:solidFill>
              </a:ln>
              <a:effectLst/>
              <a:sp3d contourW="6350"/>
            </c:spPr>
          </c:dPt>
          <c:dPt>
            <c:idx val="5"/>
            <c:bubble3D val="0"/>
            <c:spPr>
              <a:pattFill prst="lgGrid">
                <a:fgClr>
                  <a:schemeClr val="accent1"/>
                </a:fgClr>
                <a:bgClr>
                  <a:schemeClr val="bg1"/>
                </a:bgClr>
              </a:pattFill>
              <a:ln w="6350">
                <a:solidFill>
                  <a:schemeClr val="accent1"/>
                </a:solidFill>
              </a:ln>
              <a:effectLst/>
              <a:sp3d contourW="6350"/>
            </c:spPr>
          </c:dPt>
          <c:dPt>
            <c:idx val="6"/>
            <c:bubble3D val="0"/>
            <c:spPr>
              <a:pattFill prst="wdUpDiag">
                <a:fgClr>
                  <a:schemeClr val="accent1">
                    <a:lumMod val="60000"/>
                  </a:schemeClr>
                </a:fgClr>
                <a:bgClr>
                  <a:schemeClr val="bg1"/>
                </a:bgClr>
              </a:pattFill>
              <a:ln w="6350">
                <a:solidFill>
                  <a:schemeClr val="accent1"/>
                </a:solidFill>
              </a:ln>
              <a:effectLst/>
              <a:sp3d contourW="6350"/>
            </c:spPr>
          </c:dPt>
          <c:dPt>
            <c:idx val="7"/>
            <c:bubble3D val="0"/>
            <c:spPr>
              <a:pattFill prst="lgGrid">
                <a:fgClr>
                  <a:srgbClr val="5B9BD5"/>
                </a:fgClr>
                <a:bgClr>
                  <a:srgbClr val="FFFFFF"/>
                </a:bgClr>
              </a:pattFill>
              <a:ln w="6350">
                <a:solidFill>
                  <a:schemeClr val="accent1"/>
                </a:solidFill>
              </a:ln>
              <a:effectLst/>
              <a:sp3d contourW="6350"/>
            </c:spPr>
          </c:dPt>
          <c:dLbls>
            <c:dLbl>
              <c:idx val="0"/>
              <c:delete val="1"/>
            </c:dLbl>
            <c:dLbl>
              <c:idx val="1"/>
              <c:layout>
                <c:manualLayout>
                  <c:x val="-0.0468156926079677"/>
                  <c:y val="0.036036036036036"/>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0.0166435506241331"/>
                  <c:y val="-0.0225225225225225"/>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100901525658807"/>
                      <c:h val="0.107732732732733"/>
                    </c:manualLayout>
                  </c15:layout>
                </c:ext>
              </c:extLst>
            </c:dLbl>
            <c:dLbl>
              <c:idx val="3"/>
              <c:layout>
                <c:manualLayout>
                  <c:x val="-0.00416088765603327"/>
                  <c:y val="-0.0202702702702703"/>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0940284131952805"/>
                      <c:h val="0.0854349951124145"/>
                    </c:manualLayout>
                  </c15:layout>
                </c:ext>
              </c:extLst>
            </c:dLbl>
            <c:dLbl>
              <c:idx val="4"/>
              <c:layout>
                <c:manualLayout>
                  <c:x val="0.00970873786407767"/>
                  <c:y val="-0.00225225225225225"/>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125520110957004"/>
                      <c:h val="0.109797297297297"/>
                    </c:manualLayout>
                  </c15:layout>
                </c:ext>
              </c:extLst>
            </c:dLbl>
            <c:dLbl>
              <c:idx val="5"/>
              <c:layout>
                <c:manualLayout>
                  <c:x val="-0.0485436893203883"/>
                  <c:y val="0.0990990990990991"/>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6"/>
              <c:layout>
                <c:manualLayout>
                  <c:x val="-0.00416088765603329"/>
                  <c:y val="0.0788288288288288"/>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120781322237633"/>
                      <c:h val="0.111861861861862"/>
                    </c:manualLayout>
                  </c15:layout>
                </c:ext>
              </c:extLst>
            </c:dLbl>
            <c:dLbl>
              <c:idx val="7"/>
              <c:layout>
                <c:manualLayout>
                  <c:x val="-0.11373092926491"/>
                  <c:y val="-0.00675675675675676"/>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t>住宅</a:t>
                    </a:r>
                  </a:p>
                </c:rich>
              </c:tx>
              <c:dLblPos val="bestFit"/>
              <c:showLegendKey val="0"/>
              <c:showVal val="0"/>
              <c:showCatName val="1"/>
              <c:showSerName val="0"/>
              <c:showPercent val="0"/>
              <c:showBubbleSize val="0"/>
              <c:extLst>
                <c:ext xmlns:c15="http://schemas.microsoft.com/office/drawing/2012/chart" uri="{CE6537A1-D6FC-4f65-9D91-7224C49458BB}">
                  <c15:layout>
                    <c:manualLayout>
                      <c:w val="0.0744336569579288"/>
                      <c:h val="0.0726351351351351"/>
                    </c:manualLayout>
                  </c15:layout>
                </c:ext>
              </c:extLst>
            </c:dLbl>
            <c:spPr>
              <a:solidFill>
                <a:schemeClr val="bg1"/>
              </a:solid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65000"/>
                        <a:lumOff val="35000"/>
                      </a:schemeClr>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[F销售面积分布.xlsx]Sheet1!$E$11:$E$17</c:f>
              <c:strCache>
                <c:ptCount val="7"/>
                <c:pt idx="1">
                  <c:v>  办公楼</c:v>
                </c:pt>
                <c:pt idx="2">
                  <c:v>  商业营业用房</c:v>
                </c:pt>
                <c:pt idx="3">
                  <c:v>  其他</c:v>
                </c:pt>
                <c:pt idx="4">
                  <c:v>    90平方米及以下</c:v>
                </c:pt>
                <c:pt idx="5">
                  <c:v>    90-144平方米</c:v>
                </c:pt>
                <c:pt idx="6">
                  <c:v>    144平方米以上</c:v>
                </c:pt>
              </c:strCache>
            </c:strRef>
          </c:cat>
          <c:val>
            <c:numRef>
              <c:f>[F销售面积分布.xlsx]Sheet1!$F$11:$F$17</c:f>
              <c:numCache>
                <c:formatCode>General</c:formatCode>
                <c:ptCount val="7"/>
                <c:pt idx="0">
                  <c:v>0</c:v>
                </c:pt>
                <c:pt idx="1">
                  <c:v>0.5</c:v>
                </c:pt>
                <c:pt idx="2">
                  <c:v>1.75</c:v>
                </c:pt>
                <c:pt idx="3">
                  <c:v>2.16</c:v>
                </c:pt>
                <c:pt idx="4">
                  <c:v>1.97</c:v>
                </c:pt>
                <c:pt idx="5">
                  <c:v>12</c:v>
                </c:pt>
                <c:pt idx="6">
                  <c:v>1.43</c:v>
                </c:pt>
              </c:numCache>
            </c:numRef>
          </c:val>
        </c:ser>
        <c:dLbls>
          <c:showLegendKey val="0"/>
          <c:showVal val="0"/>
          <c:showCatName val="1"/>
          <c:showSerName val="0"/>
          <c:showPercent val="0"/>
          <c:showBubbleSize val="0"/>
          <c:showLeaderLines val="1"/>
        </c:dLbls>
        <c:gapWidth val="100"/>
        <c:secondPieSize val="75"/>
        <c:serLines>
          <c:spPr>
            <a:ln w="15875" cap="flat" cmpd="sng" algn="ctr">
              <a:solidFill>
                <a:schemeClr val="accent1"/>
              </a:solidFill>
              <a:round/>
            </a:ln>
            <a:effectLst/>
          </c:spPr>
        </c:serLines>
      </c:ofPieChart>
      <c:spPr>
        <a:noFill/>
        <a:ln>
          <a:noFill/>
        </a:ln>
        <a:effectLst/>
      </c:spPr>
    </c:plotArea>
    <c:legend>
      <c:legendPos val="b"/>
      <c:legendEntry>
        <c:idx val="0"/>
        <c:delete val="1"/>
      </c:legendEntry>
      <c:layout>
        <c:manualLayout>
          <c:xMode val="edge"/>
          <c:yMode val="edge"/>
          <c:x val="0.060795191863153"/>
          <c:y val="0.82000750750750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2022-04-18T01:40:00Z</dcterms:created>
  <dc:creator>ASUS</dc:creator>
  <cp:lastModifiedBy>HP</cp:lastModifiedBy>
  <cp:lastPrinted>2022-04-25T07:39:00Z</cp:lastPrinted>
  <dcterms:modified xsi:type="dcterms:W3CDTF">2022-05-06T08:42:11Z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