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7875"/>
        </w:tabs>
        <w:spacing w:line="560" w:lineRule="exact"/>
        <w:ind w:firstLine="22"/>
        <w:textAlignment w:val="baseline"/>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
          <w:bCs/>
          <w:color w:val="000000"/>
          <w:kern w:val="0"/>
          <w:sz w:val="32"/>
          <w:szCs w:val="32"/>
        </w:rPr>
        <w:t>*南简报N024号</w:t>
      </w:r>
    </w:p>
    <w:p>
      <w:pPr>
        <w:widowControl/>
        <w:spacing w:line="560" w:lineRule="exact"/>
        <w:jc w:val="center"/>
        <w:textAlignment w:val="baseline"/>
        <w:rPr>
          <w:rFonts w:hint="eastAsia" w:ascii="仿宋_GB2312" w:hAnsi="宋体"/>
          <w:color w:val="000000"/>
          <w:kern w:val="0"/>
          <w:szCs w:val="32"/>
        </w:rPr>
      </w:pPr>
    </w:p>
    <w:p>
      <w:pPr>
        <w:widowControl/>
        <w:spacing w:line="560" w:lineRule="exact"/>
        <w:ind w:firstLine="22"/>
        <w:jc w:val="center"/>
        <w:textAlignment w:val="baseline"/>
        <w:rPr>
          <w:rFonts w:hint="eastAsia" w:ascii="仿宋_GB2312" w:hAnsi="宋体"/>
          <w:color w:val="000000"/>
          <w:kern w:val="0"/>
          <w:szCs w:val="32"/>
        </w:rPr>
      </w:pPr>
      <w:r>
        <w:rPr>
          <w:rFonts w:hint="eastAsia" w:ascii="仿宋_GB2312" w:hAnsi="宋体"/>
          <w:color w:val="000000"/>
          <w:kern w:val="0"/>
          <w:szCs w:val="32"/>
        </w:rPr>
        <w:pict>
          <v:shape id="_x0000_s1026" o:spid="_x0000_s1026" o:spt="136" type="#_x0000_t136" style="position:absolute;left:0pt;margin-left:95.95pt;margin-top:140.65pt;height:72.7pt;width:424.6pt;mso-position-horizontal-relative:page;mso-position-vertical-relative:page;z-index:251658240;mso-width-relative:page;mso-height-relative:page;" fillcolor="#FF0000" filled="t" stroked="t" coordsize="21600,21600">
            <v:path/>
            <v:fill on="t" focussize="0,0"/>
            <v:stroke color="#FFFFFF" joinstyle="bevel"/>
            <v:imagedata o:title=""/>
            <o:lock v:ext="edit" grouping="f" rotation="f" text="f" aspectratio="f"/>
            <v:textpath on="t" fitshape="t" fitpath="t" trim="t" xscale="f" string="南安统计信息" style="font-family:方正大标宋简体;font-size:36pt;v-text-align:center;"/>
          </v:shape>
        </w:pict>
      </w:r>
    </w:p>
    <w:p>
      <w:pPr>
        <w:widowControl/>
        <w:spacing w:line="560" w:lineRule="exact"/>
        <w:textAlignment w:val="baseline"/>
        <w:rPr>
          <w:rFonts w:hint="eastAsia" w:ascii="仿宋_GB2312" w:hAnsi="宋体"/>
          <w:color w:val="000000"/>
          <w:kern w:val="0"/>
          <w:szCs w:val="32"/>
        </w:rPr>
      </w:pPr>
    </w:p>
    <w:p>
      <w:pPr>
        <w:widowControl/>
        <w:spacing w:line="560" w:lineRule="exact"/>
        <w:ind w:firstLine="22"/>
        <w:jc w:val="center"/>
        <w:textAlignment w:val="baseline"/>
        <w:rPr>
          <w:rFonts w:hint="eastAsia" w:ascii="仿宋_GB2312" w:hAnsi="宋体"/>
          <w:color w:val="000000"/>
          <w:kern w:val="0"/>
          <w:szCs w:val="32"/>
        </w:rPr>
      </w:pPr>
    </w:p>
    <w:p>
      <w:pPr>
        <w:widowControl/>
        <w:spacing w:line="560" w:lineRule="exact"/>
        <w:ind w:firstLine="22"/>
        <w:jc w:val="center"/>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第</w:t>
      </w:r>
      <w:r>
        <w:rPr>
          <w:rFonts w:hint="eastAsia" w:ascii="Times New Roman" w:hAnsi="Times New Roman" w:eastAsia="仿宋_GB2312" w:cs="Times New Roman"/>
          <w:color w:val="000000"/>
          <w:kern w:val="0"/>
          <w:sz w:val="32"/>
          <w:szCs w:val="32"/>
          <w:lang w:val="en-US" w:eastAsia="zh-CN"/>
        </w:rPr>
        <w:t>7</w:t>
      </w:r>
      <w:r>
        <w:rPr>
          <w:rFonts w:hint="default" w:ascii="Times New Roman" w:hAnsi="Times New Roman" w:eastAsia="仿宋_GB2312" w:cs="Times New Roman"/>
          <w:color w:val="000000"/>
          <w:kern w:val="0"/>
          <w:sz w:val="32"/>
          <w:szCs w:val="32"/>
        </w:rPr>
        <w:t>期</w:t>
      </w:r>
    </w:p>
    <w:p>
      <w:pPr>
        <w:widowControl/>
        <w:spacing w:line="560" w:lineRule="exact"/>
        <w:ind w:firstLine="22"/>
        <w:jc w:val="center"/>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南安市统计局  编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 xml:space="preserve"> 2022年4月2</w:t>
      </w:r>
      <w:r>
        <w:rPr>
          <w:rFonts w:hint="eastAsia"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日</w:t>
      </w:r>
    </w:p>
    <w:p>
      <w:pPr>
        <w:spacing w:line="560" w:lineRule="exact"/>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mc:AlternateContent>
          <mc:Choice Requires="wps">
            <w:drawing>
              <wp:anchor distT="0" distB="0" distL="114300" distR="114300" simplePos="0" relativeHeight="251659264" behindDoc="0" locked="0" layoutInCell="1" allowOverlap="1">
                <wp:simplePos x="0" y="0"/>
                <wp:positionH relativeFrom="column">
                  <wp:posOffset>-194310</wp:posOffset>
                </wp:positionH>
                <wp:positionV relativeFrom="paragraph">
                  <wp:posOffset>103505</wp:posOffset>
                </wp:positionV>
                <wp:extent cx="6125845" cy="76200"/>
                <wp:effectExtent l="7620" t="0" r="8255" b="22860"/>
                <wp:wrapNone/>
                <wp:docPr id="5" name="自选图形 3"/>
                <wp:cNvGraphicFramePr/>
                <a:graphic xmlns:a="http://schemas.openxmlformats.org/drawingml/2006/main">
                  <a:graphicData uri="http://schemas.microsoft.com/office/word/2010/wordprocessingShape">
                    <wps:wsp>
                      <wps:cNvSpPr/>
                      <wps:spPr>
                        <a:xfrm flipV="1">
                          <a:off x="0" y="0"/>
                          <a:ext cx="6125845" cy="76200"/>
                        </a:xfrm>
                        <a:prstGeom prst="flowChartProcess">
                          <a:avLst/>
                        </a:prstGeom>
                        <a:solidFill>
                          <a:srgbClr val="FF0000"/>
                        </a:solidFill>
                        <a:ln w="15875" cap="flat" cmpd="sng">
                          <a:solidFill>
                            <a:srgbClr val="FFFFFF"/>
                          </a:solidFill>
                          <a:prstDash val="solid"/>
                          <a:miter/>
                          <a:headEnd type="none" w="med" len="med"/>
                          <a:tailEnd type="none" w="med" len="med"/>
                        </a:ln>
                        <a:effectLst/>
                      </wps:spPr>
                      <wps:bodyPr upright="1"/>
                    </wps:wsp>
                  </a:graphicData>
                </a:graphic>
              </wp:anchor>
            </w:drawing>
          </mc:Choice>
          <mc:Fallback>
            <w:pict>
              <v:shape id="自选图形 3" o:spid="_x0000_s1026" o:spt="109" type="#_x0000_t109" style="position:absolute;left:0pt;flip:y;margin-left:-15.3pt;margin-top:8.15pt;height:6pt;width:482.35pt;z-index:251659264;mso-width-relative:page;mso-height-relative:page;" fillcolor="#FF0000" filled="t" stroked="t" coordsize="21600,21600" o:gfxdata="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7/h77ZAAAACQEAAA8AAAAAAAAAAQAgAAAAIgAAAGRycy9kb3du&#10;cmV2LnhtbFBLAQIUABQAAAAIAIdO4kCgQKcV/gEAAPoDAAAOAAAAAAAAAAEAIAAAACgBAABkcnMv&#10;ZTJvRG9jLnhtbFBLBQYAAAAABgAGAFkBAACYBQAAAAA=&#10;">
                <v:fill on="t" focussize="0,0"/>
                <v:stroke weight="1.25pt" color="#FFFFFF" joinstyle="miter"/>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after="313" w:afterLines="100" w:line="600"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bCs/>
          <w:kern w:val="0"/>
          <w:sz w:val="44"/>
          <w:szCs w:val="44"/>
          <w:lang w:val="en-US" w:eastAsia="zh-CN"/>
        </w:rPr>
      </w:pPr>
      <w:r>
        <w:rPr>
          <w:rFonts w:hint="eastAsia" w:ascii="方正小标宋简体" w:hAnsi="方正小标宋简体" w:eastAsia="方正小标宋简体" w:cs="方正小标宋简体"/>
          <w:bCs/>
          <w:kern w:val="0"/>
          <w:sz w:val="44"/>
          <w:szCs w:val="44"/>
          <w:lang w:val="en-US" w:eastAsia="zh-CN"/>
        </w:rPr>
        <w:t>前高后低，南安市消费市场稳中趋缓</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2021年，南安市围绕全方位推动高质量赶超目标要求，统筹疫情防控和经济社会发展，抢抓互联网市场机遇，有效推动线上消费；实施各项促消费政策，深入激活线下消费，线上线下齐发力，不断推动消费扩容，消费环境持续改善，居民消费不断增长。受上年基数抬升和疫情点状偶发影响，全市消费市场高开低走，总体保持稳中趋缓态势。</w:t>
      </w:r>
    </w:p>
    <w:p>
      <w:pPr>
        <w:keepNext w:val="0"/>
        <w:keepLines w:val="0"/>
        <w:pageBreakBefore w:val="0"/>
        <w:widowControl w:val="0"/>
        <w:numPr>
          <w:ilvl w:val="0"/>
          <w:numId w:val="1"/>
        </w:numPr>
        <w:kinsoku/>
        <w:wordWrap/>
        <w:overflowPunct/>
        <w:topLinePunct w:val="0"/>
        <w:autoSpaceDE/>
        <w:autoSpaceDN/>
        <w:bidi w:val="0"/>
        <w:snapToGrid/>
        <w:spacing w:line="560" w:lineRule="exact"/>
        <w:ind w:left="0" w:leftChars="0" w:right="0" w:rightChars="0" w:firstLine="640" w:firstLineChars="200"/>
        <w:jc w:val="both"/>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消费市场运行总体情况</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rPr>
          <w:rFonts w:hint="default" w:ascii="Times New Roman" w:hAnsi="Times New Roman" w:eastAsia="楷体" w:cs="Times New Roman"/>
          <w:b w:val="0"/>
          <w:bCs w:val="0"/>
          <w:snapToGrid w:val="0"/>
          <w:spacing w:val="0"/>
          <w:kern w:val="0"/>
          <w:sz w:val="32"/>
          <w:szCs w:val="32"/>
          <w:lang w:val="en-US" w:eastAsia="zh-CN"/>
        </w:rPr>
      </w:pPr>
      <w:r>
        <w:rPr>
          <w:rFonts w:hint="default" w:ascii="Times New Roman" w:hAnsi="Times New Roman" w:eastAsia="楷体" w:cs="Times New Roman"/>
          <w:b w:val="0"/>
          <w:bCs w:val="0"/>
          <w:sz w:val="32"/>
          <w:szCs w:val="32"/>
          <w:lang w:val="en-US" w:eastAsia="zh-CN"/>
        </w:rPr>
        <w:t>（一）高位开局，逐步回归合理区间 </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仿宋_GB2312" w:hAnsi="Times New Roman" w:eastAsia="仿宋_GB2312" w:cs="Times New Roman"/>
          <w:snapToGrid w:val="0"/>
          <w:spacing w:val="0"/>
          <w:kern w:val="0"/>
          <w:sz w:val="32"/>
          <w:szCs w:val="32"/>
          <w:lang w:val="en-US" w:eastAsia="zh-CN"/>
        </w:rPr>
      </w:pPr>
      <w:r>
        <w:rPr>
          <w:rFonts w:hint="default" w:ascii="Times New Roman" w:hAnsi="Times New Roman" w:eastAsia="仿宋_GB2312" w:cs="Times New Roman"/>
          <w:snapToGrid w:val="0"/>
          <w:spacing w:val="0"/>
          <w:kern w:val="0"/>
          <w:sz w:val="32"/>
          <w:szCs w:val="32"/>
          <w:lang w:val="en-US" w:eastAsia="zh-CN"/>
        </w:rPr>
        <w:t>2021年，全市社会消费品零售总额实现814.98亿元，同比增长10.4%，比2019年增长5.7%，两年平均增长2.8%，增速较前三季度回落3.9个百分点。从季度走势来看（图1），一季度消费品市场受同期新冠疫情低基数影响</w:t>
      </w:r>
      <w:bookmarkStart w:id="0" w:name="_GoBack"/>
      <w:bookmarkEnd w:id="0"/>
      <w:r>
        <w:rPr>
          <w:rFonts w:hint="default" w:ascii="Times New Roman" w:hAnsi="Times New Roman" w:eastAsia="仿宋_GB2312" w:cs="Times New Roman"/>
          <w:snapToGrid w:val="0"/>
          <w:spacing w:val="0"/>
          <w:kern w:val="0"/>
          <w:sz w:val="32"/>
          <w:szCs w:val="32"/>
          <w:lang w:val="en-US" w:eastAsia="zh-CN"/>
        </w:rPr>
        <w:t>高位开局，大幅增长28.3%；二季度后随着同期基数逐季提高，增速逐步回落。从两年平均增长情况来看，市场恢复基本稳定。</w:t>
      </w: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auto"/>
        <w:outlineLvl w:val="9"/>
        <w:rPr>
          <w:rFonts w:hint="eastAsia" w:ascii="仿宋_GB2312" w:hAnsi="Times New Roman" w:eastAsia="仿宋_GB2312" w:cs="Times New Roman"/>
          <w:snapToGrid w:val="0"/>
          <w:spacing w:val="0"/>
          <w:kern w:val="0"/>
          <w:sz w:val="32"/>
          <w:szCs w:val="32"/>
          <w:lang w:val="en-US" w:eastAsia="zh-CN"/>
        </w:rPr>
      </w:pPr>
      <w:r>
        <w:rPr>
          <w:rFonts w:hint="default" w:ascii="Times New Roman" w:hAnsi="Times New Roman" w:eastAsia="仿宋_GB2312" w:cs="Times New Roman"/>
          <w:snapToGrid w:val="0"/>
          <w:spacing w:val="0"/>
          <w:kern w:val="0"/>
          <w:sz w:val="32"/>
          <w:szCs w:val="32"/>
          <w:lang w:val="en-US" w:eastAsia="zh-CN"/>
        </w:rPr>
        <w:drawing>
          <wp:anchor distT="0" distB="0" distL="114300" distR="114300" simplePos="0" relativeHeight="251660288" behindDoc="1" locked="0" layoutInCell="1" allowOverlap="1">
            <wp:simplePos x="0" y="0"/>
            <wp:positionH relativeFrom="column">
              <wp:posOffset>225425</wp:posOffset>
            </wp:positionH>
            <wp:positionV relativeFrom="page">
              <wp:posOffset>1819275</wp:posOffset>
            </wp:positionV>
            <wp:extent cx="5260340" cy="3810000"/>
            <wp:effectExtent l="4445" t="4445" r="12065" b="1460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楷体" w:hAnsi="楷体" w:eastAsia="楷体" w:cs="楷体"/>
          <w:snapToGrid w:val="0"/>
          <w:spacing w:val="0"/>
          <w:kern w:val="0"/>
          <w:sz w:val="30"/>
          <w:szCs w:val="30"/>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楷体" w:hAnsi="楷体" w:eastAsia="楷体" w:cs="楷体"/>
          <w:snapToGrid w:val="0"/>
          <w:spacing w:val="0"/>
          <w:kern w:val="0"/>
          <w:sz w:val="30"/>
          <w:szCs w:val="30"/>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楷体" w:hAnsi="楷体" w:eastAsia="楷体" w:cs="楷体"/>
          <w:snapToGrid w:val="0"/>
          <w:spacing w:val="0"/>
          <w:kern w:val="0"/>
          <w:sz w:val="30"/>
          <w:szCs w:val="30"/>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楷体" w:hAnsi="楷体" w:eastAsia="楷体" w:cs="楷体"/>
          <w:snapToGrid w:val="0"/>
          <w:spacing w:val="0"/>
          <w:kern w:val="0"/>
          <w:sz w:val="30"/>
          <w:szCs w:val="30"/>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楷体" w:hAnsi="楷体" w:eastAsia="楷体" w:cs="楷体"/>
          <w:snapToGrid w:val="0"/>
          <w:spacing w:val="0"/>
          <w:kern w:val="0"/>
          <w:sz w:val="30"/>
          <w:szCs w:val="30"/>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楷体" w:hAnsi="楷体" w:eastAsia="楷体" w:cs="楷体"/>
          <w:snapToGrid w:val="0"/>
          <w:spacing w:val="0"/>
          <w:kern w:val="0"/>
          <w:sz w:val="30"/>
          <w:szCs w:val="30"/>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楷体" w:hAnsi="楷体" w:eastAsia="楷体" w:cs="楷体"/>
          <w:snapToGrid w:val="0"/>
          <w:spacing w:val="0"/>
          <w:kern w:val="0"/>
          <w:sz w:val="30"/>
          <w:szCs w:val="30"/>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楷体" w:hAnsi="楷体" w:eastAsia="楷体" w:cs="楷体"/>
          <w:snapToGrid w:val="0"/>
          <w:spacing w:val="0"/>
          <w:kern w:val="0"/>
          <w:sz w:val="30"/>
          <w:szCs w:val="30"/>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楷体" w:hAnsi="楷体" w:eastAsia="楷体" w:cs="楷体"/>
          <w:snapToGrid w:val="0"/>
          <w:spacing w:val="0"/>
          <w:kern w:val="0"/>
          <w:sz w:val="30"/>
          <w:szCs w:val="30"/>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0" w:firstLineChars="0"/>
        <w:jc w:val="center"/>
        <w:textAlignment w:val="auto"/>
        <w:outlineLvl w:val="9"/>
        <w:rPr>
          <w:rFonts w:hint="eastAsia" w:ascii="楷体" w:hAnsi="楷体" w:eastAsia="楷体" w:cs="楷体"/>
          <w:snapToGrid w:val="0"/>
          <w:spacing w:val="0"/>
          <w:kern w:val="0"/>
          <w:sz w:val="30"/>
          <w:szCs w:val="30"/>
          <w:lang w:val="en-US" w:eastAsia="zh-CN"/>
        </w:rPr>
      </w:pPr>
      <w:r>
        <w:rPr>
          <w:rFonts w:hint="eastAsia" w:ascii="楷体" w:hAnsi="楷体" w:eastAsia="楷体" w:cs="楷体"/>
          <w:snapToGrid w:val="0"/>
          <w:spacing w:val="0"/>
          <w:kern w:val="0"/>
          <w:sz w:val="30"/>
          <w:szCs w:val="30"/>
          <w:lang w:val="en-US" w:eastAsia="zh-CN"/>
        </w:rPr>
        <w:t>图1  2021年南安市社会消费品零售总额增长情况</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560" w:lineRule="exact"/>
        <w:ind w:left="0" w:leftChars="0" w:right="0" w:rightChars="0" w:firstLine="640" w:firstLineChars="200"/>
        <w:jc w:val="both"/>
        <w:textAlignment w:val="auto"/>
        <w:outlineLvl w:val="9"/>
        <w:rPr>
          <w:rFonts w:hint="default" w:ascii="Times New Roman" w:hAnsi="Times New Roman" w:eastAsia="楷体" w:cs="Times New Roman"/>
          <w:b w:val="0"/>
          <w:bCs w:val="0"/>
          <w:snapToGrid w:val="0"/>
          <w:spacing w:val="0"/>
          <w:kern w:val="0"/>
          <w:sz w:val="32"/>
          <w:szCs w:val="32"/>
          <w:lang w:val="en-US" w:eastAsia="zh-CN"/>
        </w:rPr>
      </w:pPr>
      <w:r>
        <w:rPr>
          <w:rFonts w:hint="default" w:ascii="Times New Roman" w:hAnsi="Times New Roman" w:eastAsia="楷体" w:cs="Times New Roman"/>
          <w:b w:val="0"/>
          <w:bCs w:val="0"/>
          <w:sz w:val="32"/>
          <w:szCs w:val="32"/>
          <w:lang w:val="en-US" w:eastAsia="zh-CN"/>
        </w:rPr>
        <w:t>（二）稳步发展，</w:t>
      </w:r>
      <w:r>
        <w:rPr>
          <w:rFonts w:hint="default" w:ascii="Times New Roman" w:hAnsi="Times New Roman" w:eastAsia="楷体" w:cs="Times New Roman"/>
          <w:b w:val="0"/>
          <w:bCs w:val="0"/>
          <w:sz w:val="32"/>
          <w:szCs w:val="32"/>
          <w:highlight w:val="none"/>
          <w:lang w:val="en-US" w:eastAsia="zh-CN"/>
        </w:rPr>
        <w:t>限上限下结构稳定</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b w:val="0"/>
          <w:bCs w:val="0"/>
          <w:sz w:val="32"/>
          <w:szCs w:val="32"/>
          <w:lang w:val="en-US" w:eastAsia="zh-CN"/>
        </w:rPr>
      </w:pPr>
      <w:r>
        <w:rPr>
          <w:rFonts w:hint="default" w:ascii="Times New Roman" w:hAnsi="Times New Roman" w:eastAsia="仿宋_GB2312" w:cs="Times New Roman"/>
          <w:snapToGrid w:val="0"/>
          <w:spacing w:val="0"/>
          <w:kern w:val="0"/>
          <w:sz w:val="32"/>
          <w:szCs w:val="32"/>
          <w:lang w:val="en-US" w:eastAsia="zh-CN"/>
        </w:rPr>
        <w:t>今年以来，社会消费品零售总额中限额以上与限额以下结构保持稳定，比例约2:8，限上限下双重发力，有效促进全社会消费品零售总额稳步发展。其中，限额以上单位消费品零售额实现172.44亿元，同比增长12.2%，比2019年下降2.4%，两年平均下降1.2%；限额以下单位消费品零售额实现642.54亿元，同比增长9.9%，比2019年增长8.2%，两年平均增长4.0%。限额以下单位消费品零售额保持稳定增长态势，占比达78.8%，是全市消费市场恢复的重要支撑。</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val="0"/>
          <w:bCs w:val="0"/>
          <w:sz w:val="32"/>
          <w:szCs w:val="32"/>
          <w:lang w:val="en-US" w:eastAsia="zh-CN"/>
        </w:rPr>
        <w:t>（三）共同繁荣，乡</w:t>
      </w:r>
      <w:r>
        <w:rPr>
          <w:rFonts w:hint="default" w:ascii="Times New Roman" w:hAnsi="Times New Roman" w:eastAsia="楷体" w:cs="Times New Roman"/>
          <w:b w:val="0"/>
          <w:bCs w:val="0"/>
          <w:sz w:val="32"/>
          <w:szCs w:val="32"/>
          <w:highlight w:val="none"/>
          <w:lang w:val="en-US" w:eastAsia="zh-CN"/>
        </w:rPr>
        <w:t>村市场增速高于</w:t>
      </w:r>
      <w:r>
        <w:rPr>
          <w:rFonts w:hint="default" w:ascii="Times New Roman" w:hAnsi="Times New Roman" w:eastAsia="楷体" w:cs="Times New Roman"/>
          <w:b w:val="0"/>
          <w:bCs w:val="0"/>
          <w:sz w:val="32"/>
          <w:szCs w:val="32"/>
          <w:lang w:val="en-US" w:eastAsia="zh-CN"/>
        </w:rPr>
        <w:t>城镇</w:t>
      </w:r>
      <w:r>
        <w:rPr>
          <w:rFonts w:hint="default" w:ascii="Times New Roman" w:hAnsi="Times New Roman" w:eastAsia="楷体" w:cs="Times New Roman"/>
          <w:b/>
          <w:bCs/>
          <w:sz w:val="32"/>
          <w:szCs w:val="32"/>
          <w:lang w:val="en-US" w:eastAsia="zh-CN"/>
        </w:rPr>
        <w:t> </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spacing w:val="0"/>
          <w:kern w:val="0"/>
          <w:sz w:val="32"/>
          <w:szCs w:val="32"/>
          <w:lang w:val="en-US" w:eastAsia="zh-CN"/>
        </w:rPr>
      </w:pPr>
      <w:r>
        <w:rPr>
          <w:rFonts w:hint="default" w:ascii="Times New Roman" w:hAnsi="Times New Roman" w:eastAsia="仿宋_GB2312" w:cs="Times New Roman"/>
          <w:snapToGrid w:val="0"/>
          <w:spacing w:val="0"/>
          <w:kern w:val="0"/>
          <w:sz w:val="32"/>
          <w:szCs w:val="32"/>
          <w:lang w:val="en-US" w:eastAsia="zh-CN"/>
        </w:rPr>
        <w:t>随着农村网络、物流等相关基础设施建设的逐步完善，乡村消费市场环境不断改善，消费潜力持续释放。从城乡消费品市场看，限上乡村消费品零售额完成11.23亿元，较上年增长79.3%，增速分别比一季度、上半年和前三季度增长26.1、26.2和10.5个百分点。 限上城镇消费品零售额完成161.21亿元，较上年增长9.3%，增速分别比一季度、上半年和前三季度回落26.9、17.7和4.5个百分点。乡村市场比城镇市场增幅高70.0个百分点，乡村振兴战略成效显著。</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val="0"/>
          <w:bCs w:val="0"/>
          <w:sz w:val="32"/>
          <w:szCs w:val="32"/>
          <w:lang w:val="en-US" w:eastAsia="zh-CN"/>
        </w:rPr>
        <w:t>（四）同步回暖，商品零售占据主导</w:t>
      </w:r>
      <w:r>
        <w:rPr>
          <w:rFonts w:hint="default" w:ascii="Times New Roman" w:hAnsi="Times New Roman" w:eastAsia="楷体" w:cs="Times New Roman"/>
          <w:b/>
          <w:bCs/>
          <w:sz w:val="32"/>
          <w:szCs w:val="32"/>
          <w:lang w:val="en-US" w:eastAsia="zh-CN"/>
        </w:rPr>
        <w:t> </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spacing w:val="0"/>
          <w:kern w:val="0"/>
          <w:sz w:val="32"/>
          <w:szCs w:val="32"/>
          <w:lang w:val="en-US" w:eastAsia="zh-CN"/>
        </w:rPr>
      </w:pPr>
      <w:r>
        <w:rPr>
          <w:rFonts w:hint="default" w:ascii="Times New Roman" w:hAnsi="Times New Roman" w:eastAsia="仿宋_GB2312" w:cs="Times New Roman"/>
          <w:snapToGrid w:val="0"/>
          <w:spacing w:val="0"/>
          <w:kern w:val="0"/>
          <w:sz w:val="32"/>
          <w:szCs w:val="32"/>
          <w:lang w:val="en-US" w:eastAsia="zh-CN"/>
        </w:rPr>
        <w:t>从消费形态看，限上商品零售实现167.64亿元，较上年增长11.5%，增速分别比一季度、上半年和前三季度回落24.7、15.8和3.9个百分点；餐饮收入4.80亿元，增长43.3%，增速分别比一季度、上半年和前三季度回落47.3、44.7和7.3个百分点。商品零售占限上社会消费品零售总额比重达97.2%，仍是全市限上消费市场的主体。</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二、消费市场运行特点</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val="0"/>
          <w:bCs w:val="0"/>
          <w:sz w:val="32"/>
          <w:szCs w:val="32"/>
          <w:lang w:val="en-US" w:eastAsia="zh-CN"/>
        </w:rPr>
        <w:t>（一）新增企业数创历史新高</w:t>
      </w:r>
      <w:r>
        <w:rPr>
          <w:rFonts w:hint="default" w:ascii="Times New Roman" w:hAnsi="Times New Roman" w:eastAsia="楷体" w:cs="Times New Roman"/>
          <w:b/>
          <w:bCs/>
          <w:sz w:val="32"/>
          <w:szCs w:val="32"/>
          <w:lang w:val="en-US" w:eastAsia="zh-CN"/>
        </w:rPr>
        <w:t> </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hint="eastAsia" w:ascii="仿宋_GB2312" w:hAnsi="Times New Roman" w:eastAsia="仿宋_GB2312" w:cs="Times New Roman"/>
          <w:snapToGrid w:val="0"/>
          <w:spacing w:val="0"/>
          <w:kern w:val="0"/>
          <w:sz w:val="28"/>
          <w:szCs w:val="28"/>
          <w:lang w:val="en-US" w:eastAsia="zh-CN"/>
        </w:rPr>
      </w:pPr>
      <w:r>
        <w:rPr>
          <w:rFonts w:hint="default" w:ascii="Times New Roman" w:hAnsi="Times New Roman" w:eastAsia="仿宋_GB2312" w:cs="Times New Roman"/>
          <w:snapToGrid w:val="0"/>
          <w:spacing w:val="0"/>
          <w:kern w:val="0"/>
          <w:sz w:val="32"/>
          <w:szCs w:val="32"/>
          <w:highlight w:val="none"/>
          <w:lang w:val="en-US" w:eastAsia="zh-CN"/>
        </w:rPr>
        <w:t>2021年，市委市政府高度重视，相关部门和乡镇（街道）共同努力，推动出台培育企业做大做强配套奖励政策，全力鼓励支持企业“小升规”。</w:t>
      </w:r>
      <w:r>
        <w:rPr>
          <w:rFonts w:hint="default" w:ascii="Times New Roman" w:hAnsi="Times New Roman" w:eastAsia="仿宋_GB2312" w:cs="Times New Roman"/>
          <w:snapToGrid w:val="0"/>
          <w:spacing w:val="0"/>
          <w:kern w:val="0"/>
          <w:sz w:val="32"/>
          <w:szCs w:val="32"/>
          <w:lang w:val="en-US" w:eastAsia="zh-CN"/>
        </w:rPr>
        <w:t>截至2022年1月，全市年度及月度新增商业企业133家，比上年增加14家。其中</w:t>
      </w:r>
      <w:r>
        <w:rPr>
          <w:rFonts w:hint="default" w:ascii="Times New Roman" w:hAnsi="Times New Roman" w:eastAsia="仿宋" w:cs="Times New Roman"/>
          <w:sz w:val="32"/>
          <w:szCs w:val="32"/>
        </w:rPr>
        <w:t>，批发业</w:t>
      </w:r>
      <w:r>
        <w:rPr>
          <w:rFonts w:hint="default" w:ascii="Times New Roman" w:hAnsi="Times New Roman" w:eastAsia="仿宋" w:cs="Times New Roman"/>
          <w:sz w:val="32"/>
          <w:szCs w:val="32"/>
          <w:lang w:val="en-US" w:eastAsia="zh-CN"/>
        </w:rPr>
        <w:t>76</w:t>
      </w:r>
      <w:r>
        <w:rPr>
          <w:rFonts w:hint="default" w:ascii="Times New Roman" w:hAnsi="Times New Roman" w:eastAsia="仿宋" w:cs="Times New Roman"/>
          <w:sz w:val="32"/>
          <w:szCs w:val="32"/>
        </w:rPr>
        <w:t>家，</w:t>
      </w:r>
      <w:r>
        <w:rPr>
          <w:rFonts w:hint="default" w:ascii="Times New Roman" w:hAnsi="Times New Roman" w:eastAsia="仿宋_GB2312" w:cs="Times New Roman"/>
          <w:snapToGrid w:val="0"/>
          <w:spacing w:val="0"/>
          <w:kern w:val="0"/>
          <w:sz w:val="32"/>
          <w:szCs w:val="32"/>
          <w:lang w:val="en-US" w:eastAsia="zh-CN"/>
        </w:rPr>
        <w:t>零售业51家，住宿业4家，餐饮业2家，创下近年来最好成绩，应统尽统及达限企业培育工作取得显著成效，为全市消费市场稳定发展提供有力支撑。</w:t>
      </w: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仿宋_GB2312" w:hAnsi="Times New Roman" w:eastAsia="仿宋_GB2312" w:cs="Times New Roman"/>
          <w:snapToGrid w:val="0"/>
          <w:spacing w:val="0"/>
          <w:kern w:val="0"/>
          <w:sz w:val="28"/>
          <w:szCs w:val="28"/>
          <w:lang w:val="en-US" w:eastAsia="zh-CN"/>
        </w:rPr>
      </w:pPr>
      <w:r>
        <w:rPr>
          <w:rFonts w:hint="eastAsia" w:ascii="仿宋_GB2312" w:hAnsi="Times New Roman" w:eastAsia="仿宋_GB2312" w:cs="Times New Roman"/>
          <w:snapToGrid w:val="0"/>
          <w:spacing w:val="0"/>
          <w:kern w:val="0"/>
          <w:sz w:val="32"/>
          <w:szCs w:val="32"/>
          <w:lang w:val="en-US" w:eastAsia="zh-CN"/>
        </w:rPr>
        <w:drawing>
          <wp:anchor distT="0" distB="0" distL="114300" distR="114300" simplePos="0" relativeHeight="251660288" behindDoc="1" locked="0" layoutInCell="1" allowOverlap="1">
            <wp:simplePos x="0" y="0"/>
            <wp:positionH relativeFrom="column">
              <wp:posOffset>118745</wp:posOffset>
            </wp:positionH>
            <wp:positionV relativeFrom="page">
              <wp:posOffset>2486025</wp:posOffset>
            </wp:positionV>
            <wp:extent cx="5511800" cy="4147820"/>
            <wp:effectExtent l="4445" t="5080" r="8255" b="1905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仿宋_GB2312" w:hAnsi="Times New Roman" w:eastAsia="仿宋_GB2312" w:cs="Times New Roman"/>
          <w:snapToGrid w:val="0"/>
          <w:spacing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仿宋_GB2312" w:hAnsi="Times New Roman" w:eastAsia="仿宋_GB2312" w:cs="Times New Roman"/>
          <w:snapToGrid w:val="0"/>
          <w:spacing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仿宋_GB2312" w:hAnsi="Times New Roman" w:eastAsia="仿宋_GB2312" w:cs="Times New Roman"/>
          <w:snapToGrid w:val="0"/>
          <w:spacing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仿宋_GB2312" w:hAnsi="Times New Roman" w:eastAsia="仿宋_GB2312" w:cs="Times New Roman"/>
          <w:snapToGrid w:val="0"/>
          <w:spacing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仿宋_GB2312" w:hAnsi="Times New Roman" w:eastAsia="仿宋_GB2312" w:cs="Times New Roman"/>
          <w:snapToGrid w:val="0"/>
          <w:spacing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仿宋_GB2312" w:hAnsi="Times New Roman" w:eastAsia="仿宋_GB2312" w:cs="Times New Roman"/>
          <w:snapToGrid w:val="0"/>
          <w:spacing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仿宋_GB2312" w:hAnsi="Times New Roman" w:eastAsia="仿宋_GB2312" w:cs="Times New Roman"/>
          <w:snapToGrid w:val="0"/>
          <w:spacing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仿宋_GB2312" w:hAnsi="Times New Roman" w:eastAsia="仿宋_GB2312" w:cs="Times New Roman"/>
          <w:snapToGrid w:val="0"/>
          <w:spacing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仿宋_GB2312" w:hAnsi="Times New Roman" w:eastAsia="仿宋_GB2312" w:cs="Times New Roman"/>
          <w:snapToGrid w:val="0"/>
          <w:spacing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0" w:firstLineChars="0"/>
        <w:jc w:val="both"/>
        <w:textAlignment w:val="auto"/>
        <w:outlineLvl w:val="9"/>
        <w:rPr>
          <w:rFonts w:hint="eastAsia" w:ascii="楷体" w:hAnsi="楷体" w:eastAsia="楷体" w:cs="楷体"/>
          <w:snapToGrid w:val="0"/>
          <w:spacing w:val="0"/>
          <w:kern w:val="0"/>
          <w:sz w:val="30"/>
          <w:szCs w:val="30"/>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0" w:firstLineChars="0"/>
        <w:jc w:val="center"/>
        <w:textAlignment w:val="auto"/>
        <w:outlineLvl w:val="9"/>
        <w:rPr>
          <w:rFonts w:hint="eastAsia" w:ascii="仿宋_GB2312" w:hAnsi="Times New Roman" w:eastAsia="仿宋_GB2312" w:cs="Times New Roman"/>
          <w:snapToGrid w:val="0"/>
          <w:spacing w:val="0"/>
          <w:kern w:val="0"/>
          <w:sz w:val="28"/>
          <w:szCs w:val="28"/>
          <w:lang w:val="en-US" w:eastAsia="zh-CN"/>
        </w:rPr>
      </w:pPr>
      <w:r>
        <w:rPr>
          <w:rFonts w:hint="eastAsia" w:ascii="楷体" w:hAnsi="楷体" w:eastAsia="楷体" w:cs="楷体"/>
          <w:snapToGrid w:val="0"/>
          <w:spacing w:val="0"/>
          <w:kern w:val="0"/>
          <w:sz w:val="30"/>
          <w:szCs w:val="30"/>
          <w:lang w:val="en-US" w:eastAsia="zh-CN"/>
        </w:rPr>
        <w:t>图2  2017-2021年南安市限额以上商业企业新增入库情况</w:t>
      </w:r>
    </w:p>
    <w:p>
      <w:pPr>
        <w:keepNext w:val="0"/>
        <w:keepLines w:val="0"/>
        <w:pageBreakBefore w:val="0"/>
        <w:widowControl w:val="0"/>
        <w:kinsoku/>
        <w:wordWrap/>
        <w:overflowPunct/>
        <w:topLinePunct w:val="0"/>
        <w:autoSpaceDE/>
        <w:autoSpaceDN/>
        <w:bidi w:val="0"/>
        <w:adjustRightInd w:val="0"/>
        <w:snapToGrid/>
        <w:spacing w:before="157" w:beforeLines="50" w:line="560" w:lineRule="exact"/>
        <w:ind w:left="0" w:leftChars="0" w:right="0" w:rightChars="0"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（二）基本生活类商品消费稳定增长</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从商品类别看，全市限额以上单位大多数商品类别零售随着疫情防控及多项促消费政策成效释放，消费市场复苏明显，市场运行逐步好转。1-12月，全市限上单位18个主要零售商品类别中，有12类商品零售额同比实现增长，其中9类商品增幅超过15%，刚性消费需求逐步回暖。限额以上商品类值中</w:t>
      </w:r>
      <w:r>
        <w:rPr>
          <w:rFonts w:hint="default" w:ascii="Times New Roman" w:hAnsi="Times New Roman" w:eastAsia="仿宋_GB2312" w:cs="Times New Roman"/>
          <w:i w:val="0"/>
          <w:iCs w:val="0"/>
          <w:caps w:val="0"/>
          <w:color w:val="333333"/>
          <w:spacing w:val="0"/>
          <w:kern w:val="0"/>
          <w:sz w:val="24"/>
          <w:szCs w:val="24"/>
          <w:shd w:val="clear" w:fill="FFFFFF"/>
          <w:lang w:val="en-US" w:eastAsia="zh-CN" w:bidi="ar"/>
        </w:rPr>
        <w:t>，</w:t>
      </w:r>
      <w:r>
        <w:rPr>
          <w:rFonts w:hint="default" w:ascii="Times New Roman" w:hAnsi="Times New Roman" w:eastAsia="仿宋_GB2312" w:cs="Times New Roman"/>
          <w:color w:val="auto"/>
          <w:sz w:val="32"/>
          <w:szCs w:val="32"/>
          <w:highlight w:val="none"/>
          <w:lang w:val="en-US" w:eastAsia="zh-CN"/>
        </w:rPr>
        <w:t>基本生活类商品零售额41.85亿元，增长45.0%。其中，粮油食品类、烟酒类、服装鞋帽针纺织品类和日用品类商品继续保</w:t>
      </w:r>
      <w:r>
        <w:rPr>
          <w:rFonts w:hint="default" w:ascii="Times New Roman" w:hAnsi="Times New Roman" w:eastAsia="仿宋_GB2312" w:cs="Times New Roman"/>
          <w:sz w:val="32"/>
          <w:szCs w:val="32"/>
          <w:lang w:val="en-US" w:eastAsia="zh-CN"/>
        </w:rPr>
        <w:t>持两位数增长；尤其是粮油食品类和服装鞋帽针纺织品类，春节效应凸显，12月当月增势强劲，分别增长83.5%、129.6%，有力支撑消费品市场平稳恢复。</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（三）消费升级类商品零售增势较好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000000"/>
          <w:spacing w:val="0"/>
          <w:sz w:val="32"/>
          <w:szCs w:val="32"/>
          <w:shd w:val="clear" w:fill="FFFFFF"/>
        </w:rPr>
      </w:pPr>
      <w:r>
        <w:rPr>
          <w:rFonts w:hint="default" w:ascii="Times New Roman" w:hAnsi="Times New Roman" w:eastAsia="仿宋_GB2312" w:cs="Times New Roman"/>
          <w:sz w:val="32"/>
          <w:szCs w:val="32"/>
          <w:lang w:val="en-US" w:eastAsia="zh-CN"/>
        </w:rPr>
        <w:t>全年限额以上商品类值中，</w:t>
      </w:r>
      <w:r>
        <w:rPr>
          <w:rFonts w:hint="default" w:ascii="Times New Roman" w:hAnsi="Times New Roman" w:eastAsia="仿宋_GB2312" w:cs="Times New Roman"/>
          <w:i w:val="0"/>
          <w:iCs w:val="0"/>
          <w:caps w:val="0"/>
          <w:color w:val="000000"/>
          <w:spacing w:val="0"/>
          <w:sz w:val="32"/>
          <w:szCs w:val="32"/>
          <w:shd w:val="clear" w:fill="FFFFFF"/>
        </w:rPr>
        <w:t>文化办公用品类</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通讯器材类</w:t>
      </w:r>
      <w:r>
        <w:rPr>
          <w:rFonts w:hint="default" w:ascii="Times New Roman" w:hAnsi="Times New Roman" w:eastAsia="仿宋_GB2312" w:cs="Times New Roman"/>
          <w:i w:val="0"/>
          <w:iCs w:val="0"/>
          <w:caps w:val="0"/>
          <w:color w:val="000000"/>
          <w:spacing w:val="0"/>
          <w:sz w:val="32"/>
          <w:szCs w:val="32"/>
          <w:shd w:val="clear" w:fill="FFFFFF"/>
          <w:lang w:val="en-US" w:eastAsia="zh-CN"/>
        </w:rPr>
        <w:t>、家用电器及音像器材类</w:t>
      </w:r>
      <w:r>
        <w:rPr>
          <w:rFonts w:hint="default" w:ascii="Times New Roman" w:hAnsi="Times New Roman" w:eastAsia="仿宋_GB2312" w:cs="Times New Roman"/>
          <w:i w:val="0"/>
          <w:iCs w:val="0"/>
          <w:caps w:val="0"/>
          <w:color w:val="000000"/>
          <w:spacing w:val="0"/>
          <w:sz w:val="32"/>
          <w:szCs w:val="32"/>
          <w:shd w:val="clear" w:fill="FFFFFF"/>
        </w:rPr>
        <w:t>商品保持较快增长，同比分别增长</w:t>
      </w:r>
      <w:r>
        <w:rPr>
          <w:rFonts w:hint="default" w:ascii="Times New Roman" w:hAnsi="Times New Roman" w:eastAsia="仿宋_GB2312" w:cs="Times New Roman"/>
          <w:i w:val="0"/>
          <w:iCs w:val="0"/>
          <w:caps w:val="0"/>
          <w:color w:val="000000"/>
          <w:spacing w:val="0"/>
          <w:sz w:val="32"/>
          <w:szCs w:val="32"/>
          <w:shd w:val="clear" w:fill="FFFFFF"/>
          <w:lang w:val="en-US" w:eastAsia="zh-CN"/>
        </w:rPr>
        <w:t>118.5</w:t>
      </w:r>
      <w:r>
        <w:rPr>
          <w:rFonts w:hint="default" w:ascii="Times New Roman" w:hAnsi="Times New Roman" w:eastAsia="仿宋_GB2312" w:cs="Times New Roman"/>
          <w:i w:val="0"/>
          <w:iCs w:val="0"/>
          <w:caps w:val="0"/>
          <w:color w:val="000000"/>
          <w:spacing w:val="0"/>
          <w:sz w:val="32"/>
          <w:szCs w:val="32"/>
          <w:shd w:val="clear" w:fill="FFFFFF"/>
        </w:rPr>
        <w:t>%、</w:t>
      </w:r>
      <w:r>
        <w:rPr>
          <w:rFonts w:hint="default" w:ascii="Times New Roman" w:hAnsi="Times New Roman" w:eastAsia="仿宋_GB2312" w:cs="Times New Roman"/>
          <w:i w:val="0"/>
          <w:iCs w:val="0"/>
          <w:caps w:val="0"/>
          <w:color w:val="000000"/>
          <w:spacing w:val="0"/>
          <w:sz w:val="32"/>
          <w:szCs w:val="32"/>
          <w:shd w:val="clear" w:fill="FFFFFF"/>
          <w:lang w:val="en-US" w:eastAsia="zh-CN"/>
        </w:rPr>
        <w:t>166.7</w:t>
      </w:r>
      <w:r>
        <w:rPr>
          <w:rFonts w:hint="default" w:ascii="Times New Roman" w:hAnsi="Times New Roman" w:eastAsia="仿宋_GB2312" w:cs="Times New Roman"/>
          <w:i w:val="0"/>
          <w:iCs w:val="0"/>
          <w:caps w:val="0"/>
          <w:color w:val="000000"/>
          <w:spacing w:val="0"/>
          <w:sz w:val="32"/>
          <w:szCs w:val="32"/>
          <w:shd w:val="clear" w:fill="FFFFFF"/>
        </w:rPr>
        <w:t>%和</w:t>
      </w:r>
      <w:r>
        <w:rPr>
          <w:rFonts w:hint="default" w:ascii="Times New Roman" w:hAnsi="Times New Roman" w:eastAsia="仿宋_GB2312" w:cs="Times New Roman"/>
          <w:i w:val="0"/>
          <w:iCs w:val="0"/>
          <w:caps w:val="0"/>
          <w:color w:val="000000"/>
          <w:spacing w:val="0"/>
          <w:sz w:val="32"/>
          <w:szCs w:val="32"/>
          <w:shd w:val="clear" w:fill="FFFFFF"/>
          <w:lang w:val="en-US" w:eastAsia="zh-CN"/>
        </w:rPr>
        <w:t>88.5</w:t>
      </w:r>
      <w:r>
        <w:rPr>
          <w:rFonts w:hint="default" w:ascii="Times New Roman" w:hAnsi="Times New Roman" w:eastAsia="仿宋_GB2312" w:cs="Times New Roman"/>
          <w:i w:val="0"/>
          <w:iCs w:val="0"/>
          <w:caps w:val="0"/>
          <w:color w:val="000000"/>
          <w:spacing w:val="0"/>
          <w:sz w:val="32"/>
          <w:szCs w:val="32"/>
          <w:shd w:val="clear" w:fill="FFFFFF"/>
        </w:rPr>
        <w:t>%</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居民商品消费升级态势明显。此外，智能手机类商品</w:t>
      </w:r>
      <w:r>
        <w:rPr>
          <w:rFonts w:hint="default" w:ascii="Times New Roman" w:hAnsi="Times New Roman" w:eastAsia="仿宋_GB2312" w:cs="Times New Roman"/>
          <w:i w:val="0"/>
          <w:iCs w:val="0"/>
          <w:caps w:val="0"/>
          <w:color w:val="000000"/>
          <w:spacing w:val="0"/>
          <w:sz w:val="32"/>
          <w:szCs w:val="32"/>
          <w:shd w:val="clear" w:fill="FFFFFF"/>
          <w:lang w:val="en-US" w:eastAsia="zh-CN"/>
        </w:rPr>
        <w:t>、</w:t>
      </w:r>
      <w:r>
        <w:rPr>
          <w:rFonts w:hint="default" w:ascii="Times New Roman" w:hAnsi="Times New Roman" w:eastAsia="仿宋_GB2312" w:cs="Times New Roman"/>
          <w:i w:val="0"/>
          <w:iCs w:val="0"/>
          <w:caps w:val="0"/>
          <w:color w:val="000000"/>
          <w:spacing w:val="0"/>
          <w:sz w:val="32"/>
          <w:szCs w:val="32"/>
          <w:shd w:val="clear" w:fill="FFFFFF"/>
        </w:rPr>
        <w:t>能效等级为1级和2级的家用电器增势亮眼，分别同比增长</w:t>
      </w:r>
      <w:r>
        <w:rPr>
          <w:rFonts w:hint="default" w:ascii="Times New Roman" w:hAnsi="Times New Roman" w:eastAsia="仿宋_GB2312" w:cs="Times New Roman"/>
          <w:i w:val="0"/>
          <w:iCs w:val="0"/>
          <w:caps w:val="0"/>
          <w:color w:val="000000"/>
          <w:spacing w:val="0"/>
          <w:sz w:val="32"/>
          <w:szCs w:val="32"/>
          <w:shd w:val="clear" w:fill="FFFFFF"/>
          <w:lang w:val="en-US" w:eastAsia="zh-CN"/>
        </w:rPr>
        <w:t>177.7</w:t>
      </w:r>
      <w:r>
        <w:rPr>
          <w:rFonts w:hint="default" w:ascii="Times New Roman" w:hAnsi="Times New Roman" w:eastAsia="仿宋_GB2312" w:cs="Times New Roman"/>
          <w:i w:val="0"/>
          <w:iCs w:val="0"/>
          <w:caps w:val="0"/>
          <w:color w:val="000000"/>
          <w:spacing w:val="0"/>
          <w:sz w:val="32"/>
          <w:szCs w:val="32"/>
          <w:shd w:val="clear" w:fill="FFFFFF"/>
        </w:rPr>
        <w:t>%</w:t>
      </w:r>
      <w:r>
        <w:rPr>
          <w:rFonts w:hint="default" w:ascii="Times New Roman" w:hAnsi="Times New Roman" w:eastAsia="仿宋_GB2312" w:cs="Times New Roman"/>
          <w:i w:val="0"/>
          <w:iCs w:val="0"/>
          <w:caps w:val="0"/>
          <w:color w:val="000000"/>
          <w:spacing w:val="0"/>
          <w:sz w:val="32"/>
          <w:szCs w:val="32"/>
          <w:shd w:val="clear" w:fill="FFFFFF"/>
          <w:lang w:val="en-US" w:eastAsia="zh-CN"/>
        </w:rPr>
        <w:t>和32.4</w:t>
      </w:r>
      <w:r>
        <w:rPr>
          <w:rFonts w:hint="default" w:ascii="Times New Roman" w:hAnsi="Times New Roman" w:eastAsia="仿宋_GB2312" w:cs="Times New Roman"/>
          <w:i w:val="0"/>
          <w:iCs w:val="0"/>
          <w:caps w:val="0"/>
          <w:color w:val="000000"/>
          <w:spacing w:val="0"/>
          <w:sz w:val="32"/>
          <w:szCs w:val="32"/>
          <w:shd w:val="clear" w:fill="FFFFFF"/>
        </w:rPr>
        <w:t>%</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lang w:val="en-US" w:eastAsia="zh-CN"/>
        </w:rPr>
        <w:t>消费升级趋势明显</w:t>
      </w:r>
      <w:r>
        <w:rPr>
          <w:rFonts w:hint="eastAsia" w:ascii="仿宋_GB2312" w:hAnsi="仿宋_GB2312" w:eastAsia="仿宋_GB2312" w:cs="仿宋_GB2312"/>
          <w:i w:val="0"/>
          <w:iCs w:val="0"/>
          <w:caps w:val="0"/>
          <w:color w:val="000000"/>
          <w:spacing w:val="0"/>
          <w:sz w:val="32"/>
          <w:szCs w:val="32"/>
          <w:shd w:val="clear" w:fill="FFFFFF"/>
        </w:rPr>
        <w:t>。</w:t>
      </w:r>
    </w:p>
    <w:p>
      <w:pPr>
        <w:pStyle w:val="13"/>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 w:hAnsi="楷体" w:eastAsia="楷体" w:cs="楷体"/>
          <w:b w:val="0"/>
          <w:bCs w:val="0"/>
          <w:color w:val="auto"/>
          <w:kern w:val="0"/>
          <w:sz w:val="30"/>
          <w:szCs w:val="30"/>
          <w:lang w:val="en-US" w:eastAsia="zh-CN" w:bidi="ar-SA"/>
        </w:rPr>
      </w:pPr>
      <w:r>
        <w:rPr>
          <w:rFonts w:hint="eastAsia" w:ascii="楷体" w:hAnsi="楷体" w:eastAsia="楷体" w:cs="楷体"/>
          <w:b w:val="0"/>
          <w:bCs w:val="0"/>
          <w:color w:val="auto"/>
          <w:kern w:val="0"/>
          <w:sz w:val="30"/>
          <w:szCs w:val="30"/>
          <w:lang w:val="en-US" w:eastAsia="zh-CN" w:bidi="ar-SA"/>
        </w:rPr>
        <w:t>表1  2021年南安市限额以上主要商品零售类值</w:t>
      </w:r>
    </w:p>
    <w:p>
      <w:pPr>
        <w:pStyle w:val="13"/>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楷体" w:hAnsi="楷体" w:eastAsia="楷体" w:cs="楷体"/>
          <w:b w:val="0"/>
          <w:bCs w:val="0"/>
          <w:color w:val="auto"/>
          <w:kern w:val="0"/>
          <w:sz w:val="28"/>
          <w:szCs w:val="28"/>
          <w:lang w:val="en-US" w:eastAsia="zh-CN" w:bidi="ar-SA"/>
        </w:rPr>
      </w:pPr>
      <w:r>
        <w:rPr>
          <w:rFonts w:hint="eastAsia" w:ascii="楷体" w:hAnsi="楷体" w:eastAsia="楷体" w:cs="楷体"/>
          <w:b w:val="0"/>
          <w:bCs w:val="0"/>
          <w:color w:val="auto"/>
          <w:kern w:val="0"/>
          <w:sz w:val="28"/>
          <w:szCs w:val="28"/>
          <w:lang w:val="en-US" w:eastAsia="zh-CN" w:bidi="ar-SA"/>
        </w:rPr>
        <w:t>单位：万元，%</w:t>
      </w:r>
    </w:p>
    <w:tbl>
      <w:tblPr>
        <w:tblStyle w:val="11"/>
        <w:tblW w:w="8940" w:type="dxa"/>
        <w:tblInd w:w="6" w:type="dxa"/>
        <w:tblLayout w:type="fixed"/>
        <w:tblCellMar>
          <w:top w:w="0" w:type="dxa"/>
          <w:left w:w="0" w:type="dxa"/>
          <w:bottom w:w="0" w:type="dxa"/>
          <w:right w:w="0" w:type="dxa"/>
        </w:tblCellMar>
      </w:tblPr>
      <w:tblGrid>
        <w:gridCol w:w="2004"/>
        <w:gridCol w:w="1464"/>
        <w:gridCol w:w="1572"/>
        <w:gridCol w:w="1164"/>
        <w:gridCol w:w="1224"/>
        <w:gridCol w:w="1512"/>
      </w:tblGrid>
      <w:tr>
        <w:tblPrEx>
          <w:tblLayout w:type="fixed"/>
          <w:tblCellMar>
            <w:top w:w="0" w:type="dxa"/>
            <w:left w:w="0" w:type="dxa"/>
            <w:bottom w:w="0" w:type="dxa"/>
            <w:right w:w="0" w:type="dxa"/>
          </w:tblCellMar>
        </w:tblPrEx>
        <w:trPr>
          <w:trHeight w:val="991" w:hRule="atLeast"/>
        </w:trPr>
        <w:tc>
          <w:tcPr>
            <w:tcW w:w="2004" w:type="dxa"/>
            <w:tcBorders>
              <w:top w:val="single" w:color="000000" w:sz="12" w:space="0"/>
              <w:left w:val="nil"/>
              <w:bottom w:val="single" w:color="000000" w:sz="8" w:space="0"/>
              <w:right w:val="single" w:color="000000" w:sz="8" w:space="0"/>
            </w:tcBorders>
            <w:tcMar>
              <w:top w:w="15" w:type="dxa"/>
              <w:left w:w="15" w:type="dxa"/>
              <w:right w:w="15" w:type="dxa"/>
            </w:tcMar>
            <w:vAlign w:val="center"/>
          </w:tcPr>
          <w:p>
            <w:pPr>
              <w:rPr>
                <w:rFonts w:hint="eastAsia" w:ascii="仿宋_GB2312" w:hAnsi="仿宋_GB2312" w:eastAsia="仿宋_GB2312" w:cs="仿宋_GB2312"/>
                <w:b/>
                <w:i w:val="0"/>
                <w:color w:val="auto"/>
                <w:sz w:val="24"/>
                <w:szCs w:val="24"/>
                <w:u w:val="none"/>
              </w:rPr>
            </w:pPr>
          </w:p>
        </w:tc>
        <w:tc>
          <w:tcPr>
            <w:tcW w:w="1464" w:type="dxa"/>
            <w:tcBorders>
              <w:top w:val="single" w:color="000000" w:sz="12"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lang w:val="en-US"/>
              </w:rPr>
            </w:pPr>
            <w:r>
              <w:rPr>
                <w:rFonts w:hint="eastAsia" w:ascii="仿宋_GB2312" w:hAnsi="仿宋_GB2312" w:eastAsia="仿宋_GB2312" w:cs="仿宋_GB2312"/>
                <w:b/>
                <w:i w:val="0"/>
                <w:color w:val="auto"/>
                <w:kern w:val="0"/>
                <w:sz w:val="24"/>
                <w:szCs w:val="24"/>
                <w:u w:val="none"/>
                <w:lang w:val="en-US" w:eastAsia="zh-CN" w:bidi="ar"/>
              </w:rPr>
              <w:t>12月零售额</w:t>
            </w:r>
          </w:p>
        </w:tc>
        <w:tc>
          <w:tcPr>
            <w:tcW w:w="1572" w:type="dxa"/>
            <w:tcBorders>
              <w:top w:val="single" w:color="000000" w:sz="12"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lang w:val="en-US"/>
              </w:rPr>
            </w:pPr>
            <w:r>
              <w:rPr>
                <w:rFonts w:hint="eastAsia" w:ascii="仿宋_GB2312" w:hAnsi="仿宋_GB2312" w:eastAsia="仿宋_GB2312" w:cs="仿宋_GB2312"/>
                <w:b/>
                <w:i w:val="0"/>
                <w:color w:val="auto"/>
                <w:kern w:val="0"/>
                <w:sz w:val="24"/>
                <w:szCs w:val="24"/>
                <w:u w:val="none"/>
                <w:lang w:val="en-US" w:eastAsia="zh-CN" w:bidi="ar"/>
              </w:rPr>
              <w:t>1-12月零售额</w:t>
            </w:r>
          </w:p>
        </w:tc>
        <w:tc>
          <w:tcPr>
            <w:tcW w:w="1164" w:type="dxa"/>
            <w:tcBorders>
              <w:top w:val="single" w:color="000000" w:sz="12"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lang w:val="en-US" w:eastAsia="zh-CN"/>
              </w:rPr>
            </w:pPr>
            <w:r>
              <w:rPr>
                <w:rFonts w:hint="eastAsia" w:ascii="仿宋_GB2312" w:hAnsi="仿宋_GB2312" w:eastAsia="仿宋_GB2312" w:cs="仿宋_GB2312"/>
                <w:b/>
                <w:i w:val="0"/>
                <w:color w:val="auto"/>
                <w:sz w:val="24"/>
                <w:szCs w:val="24"/>
                <w:u w:val="none"/>
                <w:lang w:val="en-US" w:eastAsia="zh-CN"/>
              </w:rPr>
              <w:t>本月增速</w:t>
            </w:r>
          </w:p>
        </w:tc>
        <w:tc>
          <w:tcPr>
            <w:tcW w:w="1224" w:type="dxa"/>
            <w:tcBorders>
              <w:top w:val="single" w:color="000000" w:sz="12"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lang w:val="en-US"/>
              </w:rPr>
            </w:pPr>
            <w:r>
              <w:rPr>
                <w:rFonts w:hint="eastAsia" w:ascii="仿宋_GB2312" w:hAnsi="仿宋_GB2312" w:eastAsia="仿宋_GB2312" w:cs="仿宋_GB2312"/>
                <w:b/>
                <w:i w:val="0"/>
                <w:color w:val="auto"/>
                <w:kern w:val="0"/>
                <w:sz w:val="24"/>
                <w:szCs w:val="24"/>
                <w:u w:val="none"/>
                <w:lang w:val="en-US" w:eastAsia="zh-CN" w:bidi="ar"/>
              </w:rPr>
              <w:t>累计增速</w:t>
            </w:r>
          </w:p>
        </w:tc>
        <w:tc>
          <w:tcPr>
            <w:tcW w:w="1512" w:type="dxa"/>
            <w:tcBorders>
              <w:top w:val="single" w:color="000000" w:sz="12" w:space="0"/>
              <w:left w:val="single" w:color="000000" w:sz="8" w:space="0"/>
              <w:bottom w:val="single" w:color="000000" w:sz="8" w:space="0"/>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累计拉动增长</w:t>
            </w:r>
          </w:p>
        </w:tc>
      </w:tr>
      <w:tr>
        <w:tblPrEx>
          <w:tblLayout w:type="fixed"/>
          <w:tblCellMar>
            <w:top w:w="0" w:type="dxa"/>
            <w:left w:w="0" w:type="dxa"/>
            <w:bottom w:w="0" w:type="dxa"/>
            <w:right w:w="0" w:type="dxa"/>
          </w:tblCellMar>
        </w:tblPrEx>
        <w:trPr>
          <w:trHeight w:val="680" w:hRule="exact"/>
        </w:trPr>
        <w:tc>
          <w:tcPr>
            <w:tcW w:w="2004" w:type="dxa"/>
            <w:tcBorders>
              <w:top w:val="single" w:color="000000" w:sz="8" w:space="0"/>
              <w:left w:val="nil"/>
              <w:bottom w:val="nil"/>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粮油、食品类</w:t>
            </w:r>
          </w:p>
        </w:tc>
        <w:tc>
          <w:tcPr>
            <w:tcW w:w="1464" w:type="dxa"/>
            <w:tcBorders>
              <w:top w:val="single" w:color="000000" w:sz="8" w:space="0"/>
              <w:left w:val="single" w:color="000000" w:sz="8" w:space="0"/>
              <w:bottom w:val="nil"/>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3988</w:t>
            </w:r>
          </w:p>
        </w:tc>
        <w:tc>
          <w:tcPr>
            <w:tcW w:w="1572" w:type="dxa"/>
            <w:tcBorders>
              <w:top w:val="single" w:color="000000" w:sz="8" w:space="0"/>
              <w:left w:val="single" w:color="000000" w:sz="8" w:space="0"/>
              <w:bottom w:val="nil"/>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85694</w:t>
            </w:r>
          </w:p>
        </w:tc>
        <w:tc>
          <w:tcPr>
            <w:tcW w:w="1164" w:type="dxa"/>
            <w:tcBorders>
              <w:top w:val="single" w:color="000000" w:sz="8" w:space="0"/>
              <w:left w:val="single" w:color="000000" w:sz="8" w:space="0"/>
              <w:bottom w:val="nil"/>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83.5</w:t>
            </w:r>
          </w:p>
        </w:tc>
        <w:tc>
          <w:tcPr>
            <w:tcW w:w="1224" w:type="dxa"/>
            <w:tcBorders>
              <w:top w:val="single" w:color="000000" w:sz="8" w:space="0"/>
              <w:left w:val="single" w:color="000000" w:sz="8" w:space="0"/>
              <w:bottom w:val="nil"/>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63.7</w:t>
            </w:r>
          </w:p>
        </w:tc>
        <w:tc>
          <w:tcPr>
            <w:tcW w:w="1512" w:type="dxa"/>
            <w:tcBorders>
              <w:top w:val="single" w:color="000000" w:sz="8" w:space="0"/>
              <w:left w:val="single" w:color="000000" w:sz="8" w:space="0"/>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2.2</w:t>
            </w:r>
          </w:p>
        </w:tc>
      </w:tr>
      <w:tr>
        <w:tblPrEx>
          <w:tblLayout w:type="fixed"/>
          <w:tblCellMar>
            <w:top w:w="0" w:type="dxa"/>
            <w:left w:w="0" w:type="dxa"/>
            <w:bottom w:w="0" w:type="dxa"/>
            <w:right w:w="0" w:type="dxa"/>
          </w:tblCellMar>
        </w:tblPrEx>
        <w:trPr>
          <w:trHeight w:val="680" w:hRule="exact"/>
        </w:trPr>
        <w:tc>
          <w:tcPr>
            <w:tcW w:w="2004" w:type="dxa"/>
            <w:tcBorders>
              <w:top w:val="nil"/>
              <w:left w:val="nil"/>
              <w:bottom w:val="nil"/>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饮料类</w:t>
            </w:r>
          </w:p>
        </w:tc>
        <w:tc>
          <w:tcPr>
            <w:tcW w:w="1464" w:type="dxa"/>
            <w:tcBorders>
              <w:top w:val="nil"/>
              <w:left w:val="single" w:color="000000" w:sz="8" w:space="0"/>
              <w:bottom w:val="nil"/>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4400</w:t>
            </w:r>
          </w:p>
        </w:tc>
        <w:tc>
          <w:tcPr>
            <w:tcW w:w="1572" w:type="dxa"/>
            <w:tcBorders>
              <w:top w:val="nil"/>
              <w:left w:val="single" w:color="000000" w:sz="8" w:space="0"/>
              <w:bottom w:val="nil"/>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97861</w:t>
            </w:r>
          </w:p>
        </w:tc>
        <w:tc>
          <w:tcPr>
            <w:tcW w:w="1164" w:type="dxa"/>
            <w:tcBorders>
              <w:top w:val="nil"/>
              <w:left w:val="single" w:color="000000" w:sz="8" w:space="0"/>
              <w:bottom w:val="nil"/>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-10.9</w:t>
            </w:r>
          </w:p>
        </w:tc>
        <w:tc>
          <w:tcPr>
            <w:tcW w:w="1224" w:type="dxa"/>
            <w:tcBorders>
              <w:top w:val="nil"/>
              <w:left w:val="single" w:color="000000" w:sz="8" w:space="0"/>
              <w:bottom w:val="nil"/>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7.1</w:t>
            </w:r>
          </w:p>
        </w:tc>
        <w:tc>
          <w:tcPr>
            <w:tcW w:w="1512" w:type="dxa"/>
            <w:tcBorders>
              <w:top w:val="nil"/>
              <w:left w:val="single" w:color="000000" w:sz="8" w:space="0"/>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0.4</w:t>
            </w:r>
          </w:p>
        </w:tc>
      </w:tr>
      <w:tr>
        <w:tblPrEx>
          <w:tblLayout w:type="fixed"/>
          <w:tblCellMar>
            <w:top w:w="0" w:type="dxa"/>
            <w:left w:w="0" w:type="dxa"/>
            <w:bottom w:w="0" w:type="dxa"/>
            <w:right w:w="0" w:type="dxa"/>
          </w:tblCellMar>
        </w:tblPrEx>
        <w:trPr>
          <w:trHeight w:val="680" w:hRule="exact"/>
        </w:trPr>
        <w:tc>
          <w:tcPr>
            <w:tcW w:w="2004" w:type="dxa"/>
            <w:tcBorders>
              <w:top w:val="nil"/>
              <w:left w:val="nil"/>
              <w:bottom w:val="nil"/>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服装、鞋帽、针纺织品类</w:t>
            </w:r>
          </w:p>
        </w:tc>
        <w:tc>
          <w:tcPr>
            <w:tcW w:w="1464" w:type="dxa"/>
            <w:tcBorders>
              <w:top w:val="nil"/>
              <w:left w:val="single" w:color="000000" w:sz="8" w:space="0"/>
              <w:bottom w:val="nil"/>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28639</w:t>
            </w:r>
          </w:p>
        </w:tc>
        <w:tc>
          <w:tcPr>
            <w:tcW w:w="1572" w:type="dxa"/>
            <w:tcBorders>
              <w:top w:val="nil"/>
              <w:left w:val="single" w:color="000000" w:sz="8" w:space="0"/>
              <w:bottom w:val="nil"/>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163668</w:t>
            </w:r>
          </w:p>
        </w:tc>
        <w:tc>
          <w:tcPr>
            <w:tcW w:w="1164" w:type="dxa"/>
            <w:tcBorders>
              <w:top w:val="nil"/>
              <w:left w:val="single" w:color="000000" w:sz="8" w:space="0"/>
              <w:bottom w:val="nil"/>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129.6</w:t>
            </w:r>
          </w:p>
        </w:tc>
        <w:tc>
          <w:tcPr>
            <w:tcW w:w="1224" w:type="dxa"/>
            <w:tcBorders>
              <w:top w:val="nil"/>
              <w:left w:val="single" w:color="000000" w:sz="8" w:space="0"/>
              <w:bottom w:val="nil"/>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94.5</w:t>
            </w:r>
          </w:p>
        </w:tc>
        <w:tc>
          <w:tcPr>
            <w:tcW w:w="1512" w:type="dxa"/>
            <w:tcBorders>
              <w:top w:val="nil"/>
              <w:left w:val="single" w:color="000000" w:sz="8" w:space="0"/>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5.2</w:t>
            </w:r>
          </w:p>
        </w:tc>
      </w:tr>
      <w:tr>
        <w:tblPrEx>
          <w:tblLayout w:type="fixed"/>
          <w:tblCellMar>
            <w:top w:w="0" w:type="dxa"/>
            <w:left w:w="0" w:type="dxa"/>
            <w:bottom w:w="0" w:type="dxa"/>
            <w:right w:w="0" w:type="dxa"/>
          </w:tblCellMar>
        </w:tblPrEx>
        <w:trPr>
          <w:trHeight w:val="680" w:hRule="exact"/>
        </w:trPr>
        <w:tc>
          <w:tcPr>
            <w:tcW w:w="2004" w:type="dxa"/>
            <w:tcBorders>
              <w:top w:val="nil"/>
              <w:left w:val="nil"/>
              <w:bottom w:val="nil"/>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石油及制品类</w:t>
            </w:r>
          </w:p>
        </w:tc>
        <w:tc>
          <w:tcPr>
            <w:tcW w:w="1464" w:type="dxa"/>
            <w:tcBorders>
              <w:top w:val="nil"/>
              <w:left w:val="single" w:color="000000" w:sz="8" w:space="0"/>
              <w:bottom w:val="nil"/>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30019</w:t>
            </w:r>
          </w:p>
        </w:tc>
        <w:tc>
          <w:tcPr>
            <w:tcW w:w="1572" w:type="dxa"/>
            <w:tcBorders>
              <w:top w:val="nil"/>
              <w:left w:val="single" w:color="000000" w:sz="8" w:space="0"/>
              <w:bottom w:val="nil"/>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387989</w:t>
            </w:r>
          </w:p>
        </w:tc>
        <w:tc>
          <w:tcPr>
            <w:tcW w:w="1164" w:type="dxa"/>
            <w:tcBorders>
              <w:top w:val="nil"/>
              <w:left w:val="single" w:color="000000" w:sz="8" w:space="0"/>
              <w:bottom w:val="nil"/>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-12.6</w:t>
            </w:r>
          </w:p>
        </w:tc>
        <w:tc>
          <w:tcPr>
            <w:tcW w:w="1224" w:type="dxa"/>
            <w:tcBorders>
              <w:top w:val="nil"/>
              <w:left w:val="single" w:color="000000" w:sz="8" w:space="0"/>
              <w:bottom w:val="nil"/>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16.8</w:t>
            </w:r>
          </w:p>
        </w:tc>
        <w:tc>
          <w:tcPr>
            <w:tcW w:w="1512" w:type="dxa"/>
            <w:tcBorders>
              <w:top w:val="nil"/>
              <w:left w:val="single" w:color="000000" w:sz="8" w:space="0"/>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3.6</w:t>
            </w:r>
          </w:p>
        </w:tc>
      </w:tr>
      <w:tr>
        <w:tblPrEx>
          <w:tblLayout w:type="fixed"/>
          <w:tblCellMar>
            <w:top w:w="0" w:type="dxa"/>
            <w:left w:w="0" w:type="dxa"/>
            <w:bottom w:w="0" w:type="dxa"/>
            <w:right w:w="0" w:type="dxa"/>
          </w:tblCellMar>
        </w:tblPrEx>
        <w:trPr>
          <w:trHeight w:val="680" w:hRule="exact"/>
        </w:trPr>
        <w:tc>
          <w:tcPr>
            <w:tcW w:w="2004" w:type="dxa"/>
            <w:tcBorders>
              <w:top w:val="nil"/>
              <w:left w:val="nil"/>
              <w:bottom w:val="nil"/>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建筑及装潢材料类</w:t>
            </w:r>
          </w:p>
        </w:tc>
        <w:tc>
          <w:tcPr>
            <w:tcW w:w="1464" w:type="dxa"/>
            <w:tcBorders>
              <w:top w:val="nil"/>
              <w:left w:val="single" w:color="000000" w:sz="8" w:space="0"/>
              <w:bottom w:val="nil"/>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10110</w:t>
            </w:r>
          </w:p>
        </w:tc>
        <w:tc>
          <w:tcPr>
            <w:tcW w:w="1572" w:type="dxa"/>
            <w:tcBorders>
              <w:top w:val="nil"/>
              <w:left w:val="single" w:color="000000" w:sz="8" w:space="0"/>
              <w:bottom w:val="nil"/>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171626</w:t>
            </w:r>
          </w:p>
        </w:tc>
        <w:tc>
          <w:tcPr>
            <w:tcW w:w="1164" w:type="dxa"/>
            <w:tcBorders>
              <w:top w:val="nil"/>
              <w:left w:val="single" w:color="000000" w:sz="8" w:space="0"/>
              <w:bottom w:val="nil"/>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-37.8</w:t>
            </w:r>
          </w:p>
        </w:tc>
        <w:tc>
          <w:tcPr>
            <w:tcW w:w="1224" w:type="dxa"/>
            <w:tcBorders>
              <w:top w:val="nil"/>
              <w:left w:val="single" w:color="000000" w:sz="8" w:space="0"/>
              <w:bottom w:val="nil"/>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-2.1</w:t>
            </w:r>
          </w:p>
        </w:tc>
        <w:tc>
          <w:tcPr>
            <w:tcW w:w="1512" w:type="dxa"/>
            <w:tcBorders>
              <w:top w:val="nil"/>
              <w:left w:val="single" w:color="000000" w:sz="8" w:space="0"/>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-0.2</w:t>
            </w:r>
          </w:p>
        </w:tc>
      </w:tr>
      <w:tr>
        <w:tblPrEx>
          <w:tblLayout w:type="fixed"/>
          <w:tblCellMar>
            <w:top w:w="0" w:type="dxa"/>
            <w:left w:w="0" w:type="dxa"/>
            <w:bottom w:w="0" w:type="dxa"/>
            <w:right w:w="0" w:type="dxa"/>
          </w:tblCellMar>
        </w:tblPrEx>
        <w:trPr>
          <w:trHeight w:val="680" w:hRule="exact"/>
        </w:trPr>
        <w:tc>
          <w:tcPr>
            <w:tcW w:w="2004" w:type="dxa"/>
            <w:tcBorders>
              <w:top w:val="nil"/>
              <w:left w:val="nil"/>
              <w:bottom w:val="single" w:color="000000" w:sz="12"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汽车类</w:t>
            </w:r>
          </w:p>
        </w:tc>
        <w:tc>
          <w:tcPr>
            <w:tcW w:w="1464" w:type="dxa"/>
            <w:tcBorders>
              <w:top w:val="nil"/>
              <w:left w:val="single" w:color="000000" w:sz="8" w:space="0"/>
              <w:bottom w:val="single" w:color="000000" w:sz="12"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41245</w:t>
            </w:r>
          </w:p>
        </w:tc>
        <w:tc>
          <w:tcPr>
            <w:tcW w:w="1572" w:type="dxa"/>
            <w:tcBorders>
              <w:top w:val="nil"/>
              <w:left w:val="single" w:color="000000" w:sz="8" w:space="0"/>
              <w:bottom w:val="single" w:color="000000" w:sz="12"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398086</w:t>
            </w:r>
          </w:p>
        </w:tc>
        <w:tc>
          <w:tcPr>
            <w:tcW w:w="1164" w:type="dxa"/>
            <w:tcBorders>
              <w:top w:val="nil"/>
              <w:left w:val="single" w:color="000000" w:sz="8" w:space="0"/>
              <w:bottom w:val="single" w:color="000000" w:sz="12"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-4.8</w:t>
            </w:r>
          </w:p>
        </w:tc>
        <w:tc>
          <w:tcPr>
            <w:tcW w:w="1224" w:type="dxa"/>
            <w:tcBorders>
              <w:top w:val="nil"/>
              <w:left w:val="single" w:color="000000" w:sz="8" w:space="0"/>
              <w:bottom w:val="single" w:color="000000" w:sz="12"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6.9</w:t>
            </w:r>
          </w:p>
        </w:tc>
        <w:tc>
          <w:tcPr>
            <w:tcW w:w="1512" w:type="dxa"/>
            <w:tcBorders>
              <w:top w:val="nil"/>
              <w:left w:val="single" w:color="000000" w:sz="8" w:space="0"/>
              <w:bottom w:val="single" w:color="000000" w:sz="12"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1.7</w:t>
            </w:r>
          </w:p>
        </w:tc>
      </w:tr>
    </w:tbl>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val="0"/>
          <w:bCs w:val="0"/>
          <w:sz w:val="32"/>
          <w:szCs w:val="32"/>
          <w:lang w:val="en-US" w:eastAsia="zh-CN"/>
        </w:rPr>
        <w:t>（四）网上零售消费保持高位增长</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今年以来，全市限额以上单位通过公共网络实现限上商品销售增速始终保持高速增长态势，全年实现商品零售额21.50亿元（占限额以上消费品零售额比重12.5%），同比增长109.9%，增速比限额以上消费品零售额高97.7个百分点，拉动全市限额以上消费品零售额增长7.3个百分点。网络消费另起，第四季度</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得益于双十一、双</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十二</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及年货节，各大电商平台大促，刺激消费，在库电商企业12月通过公共网络实现零售额同比增长104.1%；1-12月累计21.50亿元，同比增速109.9%。</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（五）亿元以上企业销售较好</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2021年，全市限额以上零售额达亿元企业30家，合计实现零售额111.02亿元（占全市限额以上消费品零售额的64.4%），同比增长13.8%，增幅高于全市平均水平1.6个百分点，</w:t>
      </w:r>
      <w:r>
        <w:rPr>
          <w:rFonts w:hint="default" w:ascii="Times New Roman" w:hAnsi="Times New Roman" w:eastAsia="仿宋_GB2312" w:cs="Times New Roman"/>
          <w:i w:val="0"/>
          <w:iCs w:val="0"/>
          <w:caps w:val="0"/>
          <w:color w:val="000000"/>
          <w:spacing w:val="0"/>
          <w:kern w:val="2"/>
          <w:sz w:val="32"/>
          <w:szCs w:val="32"/>
          <w:shd w:val="clear" w:fill="FFFFFF"/>
          <w:lang w:val="en-US" w:eastAsia="zh-CN" w:bidi="ar-SA"/>
        </w:rPr>
        <w:t>拉动全市限额以上消费品零售额增长8.8个百分点</w:t>
      </w:r>
      <w:r>
        <w:rPr>
          <w:rFonts w:hint="default" w:ascii="Times New Roman" w:hAnsi="Times New Roman" w:eastAsia="仿宋_GB2312" w:cs="Times New Roman"/>
          <w:color w:val="auto"/>
          <w:kern w:val="0"/>
          <w:sz w:val="32"/>
          <w:szCs w:val="32"/>
          <w:highlight w:val="none"/>
          <w:lang w:val="en-US" w:eastAsia="zh-CN" w:bidi="ar"/>
        </w:rPr>
        <w:t>。其中汽车新车零售类为主要支撑企业，合计实现零售额34.85亿元，同比增长9.6%。</w:t>
      </w:r>
    </w:p>
    <w:p>
      <w:pPr>
        <w:keepNext w:val="0"/>
        <w:keepLines w:val="0"/>
        <w:pageBreakBefore w:val="0"/>
        <w:widowControl w:val="0"/>
        <w:numPr>
          <w:ilvl w:val="0"/>
          <w:numId w:val="0"/>
        </w:numPr>
        <w:kinsoku/>
        <w:wordWrap/>
        <w:overflowPunct/>
        <w:topLinePunct w:val="0"/>
        <w:autoSpaceDE/>
        <w:autoSpaceDN/>
        <w:bidi w:val="0"/>
        <w:snapToGrid/>
        <w:spacing w:line="600" w:lineRule="exact"/>
        <w:ind w:left="0" w:leftChars="0" w:right="0" w:rightChars="0"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三、消费市场值得关注的问题</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（一）受同期基数翘尾影响，限上零售额逐月回落 </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从月度数据看，限额以上消费品零售总额增速以1-2月同比增长29.5%开局，3月达到今年增速最高峰36.9%，后续逐月走低。全年实现限额以上消费品零售总额172.44亿元，较上年增长12.2%，增速较年初回落17.3个百分</w:t>
      </w:r>
      <w:r>
        <w:rPr>
          <w:rFonts w:hint="eastAsia" w:ascii="仿宋_GB2312" w:eastAsia="仿宋_GB2312" w:cs="Times New Roman"/>
          <w:color w:val="auto"/>
          <w:kern w:val="0"/>
          <w:sz w:val="32"/>
          <w:szCs w:val="32"/>
          <w:highlight w:val="none"/>
          <w:lang w:val="en-US" w:eastAsia="zh-CN" w:bidi="ar"/>
        </w:rPr>
        <w:t>点。</w:t>
      </w: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auto"/>
        <w:outlineLvl w:val="9"/>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drawing>
          <wp:anchor distT="0" distB="0" distL="114300" distR="114300" simplePos="0" relativeHeight="251660288" behindDoc="1" locked="0" layoutInCell="1" allowOverlap="1">
            <wp:simplePos x="0" y="0"/>
            <wp:positionH relativeFrom="column">
              <wp:posOffset>164465</wp:posOffset>
            </wp:positionH>
            <wp:positionV relativeFrom="paragraph">
              <wp:posOffset>-307975</wp:posOffset>
            </wp:positionV>
            <wp:extent cx="5270500" cy="3646805"/>
            <wp:effectExtent l="4445" t="4445" r="20955" b="635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仿宋_GB2312" w:hAnsi="Times New Roman" w:eastAsia="仿宋_GB2312" w:cs="Times New Roman"/>
          <w:snapToGrid w:val="0"/>
          <w:spacing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仿宋_GB2312" w:hAnsi="Times New Roman" w:eastAsia="仿宋_GB2312" w:cs="Times New Roman"/>
          <w:snapToGrid w:val="0"/>
          <w:spacing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仿宋_GB2312" w:hAnsi="Times New Roman" w:eastAsia="仿宋_GB2312" w:cs="Times New Roman"/>
          <w:snapToGrid w:val="0"/>
          <w:spacing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仿宋_GB2312" w:hAnsi="Times New Roman" w:eastAsia="仿宋_GB2312" w:cs="Times New Roman"/>
          <w:snapToGrid w:val="0"/>
          <w:spacing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仿宋_GB2312" w:hAnsi="Times New Roman" w:eastAsia="仿宋_GB2312" w:cs="Times New Roman"/>
          <w:snapToGrid w:val="0"/>
          <w:spacing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仿宋_GB2312" w:hAnsi="Times New Roman" w:eastAsia="仿宋_GB2312" w:cs="Times New Roman"/>
          <w:snapToGrid w:val="0"/>
          <w:spacing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仿宋_GB2312" w:hAnsi="Times New Roman" w:eastAsia="仿宋_GB2312" w:cs="Times New Roman"/>
          <w:snapToGrid w:val="0"/>
          <w:spacing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before="157" w:beforeLines="50" w:line="600" w:lineRule="exact"/>
        <w:ind w:left="0" w:leftChars="0" w:right="0" w:rightChars="0" w:firstLine="0" w:firstLineChars="0"/>
        <w:jc w:val="center"/>
        <w:textAlignment w:val="auto"/>
        <w:outlineLvl w:val="9"/>
        <w:rPr>
          <w:rFonts w:hint="eastAsia" w:ascii="仿宋_GB2312" w:hAnsi="Times New Roman" w:eastAsia="仿宋_GB2312" w:cs="Times New Roman"/>
          <w:snapToGrid w:val="0"/>
          <w:spacing w:val="0"/>
          <w:kern w:val="0"/>
          <w:sz w:val="32"/>
          <w:szCs w:val="32"/>
          <w:lang w:val="en-US" w:eastAsia="zh-CN"/>
        </w:rPr>
      </w:pPr>
      <w:r>
        <w:rPr>
          <w:rFonts w:hint="eastAsia" w:ascii="楷体" w:hAnsi="楷体" w:eastAsia="楷体" w:cs="楷体"/>
          <w:snapToGrid w:val="0"/>
          <w:spacing w:val="0"/>
          <w:kern w:val="0"/>
          <w:sz w:val="30"/>
          <w:szCs w:val="30"/>
          <w:lang w:val="en-US" w:eastAsia="zh-CN"/>
        </w:rPr>
        <w:t>图3  2021年南安市限额以上消费品零售总额增长情况</w:t>
      </w:r>
    </w:p>
    <w:p>
      <w:pPr>
        <w:keepNext w:val="0"/>
        <w:keepLines w:val="0"/>
        <w:pageBreakBefore w:val="0"/>
        <w:widowControl w:val="0"/>
        <w:kinsoku/>
        <w:wordWrap/>
        <w:overflowPunct/>
        <w:topLinePunct w:val="0"/>
        <w:autoSpaceDE/>
        <w:autoSpaceDN/>
        <w:bidi w:val="0"/>
        <w:adjustRightInd w:val="0"/>
        <w:snapToGrid/>
        <w:spacing w:before="157" w:beforeLines="50" w:line="540" w:lineRule="exact"/>
        <w:ind w:left="0" w:leftChars="0" w:right="0" w:rightChars="0"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（二）限额以上消费市场结构单一，抗风险能力弱</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lang w:eastAsia="zh-CN"/>
        </w:rPr>
      </w:pPr>
      <w:r>
        <w:rPr>
          <w:rFonts w:hint="default" w:ascii="Times New Roman" w:hAnsi="Times New Roman" w:eastAsia="仿宋_GB2312" w:cs="Times New Roman"/>
          <w:color w:val="auto"/>
          <w:kern w:val="0"/>
          <w:sz w:val="32"/>
          <w:szCs w:val="32"/>
          <w:highlight w:val="none"/>
          <w:lang w:val="en-US" w:eastAsia="zh-CN" w:bidi="ar"/>
        </w:rPr>
        <w:t>目前，全市限额以上单位商品零售额中除刚需的粮油、食品类外，主要以石油及制品类、汽车类商品为主，缺乏新的较强带动力的消费热点。全市限额以上石油及制品类、汽车类商品分别实现零售额38.80亿元、39.81亿元，分别占限额以上单位零售额的22.5%、23.1%，两类</w:t>
      </w:r>
      <w:r>
        <w:rPr>
          <w:rFonts w:hint="default" w:ascii="Times New Roman" w:hAnsi="Times New Roman" w:eastAsia="仿宋_GB2312" w:cs="Times New Roman"/>
          <w:i w:val="0"/>
          <w:iCs w:val="0"/>
          <w:caps w:val="0"/>
          <w:color w:val="000000"/>
          <w:spacing w:val="0"/>
          <w:sz w:val="32"/>
          <w:szCs w:val="32"/>
        </w:rPr>
        <w:t>权重商品占比过大</w:t>
      </w:r>
      <w:r>
        <w:rPr>
          <w:rFonts w:hint="default"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i w:val="0"/>
          <w:iCs w:val="0"/>
          <w:caps w:val="0"/>
          <w:color w:val="000000"/>
          <w:spacing w:val="0"/>
          <w:sz w:val="32"/>
          <w:szCs w:val="32"/>
        </w:rPr>
        <w:t>决定</w:t>
      </w:r>
      <w:r>
        <w:rPr>
          <w:rFonts w:hint="default" w:ascii="Times New Roman" w:hAnsi="Times New Roman" w:eastAsia="仿宋_GB2312" w:cs="Times New Roman"/>
          <w:i w:val="0"/>
          <w:iCs w:val="0"/>
          <w:caps w:val="0"/>
          <w:color w:val="000000"/>
          <w:spacing w:val="0"/>
          <w:sz w:val="32"/>
          <w:szCs w:val="32"/>
          <w:lang w:eastAsia="zh-CN"/>
        </w:rPr>
        <w:t>着</w:t>
      </w:r>
      <w:r>
        <w:rPr>
          <w:rFonts w:hint="default" w:ascii="Times New Roman" w:hAnsi="Times New Roman" w:eastAsia="仿宋_GB2312" w:cs="Times New Roman"/>
          <w:i w:val="0"/>
          <w:iCs w:val="0"/>
          <w:caps w:val="0"/>
          <w:color w:val="000000"/>
          <w:spacing w:val="0"/>
          <w:sz w:val="32"/>
          <w:szCs w:val="32"/>
          <w:lang w:val="en-US" w:eastAsia="zh-CN"/>
        </w:rPr>
        <w:t>全市</w:t>
      </w:r>
      <w:r>
        <w:rPr>
          <w:rFonts w:hint="default" w:ascii="Times New Roman" w:hAnsi="Times New Roman" w:eastAsia="仿宋_GB2312" w:cs="Times New Roman"/>
          <w:i w:val="0"/>
          <w:iCs w:val="0"/>
          <w:caps w:val="0"/>
          <w:color w:val="000000"/>
          <w:spacing w:val="0"/>
          <w:sz w:val="32"/>
          <w:szCs w:val="32"/>
        </w:rPr>
        <w:t>限额以上消费品零售额走势,该类值存在的不确定性直接影响整个消费市场的不确定性</w:t>
      </w:r>
      <w:r>
        <w:rPr>
          <w:rFonts w:hint="default" w:ascii="Times New Roman" w:hAnsi="Times New Roman" w:eastAsia="仿宋_GB2312" w:cs="Times New Roman"/>
          <w:i w:val="0"/>
          <w:iCs w:val="0"/>
          <w:caps w:val="0"/>
          <w:color w:val="000000"/>
          <w:spacing w:val="0"/>
          <w:sz w:val="32"/>
          <w:szCs w:val="32"/>
          <w:lang w:eastAsia="zh-CN"/>
        </w:rPr>
        <w:t>。</w:t>
      </w:r>
    </w:p>
    <w:p>
      <w:pPr>
        <w:pStyle w:val="6"/>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default" w:ascii="Times New Roman" w:hAnsi="Times New Roman" w:eastAsia="楷体" w:cs="Times New Roman"/>
          <w:b w:val="0"/>
          <w:bCs w:val="0"/>
          <w:kern w:val="2"/>
          <w:sz w:val="32"/>
          <w:szCs w:val="32"/>
          <w:lang w:val="en-US" w:eastAsia="zh-CN" w:bidi="ar-SA"/>
        </w:rPr>
      </w:pPr>
      <w:r>
        <w:rPr>
          <w:rFonts w:hint="default" w:ascii="Times New Roman" w:hAnsi="Times New Roman" w:eastAsia="楷体" w:cs="Times New Roman"/>
          <w:b w:val="0"/>
          <w:bCs w:val="0"/>
          <w:kern w:val="2"/>
          <w:sz w:val="32"/>
          <w:szCs w:val="32"/>
          <w:lang w:val="en-US" w:eastAsia="zh-CN" w:bidi="ar-SA"/>
        </w:rPr>
        <w:t>汽车市场增长压力大，消费拉动作用减弱</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仿宋_GB2312" w:hAnsi="Times New Roman" w:eastAsia="仿宋_GB2312" w:cs="Times New Roman"/>
          <w:snapToGrid w:val="0"/>
          <w:spacing w:val="0"/>
          <w:kern w:val="0"/>
          <w:sz w:val="28"/>
          <w:szCs w:val="28"/>
          <w:lang w:val="en-US" w:eastAsia="zh-CN"/>
        </w:rPr>
      </w:pPr>
      <w:r>
        <w:rPr>
          <w:rFonts w:hint="default" w:ascii="Times New Roman" w:hAnsi="Times New Roman" w:eastAsia="仿宋_GB2312" w:cs="Times New Roman"/>
          <w:color w:val="auto"/>
          <w:kern w:val="0"/>
          <w:sz w:val="32"/>
          <w:szCs w:val="32"/>
          <w:highlight w:val="none"/>
          <w:lang w:val="en-US" w:eastAsia="zh-CN" w:bidi="ar"/>
        </w:rPr>
        <w:t>2021年，全市限额以上汽车类商品零售额累计39.81亿元，较上年同期增长6.9%，低于限上消费品零售总额增速5.3个百分点。从月度走势来看，累计增速逐月走低，年初呈高位发展态势，3月增速断崖式下降，之后保持小幅波动下滑至7月。下半年起受全球芯片供应紧缺、部分高端汽车供货量有限、热销车型产能不足等影响，连续3个月实现负增长，直至年末有所回暖。汽车零售市场形势依然严峻，预计2022年一季度仍然面临巨大压力。</w:t>
      </w: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仿宋_GB2312" w:hAnsi="Times New Roman" w:eastAsia="仿宋_GB2312" w:cs="Times New Roman"/>
          <w:snapToGrid w:val="0"/>
          <w:spacing w:val="0"/>
          <w:kern w:val="0"/>
          <w:sz w:val="28"/>
          <w:szCs w:val="28"/>
          <w:lang w:val="en-US" w:eastAsia="zh-CN"/>
        </w:rPr>
      </w:pPr>
      <w:r>
        <w:rPr>
          <w:rFonts w:hint="eastAsia" w:ascii="仿宋_GB2312" w:eastAsia="仿宋_GB2312" w:cs="Times New Roman" w:hAnsiTheme="minorHAnsi"/>
          <w:color w:val="auto"/>
          <w:kern w:val="0"/>
          <w:sz w:val="32"/>
          <w:szCs w:val="32"/>
          <w:highlight w:val="none"/>
          <w:lang w:val="en-US" w:eastAsia="zh-CN" w:bidi="ar"/>
        </w:rPr>
        <w:drawing>
          <wp:anchor distT="0" distB="0" distL="114300" distR="114300" simplePos="0" relativeHeight="251660288" behindDoc="1" locked="0" layoutInCell="1" allowOverlap="1">
            <wp:simplePos x="0" y="0"/>
            <wp:positionH relativeFrom="column">
              <wp:posOffset>-17780</wp:posOffset>
            </wp:positionH>
            <wp:positionV relativeFrom="page">
              <wp:posOffset>2758440</wp:posOffset>
            </wp:positionV>
            <wp:extent cx="5624830" cy="4371975"/>
            <wp:effectExtent l="5080" t="4445" r="8890" b="1270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仿宋_GB2312" w:hAnsi="Times New Roman" w:eastAsia="仿宋_GB2312" w:cs="Times New Roman"/>
          <w:snapToGrid w:val="0"/>
          <w:spacing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仿宋_GB2312" w:hAnsi="Times New Roman" w:eastAsia="仿宋_GB2312" w:cs="Times New Roman"/>
          <w:snapToGrid w:val="0"/>
          <w:spacing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仿宋_GB2312" w:hAnsi="Times New Roman" w:eastAsia="仿宋_GB2312" w:cs="Times New Roman"/>
          <w:snapToGrid w:val="0"/>
          <w:spacing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仿宋_GB2312" w:hAnsi="Times New Roman" w:eastAsia="仿宋_GB2312" w:cs="Times New Roman"/>
          <w:snapToGrid w:val="0"/>
          <w:spacing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仿宋_GB2312" w:hAnsi="Times New Roman" w:eastAsia="仿宋_GB2312" w:cs="Times New Roman"/>
          <w:snapToGrid w:val="0"/>
          <w:spacing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仿宋_GB2312" w:hAnsi="Times New Roman" w:eastAsia="仿宋_GB2312" w:cs="Times New Roman"/>
          <w:snapToGrid w:val="0"/>
          <w:spacing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仿宋_GB2312" w:hAnsi="Times New Roman" w:eastAsia="仿宋_GB2312" w:cs="Times New Roman"/>
          <w:snapToGrid w:val="0"/>
          <w:spacing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auto"/>
        <w:outlineLvl w:val="9"/>
        <w:rPr>
          <w:rFonts w:hint="eastAsia" w:ascii="仿宋_GB2312" w:hAnsi="Times New Roman" w:eastAsia="仿宋_GB2312" w:cs="Times New Roman"/>
          <w:snapToGrid w:val="0"/>
          <w:spacing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before="157" w:beforeLines="50" w:line="240" w:lineRule="auto"/>
        <w:ind w:left="0" w:leftChars="0" w:right="0" w:rightChars="0" w:firstLine="0" w:firstLineChars="0"/>
        <w:jc w:val="center"/>
        <w:textAlignment w:val="auto"/>
        <w:outlineLvl w:val="9"/>
        <w:rPr>
          <w:rFonts w:hint="eastAsia" w:ascii="楷体" w:hAnsi="楷体" w:eastAsia="楷体" w:cs="楷体"/>
          <w:snapToGrid w:val="0"/>
          <w:spacing w:val="0"/>
          <w:kern w:val="0"/>
          <w:sz w:val="30"/>
          <w:szCs w:val="30"/>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0" w:firstLineChars="0"/>
        <w:jc w:val="both"/>
        <w:textAlignment w:val="auto"/>
        <w:outlineLvl w:val="9"/>
        <w:rPr>
          <w:rFonts w:hint="eastAsia" w:ascii="楷体" w:hAnsi="楷体" w:eastAsia="楷体" w:cs="楷体"/>
          <w:snapToGrid w:val="0"/>
          <w:spacing w:val="0"/>
          <w:kern w:val="0"/>
          <w:sz w:val="30"/>
          <w:szCs w:val="30"/>
          <w:lang w:val="en-US" w:eastAsia="zh-CN"/>
        </w:rPr>
      </w:pPr>
    </w:p>
    <w:p>
      <w:pPr>
        <w:keepNext w:val="0"/>
        <w:keepLines w:val="0"/>
        <w:pageBreakBefore w:val="0"/>
        <w:widowControl w:val="0"/>
        <w:kinsoku/>
        <w:wordWrap/>
        <w:overflowPunct/>
        <w:topLinePunct w:val="0"/>
        <w:autoSpaceDE/>
        <w:autoSpaceDN/>
        <w:bidi w:val="0"/>
        <w:adjustRightInd w:val="0"/>
        <w:snapToGrid/>
        <w:spacing w:after="32" w:afterLines="10" w:line="600" w:lineRule="exact"/>
        <w:ind w:left="0" w:leftChars="0" w:right="0" w:rightChars="0" w:firstLine="0" w:firstLineChars="0"/>
        <w:jc w:val="center"/>
        <w:textAlignment w:val="auto"/>
        <w:outlineLvl w:val="9"/>
        <w:rPr>
          <w:rFonts w:hint="eastAsia" w:ascii="楷体" w:hAnsi="楷体" w:eastAsia="楷体" w:cs="楷体"/>
          <w:snapToGrid w:val="0"/>
          <w:spacing w:val="0"/>
          <w:kern w:val="0"/>
          <w:sz w:val="30"/>
          <w:szCs w:val="30"/>
          <w:lang w:val="en-US" w:eastAsia="zh-CN"/>
        </w:rPr>
      </w:pPr>
      <w:r>
        <w:rPr>
          <w:rFonts w:hint="eastAsia" w:ascii="楷体" w:hAnsi="楷体" w:eastAsia="楷体" w:cs="楷体"/>
          <w:snapToGrid w:val="0"/>
          <w:spacing w:val="0"/>
          <w:kern w:val="0"/>
          <w:sz w:val="30"/>
          <w:szCs w:val="30"/>
          <w:lang w:val="en-US" w:eastAsia="zh-CN"/>
        </w:rPr>
        <w:t>图4  2021年南安市限额以上汽车类零售额增长情况</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几点建议</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（一）大力培育限上主体 </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sz w:val="32"/>
          <w:szCs w:val="32"/>
          <w:lang w:eastAsia="zh-CN"/>
        </w:rPr>
        <w:t>联合有关单位</w:t>
      </w:r>
      <w:r>
        <w:rPr>
          <w:rFonts w:hint="default" w:ascii="Times New Roman" w:hAnsi="Times New Roman" w:eastAsia="仿宋_GB2312" w:cs="Times New Roman"/>
          <w:sz w:val="32"/>
          <w:szCs w:val="32"/>
        </w:rPr>
        <w:t>和乡镇（街道）做好企业培育工作，努力推动</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限上商业企业新增纳统工作</w:t>
      </w:r>
      <w:r>
        <w:rPr>
          <w:rFonts w:hint="default" w:ascii="Times New Roman" w:hAnsi="Times New Roman" w:eastAsia="仿宋_GB2312" w:cs="Times New Roman"/>
          <w:sz w:val="32"/>
          <w:szCs w:val="32"/>
        </w:rPr>
        <w:t>。完善监测机制，与</w:t>
      </w:r>
      <w:r>
        <w:rPr>
          <w:rFonts w:hint="default" w:ascii="Times New Roman" w:hAnsi="Times New Roman" w:eastAsia="仿宋_GB2312" w:cs="Times New Roman"/>
          <w:sz w:val="32"/>
          <w:szCs w:val="32"/>
          <w:lang w:eastAsia="zh-CN"/>
        </w:rPr>
        <w:t>商务、</w:t>
      </w:r>
      <w:r>
        <w:rPr>
          <w:rFonts w:hint="default" w:ascii="Times New Roman" w:hAnsi="Times New Roman" w:eastAsia="仿宋_GB2312" w:cs="Times New Roman"/>
          <w:sz w:val="32"/>
          <w:szCs w:val="32"/>
        </w:rPr>
        <w:t>市监、税务等部门加强信息沟通，建立“准规模”单位培育库和跟踪监测机制，指定专人、定向服务，多关注、勤跟踪符合入库条件的限下企业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kern w:val="0"/>
          <w:sz w:val="32"/>
          <w:szCs w:val="32"/>
          <w:highlight w:val="none"/>
          <w:lang w:val="en-US" w:eastAsia="zh-CN" w:bidi="ar"/>
        </w:rPr>
        <w:t>持续高度重视贸易单位达限入库工作，紧抓时间节点，摸排达限企业入库。</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val="0"/>
          <w:bCs w:val="0"/>
          <w:sz w:val="32"/>
          <w:szCs w:val="32"/>
          <w:lang w:val="en-US" w:eastAsia="zh-CN"/>
        </w:rPr>
        <w:t>（二）稳消费措施需“多管齐下”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sz w:val="32"/>
          <w:szCs w:val="32"/>
        </w:rPr>
        <w:t>在抓好</w:t>
      </w:r>
      <w:r>
        <w:rPr>
          <w:rFonts w:hint="default" w:ascii="Times New Roman" w:hAnsi="Times New Roman" w:eastAsia="仿宋_GB2312" w:cs="Times New Roman"/>
          <w:sz w:val="32"/>
          <w:szCs w:val="32"/>
          <w:lang w:eastAsia="zh-CN"/>
        </w:rPr>
        <w:t>疫情</w:t>
      </w:r>
      <w:r>
        <w:rPr>
          <w:rFonts w:hint="default" w:ascii="Times New Roman" w:hAnsi="Times New Roman" w:eastAsia="仿宋_GB2312" w:cs="Times New Roman"/>
          <w:sz w:val="32"/>
          <w:szCs w:val="32"/>
        </w:rPr>
        <w:t>防控同时，加大促销力度</w:t>
      </w:r>
      <w:r>
        <w:rPr>
          <w:rFonts w:hint="default" w:ascii="Times New Roman" w:hAnsi="Times New Roman" w:eastAsia="仿宋_GB2312" w:cs="Times New Roman"/>
          <w:sz w:val="32"/>
          <w:szCs w:val="32"/>
          <w:lang w:eastAsia="zh-CN"/>
        </w:rPr>
        <w:t>。一方面，</w:t>
      </w:r>
      <w:r>
        <w:rPr>
          <w:rFonts w:hint="default" w:ascii="Times New Roman" w:hAnsi="Times New Roman" w:eastAsia="仿宋_GB2312" w:cs="Times New Roman"/>
          <w:sz w:val="32"/>
          <w:szCs w:val="32"/>
        </w:rPr>
        <w:t>充分借鉴电商企业线上线下融合发展机制和成功经验，搭建产销对接平台，</w:t>
      </w:r>
      <w:r>
        <w:rPr>
          <w:rFonts w:hint="default" w:ascii="Times New Roman" w:hAnsi="Times New Roman" w:eastAsia="仿宋_GB2312" w:cs="Times New Roman"/>
          <w:sz w:val="32"/>
          <w:szCs w:val="32"/>
          <w:lang w:eastAsia="zh-CN"/>
        </w:rPr>
        <w:t>加快村级电商综合服务网店布局，推动“网货下乡”和“农产品上行”双向流通</w:t>
      </w:r>
      <w:r>
        <w:rPr>
          <w:rFonts w:hint="default" w:ascii="Times New Roman" w:hAnsi="Times New Roman" w:eastAsia="仿宋_GB2312" w:cs="Times New Roman"/>
          <w:sz w:val="32"/>
          <w:szCs w:val="32"/>
        </w:rPr>
        <w:t>，提高市场竞争力。</w:t>
      </w:r>
      <w:r>
        <w:rPr>
          <w:rFonts w:hint="default" w:ascii="Times New Roman" w:hAnsi="Times New Roman" w:eastAsia="仿宋_GB2312" w:cs="Times New Roman"/>
          <w:sz w:val="32"/>
          <w:szCs w:val="32"/>
          <w:lang w:eastAsia="zh-CN"/>
        </w:rPr>
        <w:t>另</w:t>
      </w:r>
      <w:r>
        <w:rPr>
          <w:rFonts w:hint="default" w:ascii="Times New Roman" w:hAnsi="Times New Roman" w:eastAsia="仿宋_GB2312" w:cs="Times New Roman"/>
          <w:sz w:val="32"/>
          <w:szCs w:val="32"/>
        </w:rPr>
        <w:t>一方面，</w:t>
      </w:r>
      <w:r>
        <w:rPr>
          <w:rFonts w:hint="default" w:ascii="Times New Roman" w:hAnsi="Times New Roman" w:eastAsia="仿宋_GB2312" w:cs="Times New Roman"/>
          <w:color w:val="auto"/>
          <w:kern w:val="0"/>
          <w:sz w:val="32"/>
          <w:szCs w:val="32"/>
          <w:highlight w:val="none"/>
          <w:lang w:val="en-US" w:eastAsia="zh-CN" w:bidi="ar"/>
        </w:rPr>
        <w:t>根据《南安市全闽乐购年终岁首促消费活动方案》等文件精神，继续支持推动石博会、水暖泵阀交易会、农订会、新春年货节等线上线下促销活动，不断促进我市零售企业销售增长。</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（三）深入挖掘电商企业潜力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auto"/>
          <w:kern w:val="0"/>
          <w:sz w:val="32"/>
          <w:szCs w:val="32"/>
          <w:highlight w:val="none"/>
          <w:lang w:val="en-US" w:eastAsia="zh-CN" w:bidi="ar"/>
        </w:rPr>
        <w:t>2021年，我市农村电商发展态势良好，获得国家级电子商务进农村综合示范县，位列“2021中国县域电商竞争力百强榜”第14位，要充分利用这一有利契机，大力推动培育电商企业发展，</w:t>
      </w:r>
      <w:r>
        <w:rPr>
          <w:rFonts w:hint="default" w:ascii="Times New Roman" w:hAnsi="Times New Roman" w:eastAsia="仿宋_GB2312" w:cs="Times New Roman"/>
          <w:sz w:val="32"/>
          <w:szCs w:val="32"/>
        </w:rPr>
        <w:t>推进大数据、人工智能、智慧物流等新技术在传统商业中的深度应用，提升消费购物体验，全面推进“新零售”发展。</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0" w:leftChars="0" w:right="0" w:rightChars="0" w:firstLine="640" w:firstLineChars="200"/>
        <w:jc w:val="right"/>
        <w:textAlignment w:val="auto"/>
        <w:outlineLvl w:val="9"/>
        <w:rPr>
          <w:rFonts w:hint="eastAsia"/>
          <w:lang w:eastAsia="zh-CN"/>
        </w:rPr>
      </w:pPr>
      <w:r>
        <w:rPr>
          <w:rFonts w:hint="eastAsia" w:ascii="仿宋_GB2312" w:hAnsi="仿宋_GB2312" w:eastAsia="仿宋_GB2312" w:cs="仿宋_GB2312"/>
          <w:color w:val="auto"/>
          <w:kern w:val="0"/>
          <w:sz w:val="32"/>
          <w:szCs w:val="32"/>
          <w:highlight w:val="none"/>
          <w:lang w:val="en-US" w:eastAsia="zh-CN" w:bidi="ar"/>
        </w:rPr>
        <w:t>（南安市统计局 曾明静）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仿宋_GB2312"/>
          <w:lang w:eastAsia="zh-CN"/>
        </w:rPr>
      </w:pPr>
      <w:r>
        <w:rPr>
          <w:rFonts w:hint="eastAsia" w:eastAsia="仿宋_GB2312"/>
          <w:lang w:eastAsia="zh-CN"/>
        </w:rPr>
        <w:drawing>
          <wp:anchor distT="0" distB="0" distL="114300" distR="114300" simplePos="0" relativeHeight="251660288" behindDoc="1" locked="0" layoutInCell="1" allowOverlap="1">
            <wp:simplePos x="0" y="0"/>
            <wp:positionH relativeFrom="column">
              <wp:posOffset>2327910</wp:posOffset>
            </wp:positionH>
            <wp:positionV relativeFrom="paragraph">
              <wp:posOffset>15240</wp:posOffset>
            </wp:positionV>
            <wp:extent cx="954405" cy="954405"/>
            <wp:effectExtent l="0" t="0" r="5715" b="5715"/>
            <wp:wrapNone/>
            <wp:docPr id="6" name="图片 1" descr="qrcode_for_gh_1eebab0522fd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qrcode_for_gh_1eebab0522fd_258"/>
                    <pic:cNvPicPr>
                      <a:picLocks noChangeAspect="1"/>
                    </pic:cNvPicPr>
                  </pic:nvPicPr>
                  <pic:blipFill>
                    <a:blip r:embed="rId9"/>
                    <a:stretch>
                      <a:fillRect/>
                    </a:stretch>
                  </pic:blipFill>
                  <pic:spPr>
                    <a:xfrm>
                      <a:off x="0" y="0"/>
                      <a:ext cx="954405" cy="954405"/>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lang w:val="en-US" w:eastAsia="zh-CN"/>
        </w:rPr>
      </w:pPr>
      <w:r>
        <w:rPr>
          <w:rFonts w:hint="eastAsia" w:ascii="仿宋_GB2312" w:hAnsi="仿宋_GB2312" w:eastAsia="仿宋_GB2312" w:cs="仿宋_GB2312"/>
          <w:sz w:val="24"/>
          <w:szCs w:val="24"/>
          <w:lang w:val="en-US" w:eastAsia="zh-CN"/>
        </w:rPr>
        <w:t>扫码关注南安市统计局</w:t>
      </w: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i0l3TM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F170A"/>
    <w:multiLevelType w:val="singleLevel"/>
    <w:tmpl w:val="24BF170A"/>
    <w:lvl w:ilvl="0" w:tentative="0">
      <w:start w:val="1"/>
      <w:numFmt w:val="chineseCounting"/>
      <w:suff w:val="nothing"/>
      <w:lvlText w:val="%1、"/>
      <w:lvlJc w:val="left"/>
      <w:rPr>
        <w:rFonts w:hint="eastAsia"/>
      </w:rPr>
    </w:lvl>
  </w:abstractNum>
  <w:abstractNum w:abstractNumId="1">
    <w:nsid w:val="3876166C"/>
    <w:multiLevelType w:val="singleLevel"/>
    <w:tmpl w:val="3876166C"/>
    <w:lvl w:ilvl="0" w:tentative="0">
      <w:start w:val="3"/>
      <w:numFmt w:val="chineseCounting"/>
      <w:suff w:val="nothing"/>
      <w:lvlText w:val="（%1）"/>
      <w:lvlJc w:val="left"/>
      <w:rPr>
        <w:rFonts w:hint="eastAsia"/>
      </w:rPr>
    </w:lvl>
  </w:abstractNum>
  <w:abstractNum w:abstractNumId="2">
    <w:nsid w:val="4E5D4320"/>
    <w:multiLevelType w:val="singleLevel"/>
    <w:tmpl w:val="4E5D4320"/>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854D55"/>
    <w:rsid w:val="01D100E7"/>
    <w:rsid w:val="02E21A95"/>
    <w:rsid w:val="03673A98"/>
    <w:rsid w:val="03861E0F"/>
    <w:rsid w:val="03B24CA9"/>
    <w:rsid w:val="06144718"/>
    <w:rsid w:val="06660955"/>
    <w:rsid w:val="070F33EA"/>
    <w:rsid w:val="07FC6B39"/>
    <w:rsid w:val="0A3B1935"/>
    <w:rsid w:val="0AA90F5B"/>
    <w:rsid w:val="0B342FF8"/>
    <w:rsid w:val="0B9846E5"/>
    <w:rsid w:val="0C656CE0"/>
    <w:rsid w:val="0CFC34A9"/>
    <w:rsid w:val="0D8F5A84"/>
    <w:rsid w:val="0E3D0B1A"/>
    <w:rsid w:val="0F757042"/>
    <w:rsid w:val="0FC07C41"/>
    <w:rsid w:val="11E01FD1"/>
    <w:rsid w:val="12350DD9"/>
    <w:rsid w:val="12835091"/>
    <w:rsid w:val="12D25A6C"/>
    <w:rsid w:val="139727D2"/>
    <w:rsid w:val="15046533"/>
    <w:rsid w:val="15096596"/>
    <w:rsid w:val="157F58DA"/>
    <w:rsid w:val="15BB7765"/>
    <w:rsid w:val="15C8494C"/>
    <w:rsid w:val="15ED2B2B"/>
    <w:rsid w:val="16FE52DB"/>
    <w:rsid w:val="18385AFE"/>
    <w:rsid w:val="19EE5307"/>
    <w:rsid w:val="1AB20F11"/>
    <w:rsid w:val="1AD87C81"/>
    <w:rsid w:val="1ADF0248"/>
    <w:rsid w:val="1B6C26D8"/>
    <w:rsid w:val="1C1F20FD"/>
    <w:rsid w:val="1F3F658E"/>
    <w:rsid w:val="1FEA174F"/>
    <w:rsid w:val="20DE385E"/>
    <w:rsid w:val="231966D6"/>
    <w:rsid w:val="25E37D14"/>
    <w:rsid w:val="265968AC"/>
    <w:rsid w:val="273E2381"/>
    <w:rsid w:val="27C57781"/>
    <w:rsid w:val="290D7A82"/>
    <w:rsid w:val="2B312D49"/>
    <w:rsid w:val="2C8A33EA"/>
    <w:rsid w:val="2DBA76E8"/>
    <w:rsid w:val="2E200479"/>
    <w:rsid w:val="2FD076E1"/>
    <w:rsid w:val="305B76ED"/>
    <w:rsid w:val="31EC4914"/>
    <w:rsid w:val="321A3CF6"/>
    <w:rsid w:val="33681447"/>
    <w:rsid w:val="35615B27"/>
    <w:rsid w:val="389416D7"/>
    <w:rsid w:val="3DF42313"/>
    <w:rsid w:val="3F3909D1"/>
    <w:rsid w:val="3FA836DA"/>
    <w:rsid w:val="410F108A"/>
    <w:rsid w:val="416206B1"/>
    <w:rsid w:val="417D26DF"/>
    <w:rsid w:val="42524A8B"/>
    <w:rsid w:val="434962F8"/>
    <w:rsid w:val="436D6757"/>
    <w:rsid w:val="45C131F4"/>
    <w:rsid w:val="4617793A"/>
    <w:rsid w:val="472B3FFF"/>
    <w:rsid w:val="49156C30"/>
    <w:rsid w:val="49196200"/>
    <w:rsid w:val="49A71A4D"/>
    <w:rsid w:val="4BD87303"/>
    <w:rsid w:val="4C1D6624"/>
    <w:rsid w:val="4C8E3B9A"/>
    <w:rsid w:val="4DAC2F4C"/>
    <w:rsid w:val="4E0C0212"/>
    <w:rsid w:val="4E6856E2"/>
    <w:rsid w:val="50031C7A"/>
    <w:rsid w:val="50DD76F0"/>
    <w:rsid w:val="51854D55"/>
    <w:rsid w:val="51EB734B"/>
    <w:rsid w:val="525F76D5"/>
    <w:rsid w:val="558A2F61"/>
    <w:rsid w:val="55E75D76"/>
    <w:rsid w:val="55F716DF"/>
    <w:rsid w:val="56C75FDD"/>
    <w:rsid w:val="5A437C91"/>
    <w:rsid w:val="5A4A5675"/>
    <w:rsid w:val="5DAD637C"/>
    <w:rsid w:val="5DD47853"/>
    <w:rsid w:val="5E401987"/>
    <w:rsid w:val="5E945F09"/>
    <w:rsid w:val="5F316C0E"/>
    <w:rsid w:val="5F5C4F9A"/>
    <w:rsid w:val="5FF31FA1"/>
    <w:rsid w:val="615D571D"/>
    <w:rsid w:val="651A219F"/>
    <w:rsid w:val="659C2AF5"/>
    <w:rsid w:val="6679157D"/>
    <w:rsid w:val="66DB6FE8"/>
    <w:rsid w:val="67910B70"/>
    <w:rsid w:val="69F77708"/>
    <w:rsid w:val="6B54656B"/>
    <w:rsid w:val="6C41500A"/>
    <w:rsid w:val="6C9F3B91"/>
    <w:rsid w:val="6CAE7C62"/>
    <w:rsid w:val="6DB82B8D"/>
    <w:rsid w:val="71884117"/>
    <w:rsid w:val="72DB48A8"/>
    <w:rsid w:val="738B7E67"/>
    <w:rsid w:val="75905579"/>
    <w:rsid w:val="779508D3"/>
    <w:rsid w:val="77C76851"/>
    <w:rsid w:val="796E1C97"/>
    <w:rsid w:val="7A0839AD"/>
    <w:rsid w:val="7A8F78E7"/>
    <w:rsid w:val="7BCF7385"/>
    <w:rsid w:val="7BF25B4B"/>
    <w:rsid w:val="7C03626E"/>
    <w:rsid w:val="7C600CBD"/>
    <w:rsid w:val="7D347886"/>
    <w:rsid w:val="7D417884"/>
    <w:rsid w:val="7DB969C9"/>
    <w:rsid w:val="7DCE0098"/>
    <w:rsid w:val="7E6A012F"/>
    <w:rsid w:val="7EC87A70"/>
    <w:rsid w:val="7EED5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rPr>
      <w:szCs w:val="21"/>
    </w:rPr>
  </w:style>
  <w:style w:type="paragraph" w:styleId="3">
    <w:name w:val="Body Text Indent"/>
    <w:basedOn w:val="1"/>
    <w:qFormat/>
    <w:uiPriority w:val="0"/>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qFormat/>
    <w:uiPriority w:val="0"/>
    <w:rPr>
      <w:color w:val="333333"/>
      <w:u w:val="none"/>
    </w:rPr>
  </w:style>
  <w:style w:type="character" w:styleId="9">
    <w:name w:val="Emphasis"/>
    <w:basedOn w:val="7"/>
    <w:qFormat/>
    <w:uiPriority w:val="0"/>
  </w:style>
  <w:style w:type="character" w:styleId="10">
    <w:name w:val="Hyperlink"/>
    <w:basedOn w:val="7"/>
    <w:qFormat/>
    <w:uiPriority w:val="0"/>
    <w:rPr>
      <w:color w:val="333333"/>
      <w:u w:val="non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p0"/>
    <w:basedOn w:val="1"/>
    <w:qFormat/>
    <w:uiPriority w:val="0"/>
    <w:pPr>
      <w:widowControl/>
    </w:pPr>
    <w:rPr>
      <w:rFonts w:ascii="Calibri" w:hAnsi="Calibri" w:cs="Calibri"/>
      <w:kern w:val="0"/>
      <w:szCs w:val="21"/>
    </w:rPr>
  </w:style>
  <w:style w:type="character" w:customStyle="1" w:styleId="14">
    <w:name w:val="icon"/>
    <w:basedOn w:val="7"/>
    <w:qFormat/>
    <w:uiPriority w:val="0"/>
  </w:style>
  <w:style w:type="character" w:customStyle="1" w:styleId="15">
    <w:name w:val="icon1"/>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282"/>
          <c:y val="0.127"/>
          <c:w val="0.665893"/>
          <c:h val="0.6708"/>
        </c:manualLayout>
      </c:layout>
      <c:barChart>
        <c:barDir val="col"/>
        <c:grouping val="clustered"/>
        <c:varyColors val="0"/>
        <c:ser>
          <c:idx val="0"/>
          <c:order val="0"/>
          <c:tx>
            <c:strRef>
              <c:f>Sheet1!$B$1</c:f>
              <c:strCache>
                <c:ptCount val="1"/>
                <c:pt idx="0">
                  <c:v>社消总额</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2021年1季度</c:v>
                </c:pt>
                <c:pt idx="1">
                  <c:v>2021年1-2季度</c:v>
                </c:pt>
                <c:pt idx="2">
                  <c:v>2021年1-3季度</c:v>
                </c:pt>
                <c:pt idx="3">
                  <c:v>2021年1-4季度</c:v>
                </c:pt>
              </c:strCache>
            </c:strRef>
          </c:cat>
          <c:val>
            <c:numRef>
              <c:f>Sheet1!$B$2:$B$5</c:f>
              <c:numCache>
                <c:formatCode>0.00_ </c:formatCode>
                <c:ptCount val="4"/>
                <c:pt idx="0">
                  <c:v>207.0302</c:v>
                </c:pt>
                <c:pt idx="1">
                  <c:v>407.9022</c:v>
                </c:pt>
                <c:pt idx="2">
                  <c:v>602.1688</c:v>
                </c:pt>
                <c:pt idx="3">
                  <c:v>814.9779</c:v>
                </c:pt>
              </c:numCache>
            </c:numRef>
          </c:val>
        </c:ser>
        <c:dLbls>
          <c:showLegendKey val="0"/>
          <c:showVal val="0"/>
          <c:showCatName val="0"/>
          <c:showSerName val="0"/>
          <c:showPercent val="0"/>
          <c:showBubbleSize val="0"/>
        </c:dLbls>
        <c:gapWidth val="150"/>
        <c:overlap val="0"/>
        <c:axId val="922040576"/>
        <c:axId val="650039461"/>
      </c:barChart>
      <c:lineChart>
        <c:grouping val="standard"/>
        <c:varyColors val="0"/>
        <c:ser>
          <c:idx val="2"/>
          <c:order val="1"/>
          <c:tx>
            <c:strRef>
              <c:f>Sheet1!$C$1</c:f>
              <c:strCache>
                <c:ptCount val="1"/>
                <c:pt idx="0">
                  <c:v>同比增速</c:v>
                </c:pt>
              </c:strCache>
            </c:strRef>
          </c:tx>
          <c:spPr>
            <a:ln w="28575" cap="rnd">
              <a:solidFill>
                <a:schemeClr val="accent3"/>
              </a:solidFill>
              <a:round/>
            </a:ln>
            <a:effectLst/>
          </c:spPr>
          <c:marker>
            <c:symbol val="square"/>
            <c:size val="6"/>
            <c:spPr>
              <a:solidFill>
                <a:schemeClr val="accent3"/>
              </a:solidFill>
              <a:ln w="9525">
                <a:solidFill>
                  <a:schemeClr val="accent3"/>
                </a:solidFill>
              </a:ln>
              <a:effectLst/>
            </c:spPr>
          </c:marker>
          <c:dLbls>
            <c:dLbl>
              <c:idx val="2"/>
              <c:layout>
                <c:manualLayout>
                  <c:x val="0.015"/>
                  <c:y val="0"/>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5"/>
                  <c:y val="-0.00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2021年1季度</c:v>
                </c:pt>
                <c:pt idx="1">
                  <c:v>2021年1-2季度</c:v>
                </c:pt>
                <c:pt idx="2">
                  <c:v>2021年1-3季度</c:v>
                </c:pt>
                <c:pt idx="3">
                  <c:v>2021年1-4季度</c:v>
                </c:pt>
              </c:strCache>
            </c:strRef>
          </c:cat>
          <c:val>
            <c:numRef>
              <c:f>Sheet1!$C$2:$C$5</c:f>
              <c:numCache>
                <c:formatCode>0.0%</c:formatCode>
                <c:ptCount val="4"/>
                <c:pt idx="0">
                  <c:v>0.283</c:v>
                </c:pt>
                <c:pt idx="1">
                  <c:v>0.21</c:v>
                </c:pt>
                <c:pt idx="2">
                  <c:v>0.143</c:v>
                </c:pt>
                <c:pt idx="3">
                  <c:v>0.104</c:v>
                </c:pt>
              </c:numCache>
            </c:numRef>
          </c:val>
          <c:smooth val="1"/>
        </c:ser>
        <c:ser>
          <c:idx val="3"/>
          <c:order val="2"/>
          <c:tx>
            <c:strRef>
              <c:f>Sheet1!$D$1</c:f>
              <c:strCache>
                <c:ptCount val="1"/>
                <c:pt idx="0">
                  <c:v>两年平均增速</c:v>
                </c:pt>
              </c:strCache>
            </c:strRef>
          </c:tx>
          <c:spPr>
            <a:ln w="28575" cap="rnd">
              <a:solidFill>
                <a:schemeClr val="accent4"/>
              </a:solidFill>
              <a:round/>
            </a:ln>
            <a:effectLst/>
          </c:spPr>
          <c:marker>
            <c:symbol val="triangle"/>
            <c:size val="7"/>
            <c:spPr>
              <a:solidFill>
                <a:schemeClr val="accent4"/>
              </a:solidFill>
              <a:ln w="9525">
                <a:solidFill>
                  <a:schemeClr val="accent4"/>
                </a:solidFill>
              </a:ln>
              <a:effectLst/>
            </c:spPr>
          </c:marker>
          <c:dLbls>
            <c:dLbl>
              <c:idx val="0"/>
              <c:layout>
                <c:manualLayout>
                  <c:x val="0.016875"/>
                  <c:y val="-0.027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4375"/>
                  <c:y val="-0.02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875"/>
                  <c:y val="-0.02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3125"/>
                  <c:y val="-0.00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2021年1季度</c:v>
                </c:pt>
                <c:pt idx="1">
                  <c:v>2021年1-2季度</c:v>
                </c:pt>
                <c:pt idx="2">
                  <c:v>2021年1-3季度</c:v>
                </c:pt>
                <c:pt idx="3">
                  <c:v>2021年1-4季度</c:v>
                </c:pt>
              </c:strCache>
            </c:strRef>
          </c:cat>
          <c:val>
            <c:numRef>
              <c:f>Sheet1!$D$2:$D$5</c:f>
              <c:numCache>
                <c:formatCode>0.0%</c:formatCode>
                <c:ptCount val="4"/>
                <c:pt idx="0">
                  <c:v>0.058</c:v>
                </c:pt>
                <c:pt idx="1">
                  <c:v>0.052</c:v>
                </c:pt>
                <c:pt idx="2">
                  <c:v>0.038</c:v>
                </c:pt>
                <c:pt idx="3">
                  <c:v>0.028</c:v>
                </c:pt>
              </c:numCache>
            </c:numRef>
          </c:val>
          <c:smooth val="1"/>
        </c:ser>
        <c:dLbls>
          <c:showLegendKey val="0"/>
          <c:showVal val="0"/>
          <c:showCatName val="0"/>
          <c:showSerName val="0"/>
          <c:showPercent val="0"/>
          <c:showBubbleSize val="0"/>
        </c:dLbls>
        <c:marker val="1"/>
        <c:smooth val="1"/>
        <c:axId val="118824953"/>
        <c:axId val="38589140"/>
      </c:lineChart>
      <c:catAx>
        <c:axId val="92204057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0039461"/>
        <c:crosses val="autoZero"/>
        <c:auto val="1"/>
        <c:lblAlgn val="ctr"/>
        <c:lblOffset val="100"/>
        <c:noMultiLvlLbl val="0"/>
      </c:catAx>
      <c:valAx>
        <c:axId val="65003946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社会消费品零售总额（亿元）</a:t>
                </a:r>
              </a:p>
            </c:rich>
          </c:tx>
          <c:layout>
            <c:manualLayout>
              <c:xMode val="edge"/>
              <c:yMode val="edge"/>
              <c:x val="0.039375"/>
              <c:y val="0.232233333333333"/>
            </c:manualLayout>
          </c:layout>
          <c:overlay val="0"/>
          <c:spPr>
            <a:noFill/>
            <a:ln>
              <a:noFill/>
            </a:ln>
            <a:effectLst/>
          </c:spPr>
        </c:title>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2040576"/>
        <c:crosses val="autoZero"/>
        <c:crossBetween val="between"/>
      </c:valAx>
      <c:catAx>
        <c:axId val="118824953"/>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589140"/>
        <c:crosses val="autoZero"/>
        <c:auto val="1"/>
        <c:lblAlgn val="ctr"/>
        <c:lblOffset val="100"/>
        <c:noMultiLvlLbl val="0"/>
      </c:catAx>
      <c:valAx>
        <c:axId val="38589140"/>
        <c:scaling>
          <c:orientation val="minMax"/>
        </c:scaling>
        <c:delete val="0"/>
        <c:axPos val="r"/>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增速</a:t>
                </a:r>
              </a:p>
            </c:rich>
          </c:tx>
          <c:layout/>
          <c:overlay val="0"/>
          <c:spPr>
            <a:noFill/>
            <a:ln>
              <a:noFill/>
            </a:ln>
            <a:effectLst/>
          </c:spPr>
        </c:title>
        <c:numFmt formatCode="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8824953"/>
        <c:crosses val="max"/>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312903225806"/>
          <c:y val="0.132"/>
          <c:w val="0.8713"/>
          <c:h val="0.7169"/>
        </c:manualLayout>
      </c:layout>
      <c:barChart>
        <c:barDir val="bar"/>
        <c:grouping val="clustered"/>
        <c:varyColors val="0"/>
        <c:ser>
          <c:idx val="0"/>
          <c:order val="0"/>
          <c:tx>
            <c:strRef>
              <c:f>Sheet1!$B$1</c:f>
              <c:strCache>
                <c:ptCount val="1"/>
                <c:pt idx="0">
                  <c:v>餐饮业</c:v>
                </c:pt>
              </c:strCache>
            </c:strRef>
          </c:tx>
          <c:spPr>
            <a:pattFill prst="dkDnDiag">
              <a:fgClr>
                <a:schemeClr val="accent1"/>
              </a:fgClr>
              <a:bgClr>
                <a:schemeClr val="bg1"/>
              </a:bgClr>
            </a:pattFill>
            <a:ln w="12700" cmpd="sng">
              <a:solidFill>
                <a:schemeClr val="accent1"/>
              </a:solidFill>
              <a:prstDash val="solid"/>
            </a:ln>
            <a:effectLst/>
            <a:sp3d contourW="12700"/>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2017年</c:v>
                </c:pt>
                <c:pt idx="1">
                  <c:v>2018年</c:v>
                </c:pt>
                <c:pt idx="2">
                  <c:v>2019年</c:v>
                </c:pt>
                <c:pt idx="3">
                  <c:v>2020年</c:v>
                </c:pt>
                <c:pt idx="4">
                  <c:v>2021年</c:v>
                </c:pt>
              </c:strCache>
            </c:strRef>
          </c:cat>
          <c:val>
            <c:numRef>
              <c:f>Sheet1!$B$2:$B$6</c:f>
              <c:numCache>
                <c:formatCode>General</c:formatCode>
                <c:ptCount val="5"/>
                <c:pt idx="0">
                  <c:v>2</c:v>
                </c:pt>
                <c:pt idx="1">
                  <c:v>1</c:v>
                </c:pt>
                <c:pt idx="2">
                  <c:v>3</c:v>
                </c:pt>
                <c:pt idx="3">
                  <c:v>3</c:v>
                </c:pt>
                <c:pt idx="4">
                  <c:v>2</c:v>
                </c:pt>
              </c:numCache>
            </c:numRef>
          </c:val>
        </c:ser>
        <c:ser>
          <c:idx val="1"/>
          <c:order val="1"/>
          <c:tx>
            <c:strRef>
              <c:f>Sheet1!$C$1</c:f>
              <c:strCache>
                <c:ptCount val="1"/>
                <c:pt idx="0">
                  <c:v>住宿业</c:v>
                </c:pt>
              </c:strCache>
            </c:strRef>
          </c:tx>
          <c:spPr>
            <a:noFill/>
            <a:ln w="12700" cmpd="sng">
              <a:solidFill>
                <a:schemeClr val="tx1">
                  <a:lumMod val="85000"/>
                  <a:lumOff val="15000"/>
                </a:schemeClr>
              </a:solidFill>
              <a:prstDash val="solid"/>
            </a:ln>
            <a:effectLst/>
            <a:sp3d contourW="12700"/>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2017年</c:v>
                </c:pt>
                <c:pt idx="1">
                  <c:v>2018年</c:v>
                </c:pt>
                <c:pt idx="2">
                  <c:v>2019年</c:v>
                </c:pt>
                <c:pt idx="3">
                  <c:v>2020年</c:v>
                </c:pt>
                <c:pt idx="4">
                  <c:v>2021年</c:v>
                </c:pt>
              </c:strCache>
            </c:strRef>
          </c:cat>
          <c:val>
            <c:numRef>
              <c:f>Sheet1!$C$2:$C$6</c:f>
              <c:numCache>
                <c:formatCode>General</c:formatCode>
                <c:ptCount val="5"/>
                <c:pt idx="0">
                  <c:v>4</c:v>
                </c:pt>
                <c:pt idx="1">
                  <c:v>2</c:v>
                </c:pt>
                <c:pt idx="2">
                  <c:v>1</c:v>
                </c:pt>
                <c:pt idx="3">
                  <c:v>0</c:v>
                </c:pt>
                <c:pt idx="4">
                  <c:v>4</c:v>
                </c:pt>
              </c:numCache>
            </c:numRef>
          </c:val>
        </c:ser>
        <c:ser>
          <c:idx val="2"/>
          <c:order val="2"/>
          <c:tx>
            <c:strRef>
              <c:f>Sheet1!$D$1</c:f>
              <c:strCache>
                <c:ptCount val="1"/>
                <c:pt idx="0">
                  <c:v>零售业</c:v>
                </c:pt>
              </c:strCache>
            </c:strRef>
          </c:tx>
          <c:spPr>
            <a:solidFill>
              <a:schemeClr val="accent1">
                <a:lumMod val="75000"/>
              </a:schemeClr>
            </a:solidFill>
            <a:ln w="12700" cmpd="sng">
              <a:solidFill>
                <a:schemeClr val="accent1"/>
              </a:solidFill>
              <a:prstDash val="solid"/>
            </a:ln>
            <a:effectLst/>
            <a:sp3d contourW="12700"/>
          </c:spPr>
          <c:invertIfNegative val="0"/>
          <c:dPt>
            <c:idx val="4"/>
            <c:invertIfNegative val="0"/>
            <c:bubble3D val="0"/>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2017年</c:v>
                </c:pt>
                <c:pt idx="1">
                  <c:v>2018年</c:v>
                </c:pt>
                <c:pt idx="2">
                  <c:v>2019年</c:v>
                </c:pt>
                <c:pt idx="3">
                  <c:v>2020年</c:v>
                </c:pt>
                <c:pt idx="4">
                  <c:v>2021年</c:v>
                </c:pt>
              </c:strCache>
            </c:strRef>
          </c:cat>
          <c:val>
            <c:numRef>
              <c:f>Sheet1!$D$2:$D$6</c:f>
              <c:numCache>
                <c:formatCode>General</c:formatCode>
                <c:ptCount val="5"/>
                <c:pt idx="0">
                  <c:v>12</c:v>
                </c:pt>
                <c:pt idx="1">
                  <c:v>26</c:v>
                </c:pt>
                <c:pt idx="2">
                  <c:v>42</c:v>
                </c:pt>
                <c:pt idx="3">
                  <c:v>35</c:v>
                </c:pt>
                <c:pt idx="4">
                  <c:v>51</c:v>
                </c:pt>
              </c:numCache>
            </c:numRef>
          </c:val>
        </c:ser>
        <c:ser>
          <c:idx val="3"/>
          <c:order val="3"/>
          <c:tx>
            <c:strRef>
              <c:f>Sheet1!$E$1</c:f>
              <c:strCache>
                <c:ptCount val="1"/>
                <c:pt idx="0">
                  <c:v>批发业</c:v>
                </c:pt>
              </c:strCache>
            </c:strRef>
          </c:tx>
          <c:spPr>
            <a:solidFill>
              <a:schemeClr val="accent1">
                <a:lumMod val="40000"/>
                <a:lumOff val="60000"/>
              </a:schemeClr>
            </a:solidFill>
            <a:ln w="12700" cmpd="sng">
              <a:solidFill>
                <a:schemeClr val="accent1"/>
              </a:solidFill>
              <a:prstDash val="solid"/>
            </a:ln>
            <a:effectLst/>
            <a:sp3d contourW="12700"/>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2017年</c:v>
                </c:pt>
                <c:pt idx="1">
                  <c:v>2018年</c:v>
                </c:pt>
                <c:pt idx="2">
                  <c:v>2019年</c:v>
                </c:pt>
                <c:pt idx="3">
                  <c:v>2020年</c:v>
                </c:pt>
                <c:pt idx="4">
                  <c:v>2021年</c:v>
                </c:pt>
              </c:strCache>
            </c:strRef>
          </c:cat>
          <c:val>
            <c:numRef>
              <c:f>Sheet1!$E$2:$E$6</c:f>
              <c:numCache>
                <c:formatCode>General</c:formatCode>
                <c:ptCount val="5"/>
                <c:pt idx="0">
                  <c:v>3</c:v>
                </c:pt>
                <c:pt idx="1">
                  <c:v>20</c:v>
                </c:pt>
                <c:pt idx="2">
                  <c:v>48</c:v>
                </c:pt>
                <c:pt idx="3">
                  <c:v>81</c:v>
                </c:pt>
                <c:pt idx="4">
                  <c:v>76</c:v>
                </c:pt>
              </c:numCache>
            </c:numRef>
          </c:val>
        </c:ser>
        <c:dLbls>
          <c:showLegendKey val="0"/>
          <c:showVal val="0"/>
          <c:showCatName val="0"/>
          <c:showSerName val="0"/>
          <c:showPercent val="0"/>
          <c:showBubbleSize val="0"/>
        </c:dLbls>
        <c:gapWidth val="197"/>
        <c:overlap val="0"/>
        <c:axId val="441147112"/>
        <c:axId val="237979190"/>
      </c:barChart>
      <c:catAx>
        <c:axId val="441147112"/>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7979190"/>
        <c:crosses val="autoZero"/>
        <c:auto val="1"/>
        <c:lblAlgn val="ctr"/>
        <c:lblOffset val="100"/>
        <c:noMultiLvlLbl val="0"/>
      </c:catAx>
      <c:valAx>
        <c:axId val="23797919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1147112"/>
        <c:crosses val="autoZero"/>
        <c:crossBetween val="between"/>
      </c:valAx>
      <c:spPr>
        <a:noFill/>
        <a:ln>
          <a:noFill/>
        </a:ln>
        <a:effectLst/>
      </c:spPr>
    </c:plotArea>
    <c:legend>
      <c:legendPos val="b"/>
      <c:layout>
        <c:manualLayout>
          <c:xMode val="edge"/>
          <c:yMode val="edge"/>
          <c:x val="0.318029953917051"/>
          <c:y val="0.91374575997415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4970602409639"/>
          <c:y val="0.116685921769269"/>
          <c:w val="0.803704096385542"/>
          <c:h val="0.624228420531441"/>
        </c:manualLayout>
      </c:layout>
      <c:lineChart>
        <c:grouping val="standard"/>
        <c:varyColors val="0"/>
        <c:ser>
          <c:idx val="0"/>
          <c:order val="0"/>
          <c:tx>
            <c:strRef>
              <c:f>Sheet1!$B$1</c:f>
              <c:strCache>
                <c:ptCount val="1"/>
                <c:pt idx="0">
                  <c:v>增速</c:v>
                </c:pt>
              </c:strCache>
            </c:strRef>
          </c:tx>
          <c:spPr>
            <a:ln w="28575" cap="rnd">
              <a:solidFill>
                <a:schemeClr val="accent1"/>
              </a:solidFill>
              <a:round/>
            </a:ln>
            <a:effectLst/>
          </c:spPr>
          <c:marker>
            <c:symbol val="square"/>
            <c:size val="6"/>
            <c:spPr>
              <a:solidFill>
                <a:schemeClr val="accent1"/>
              </a:solidFill>
              <a:ln w="9525">
                <a:solidFill>
                  <a:schemeClr val="accent1"/>
                </a:solidFill>
              </a:ln>
              <a:effectLst/>
            </c:spPr>
          </c:marker>
          <c:dLbls>
            <c:dLbl>
              <c:idx val="0"/>
              <c:layout>
                <c:manualLayout>
                  <c:x val="-0.00481927710843374"/>
                  <c:y val="0.0066017494636078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1566265060241"/>
                  <c:y val="-0.024756560488529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6144578313253"/>
                  <c:y val="-0.032183528635088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0963855421686747"/>
                  <c:y val="-0.011553061561313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174698795180723"/>
                  <c:y val="-0.024756560488529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180722891566265"/>
                  <c:y val="-0.027232216537382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
                  <c:y val="-0.031358309952137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2021年1-2月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Sheet1!$B$2:$B$12</c:f>
              <c:numCache>
                <c:formatCode>0.0%</c:formatCode>
                <c:ptCount val="11"/>
                <c:pt idx="0">
                  <c:v>0.295</c:v>
                </c:pt>
                <c:pt idx="1">
                  <c:v>0.369</c:v>
                </c:pt>
                <c:pt idx="2">
                  <c:v>0.322</c:v>
                </c:pt>
                <c:pt idx="3">
                  <c:v>0.276</c:v>
                </c:pt>
                <c:pt idx="4">
                  <c:v>0.283</c:v>
                </c:pt>
                <c:pt idx="5">
                  <c:v>0.239</c:v>
                </c:pt>
                <c:pt idx="6">
                  <c:v>0.201</c:v>
                </c:pt>
                <c:pt idx="7">
                  <c:v>0.161</c:v>
                </c:pt>
                <c:pt idx="8">
                  <c:v>0.144</c:v>
                </c:pt>
                <c:pt idx="9">
                  <c:v>0.134</c:v>
                </c:pt>
                <c:pt idx="10">
                  <c:v>0.122</c:v>
                </c:pt>
              </c:numCache>
            </c:numRef>
          </c:val>
          <c:smooth val="1"/>
        </c:ser>
        <c:dLbls>
          <c:showLegendKey val="0"/>
          <c:showVal val="0"/>
          <c:showCatName val="0"/>
          <c:showSerName val="0"/>
          <c:showPercent val="0"/>
          <c:showBubbleSize val="0"/>
        </c:dLbls>
        <c:marker val="1"/>
        <c:smooth val="1"/>
        <c:axId val="346953930"/>
        <c:axId val="718837532"/>
      </c:lineChart>
      <c:catAx>
        <c:axId val="34695393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8837532"/>
        <c:crosses val="autoZero"/>
        <c:auto val="1"/>
        <c:lblAlgn val="ctr"/>
        <c:lblOffset val="100"/>
        <c:noMultiLvlLbl val="0"/>
      </c:catAx>
      <c:valAx>
        <c:axId val="7188375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限额以上消费品零售总额增速</a:t>
                </a:r>
              </a:p>
            </c:rich>
          </c:tx>
          <c:layout/>
          <c:overlay val="0"/>
          <c:spPr>
            <a:noFill/>
            <a:ln>
              <a:noFill/>
            </a:ln>
            <a:effectLst/>
          </c:spPr>
        </c:title>
        <c:numFmt formatCode="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695393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span"/>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2392857142857"/>
          <c:y val="0.103764411723851"/>
          <c:w val="0.805285714285714"/>
          <c:h val="0.746520350048618"/>
        </c:manualLayout>
      </c:layout>
      <c:lineChart>
        <c:grouping val="standard"/>
        <c:varyColors val="0"/>
        <c:ser>
          <c:idx val="0"/>
          <c:order val="0"/>
          <c:tx>
            <c:strRef>
              <c:f>Sheet1!$B$1</c:f>
              <c:strCache>
                <c:ptCount val="1"/>
                <c:pt idx="0">
                  <c:v>本月</c:v>
                </c:pt>
              </c:strCache>
            </c:strRef>
          </c:tx>
          <c:spPr>
            <a:ln w="28575" cap="rnd">
              <a:solidFill>
                <a:schemeClr val="accent1"/>
              </a:solidFill>
              <a:round/>
            </a:ln>
            <a:effectLst/>
          </c:spPr>
          <c:marker>
            <c:symbol val="square"/>
            <c:size val="6"/>
            <c:spPr>
              <a:solidFill>
                <a:schemeClr val="accent1"/>
              </a:solidFill>
              <a:ln w="9525">
                <a:solidFill>
                  <a:schemeClr val="accent1"/>
                </a:solidFill>
              </a:ln>
              <a:effectLst/>
            </c:spPr>
          </c:marker>
          <c:dLbls>
            <c:dLbl>
              <c:idx val="0"/>
              <c:layout>
                <c:manualLayout>
                  <c:x val="0.00489982578397213"/>
                  <c:y val="-0.0604250590359772"/>
                </c:manualLayout>
              </c:layout>
              <c:dLblPos val="b"/>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formatCode="@">
                  <c:v>2月</c:v>
                </c:pt>
                <c:pt idx="1" c:formatCode="@">
                  <c:v>3月</c:v>
                </c:pt>
                <c:pt idx="2" c:formatCode="@">
                  <c:v>4月</c:v>
                </c:pt>
                <c:pt idx="3" c:formatCode="@">
                  <c:v>5月</c:v>
                </c:pt>
                <c:pt idx="4" c:formatCode="@">
                  <c:v>6月</c:v>
                </c:pt>
                <c:pt idx="5" c:formatCode="@">
                  <c:v>7月</c:v>
                </c:pt>
                <c:pt idx="6" c:formatCode="@">
                  <c:v>8月</c:v>
                </c:pt>
                <c:pt idx="7" c:formatCode="@">
                  <c:v>9月</c:v>
                </c:pt>
                <c:pt idx="8" c:formatCode="@">
                  <c:v>10月</c:v>
                </c:pt>
                <c:pt idx="9" c:formatCode="@">
                  <c:v>11月</c:v>
                </c:pt>
                <c:pt idx="10" c:formatCode="@">
                  <c:v>12月</c:v>
                </c:pt>
              </c:strCache>
            </c:strRef>
          </c:cat>
          <c:val>
            <c:numRef>
              <c:f>Sheet1!$B$2:$B$12</c:f>
              <c:numCache>
                <c:formatCode>0.0%</c:formatCode>
                <c:ptCount val="11"/>
                <c:pt idx="0">
                  <c:v>0.948</c:v>
                </c:pt>
                <c:pt idx="1">
                  <c:v>0.127</c:v>
                </c:pt>
                <c:pt idx="2">
                  <c:v>0.121</c:v>
                </c:pt>
                <c:pt idx="3">
                  <c:v>0.078</c:v>
                </c:pt>
                <c:pt idx="4">
                  <c:v>0.02</c:v>
                </c:pt>
                <c:pt idx="5">
                  <c:v>0.06</c:v>
                </c:pt>
                <c:pt idx="6">
                  <c:v>-0.092</c:v>
                </c:pt>
                <c:pt idx="7">
                  <c:v>-0.096</c:v>
                </c:pt>
                <c:pt idx="8">
                  <c:v>-0.097</c:v>
                </c:pt>
                <c:pt idx="9">
                  <c:v>0.042</c:v>
                </c:pt>
                <c:pt idx="10">
                  <c:v>-0.048</c:v>
                </c:pt>
              </c:numCache>
            </c:numRef>
          </c:val>
          <c:smooth val="1"/>
        </c:ser>
        <c:ser>
          <c:idx val="1"/>
          <c:order val="1"/>
          <c:tx>
            <c:strRef>
              <c:f>Sheet1!$C$1</c:f>
              <c:strCache>
                <c:ptCount val="1"/>
                <c:pt idx="0">
                  <c:v>累计</c:v>
                </c:pt>
              </c:strCache>
            </c:strRef>
          </c:tx>
          <c:spPr>
            <a:ln w="28575" cap="rnd">
              <a:solidFill>
                <a:schemeClr val="accent2"/>
              </a:solidFill>
              <a:round/>
            </a:ln>
            <a:effectLst/>
          </c:spPr>
          <c:marker>
            <c:symbol val="triangle"/>
            <c:size val="7"/>
            <c:spPr>
              <a:solidFill>
                <a:schemeClr val="accent2"/>
              </a:solidFill>
              <a:ln w="9525">
                <a:solidFill>
                  <a:schemeClr val="accent2"/>
                </a:solidFill>
              </a:ln>
              <a:effectLst/>
            </c:spPr>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formatCode="@">
                  <c:v>2月</c:v>
                </c:pt>
                <c:pt idx="1" c:formatCode="@">
                  <c:v>3月</c:v>
                </c:pt>
                <c:pt idx="2" c:formatCode="@">
                  <c:v>4月</c:v>
                </c:pt>
                <c:pt idx="3" c:formatCode="@">
                  <c:v>5月</c:v>
                </c:pt>
                <c:pt idx="4" c:formatCode="@">
                  <c:v>6月</c:v>
                </c:pt>
                <c:pt idx="5" c:formatCode="@">
                  <c:v>7月</c:v>
                </c:pt>
                <c:pt idx="6" c:formatCode="@">
                  <c:v>8月</c:v>
                </c:pt>
                <c:pt idx="7" c:formatCode="@">
                  <c:v>9月</c:v>
                </c:pt>
                <c:pt idx="8" c:formatCode="@">
                  <c:v>10月</c:v>
                </c:pt>
                <c:pt idx="9" c:formatCode="@">
                  <c:v>11月</c:v>
                </c:pt>
                <c:pt idx="10" c:formatCode="@">
                  <c:v>12月</c:v>
                </c:pt>
              </c:strCache>
            </c:strRef>
          </c:cat>
          <c:val>
            <c:numRef>
              <c:f>Sheet1!$C$2:$C$12</c:f>
              <c:numCache>
                <c:formatCode>0.0%</c:formatCode>
                <c:ptCount val="11"/>
                <c:pt idx="0">
                  <c:v>0.327</c:v>
                </c:pt>
                <c:pt idx="1">
                  <c:v>0.235</c:v>
                </c:pt>
                <c:pt idx="2">
                  <c:v>0.193</c:v>
                </c:pt>
                <c:pt idx="3">
                  <c:v>0.162</c:v>
                </c:pt>
                <c:pt idx="4">
                  <c:v>0.127</c:v>
                </c:pt>
                <c:pt idx="5">
                  <c:v>0.118</c:v>
                </c:pt>
                <c:pt idx="6">
                  <c:v>0.092</c:v>
                </c:pt>
                <c:pt idx="7">
                  <c:v>0.11</c:v>
                </c:pt>
                <c:pt idx="8">
                  <c:v>0.089</c:v>
                </c:pt>
                <c:pt idx="9">
                  <c:v>0.084</c:v>
                </c:pt>
                <c:pt idx="10">
                  <c:v>0.069</c:v>
                </c:pt>
              </c:numCache>
            </c:numRef>
          </c:val>
          <c:smooth val="1"/>
        </c:ser>
        <c:dLbls>
          <c:showLegendKey val="0"/>
          <c:showVal val="0"/>
          <c:showCatName val="0"/>
          <c:showSerName val="0"/>
          <c:showPercent val="0"/>
          <c:showBubbleSize val="0"/>
        </c:dLbls>
        <c:marker val="1"/>
        <c:smooth val="1"/>
        <c:axId val="123467365"/>
        <c:axId val="507703103"/>
      </c:lineChart>
      <c:catAx>
        <c:axId val="123467365"/>
        <c:scaling>
          <c:orientation val="minMax"/>
        </c:scaling>
        <c:delete val="0"/>
        <c:axPos val="b"/>
        <c:numFmt formatCode="General" sourceLinked="0"/>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7703103"/>
        <c:crosses val="autoZero"/>
        <c:auto val="1"/>
        <c:lblAlgn val="ctr"/>
        <c:lblOffset val="100"/>
        <c:noMultiLvlLbl val="0"/>
      </c:catAx>
      <c:valAx>
        <c:axId val="507703103"/>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汽车类零售增速</a:t>
                </a:r>
              </a:p>
            </c:rich>
          </c:tx>
          <c:layout/>
          <c:overlay val="0"/>
          <c:spPr>
            <a:noFill/>
            <a:ln>
              <a:noFill/>
            </a:ln>
            <a:effectLst/>
          </c:spPr>
        </c:title>
        <c:numFmt formatCode="0.0%" sourceLinked="1"/>
        <c:majorTickMark val="none"/>
        <c:minorTickMark val="none"/>
        <c:tickLblPos val="nextTo"/>
        <c:spPr>
          <a:noFill/>
          <a:ln>
            <a:solidFill>
              <a:schemeClr val="accent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3467365"/>
        <c:crosses val="autoZero"/>
        <c:crossBetween val="midCat"/>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2021-12-29T02:55:00Z</dcterms:created>
  <dc:creator>HW1108</dc:creator>
  <cp:lastModifiedBy>HP</cp:lastModifiedBy>
  <cp:lastPrinted>2022-02-24T09:41:00Z</cp:lastPrinted>
  <dcterms:modified xsi:type="dcterms:W3CDTF">2022-04-29T01:16:13Z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y fmtid="{D5CDD505-2E9C-101B-9397-08002B2CF9AE}" pid="3" name="ICV">
    <vt:lpwstr>61414C8280984131AC426202C9B70BD3</vt:lpwstr>
  </property>
</Properties>
</file>