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95pt;margin-top:140.65pt;height:72.7pt;width:424.6pt;mso-position-horizontal-relative:page;mso-position-vertical-relative:page;z-index:251658240;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eastAsia" w:ascii="仿宋_GB2312" w:hAnsi="仿宋_GB2312" w:eastAsia="仿宋_GB2312" w:cs="仿宋_GB2312"/>
          <w:color w:val="000000"/>
          <w:kern w:val="0"/>
          <w:sz w:val="32"/>
          <w:szCs w:val="32"/>
        </w:rPr>
      </w:pPr>
      <w:r>
        <w:rPr>
          <w:rFonts w:hint="default" w:ascii="Times New Roman" w:hAnsi="Times New Roman" w:eastAsia="仿宋_GB2312" w:cs="Times New Roman"/>
          <w:color w:val="000000"/>
          <w:kern w:val="0"/>
          <w:sz w:val="32"/>
          <w:szCs w:val="32"/>
        </w:rPr>
        <w:t xml:space="preserve">南安市统计局  编                    </w:t>
      </w:r>
      <w:r>
        <w:rPr>
          <w:rFonts w:hint="eastAsia" w:ascii="Times New Roman" w:hAnsi="Times New Roman"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17</w:t>
      </w:r>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103505</wp:posOffset>
                </wp:positionV>
                <wp:extent cx="6125845" cy="76200"/>
                <wp:effectExtent l="7620" t="0" r="8255" b="22860"/>
                <wp:wrapNone/>
                <wp:docPr id="1" name="自选图形 3"/>
                <wp:cNvGraphicFramePr/>
                <a:graphic xmlns:a="http://schemas.openxmlformats.org/drawingml/2006/main">
                  <a:graphicData uri="http://schemas.microsoft.com/office/word/2010/wordprocessingShape">
                    <wps:wsp>
                      <wps:cNvSpPr/>
                      <wps:spPr>
                        <a:xfrm flipV="1">
                          <a:off x="0" y="0"/>
                          <a:ext cx="6125845" cy="76200"/>
                        </a:xfrm>
                        <a:prstGeom prst="flowChartProcess">
                          <a:avLst/>
                        </a:prstGeom>
                        <a:solidFill>
                          <a:srgbClr val="FF0000"/>
                        </a:solidFill>
                        <a:ln w="15875" cap="flat" cmpd="sng">
                          <a:solidFill>
                            <a:srgbClr val="FFFFFF"/>
                          </a:solidFill>
                          <a:prstDash val="solid"/>
                          <a:miter/>
                          <a:headEnd type="none" w="med" len="med"/>
                          <a:tailEnd type="none" w="med" len="med"/>
                        </a:ln>
                        <a:effectLst/>
                      </wps:spPr>
                      <wps:bodyPr upright="1"/>
                    </wps:wsp>
                  </a:graphicData>
                </a:graphic>
              </wp:anchor>
            </w:drawing>
          </mc:Choice>
          <mc:Fallback>
            <w:pict>
              <v:shape id="自选图形 3" o:spid="_x0000_s1026" o:spt="109" type="#_x0000_t109" style="position:absolute;left:0pt;flip:y;margin-left:-15.3pt;margin-top:8.15pt;height:6pt;width:482.35pt;z-index:251659264;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mR5Un9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v+HvtkAAAAJAQAADwAAAAAAAAABACAAAAAiAAAAZHJzL2Rvd25y&#10;ZXYueG1sUEsBAhQAFAAAAAgAh07iQBmR5Un9AQAA+gMAAA4AAAAAAAAAAQAgAAAAKAEAAGRycy9l&#10;Mm9Eb2MueG1sUEsFBgAAAAAGAAYAWQEAAJcFAAAAAA==&#10;">
                <v:fill on="t" focussize="0,0"/>
                <v:stroke weight="1.25pt" color="#FFFFFF"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96" w:beforeLines="30" w:after="319"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val="0"/>
          <w:sz w:val="44"/>
          <w:szCs w:val="44"/>
          <w:highlight w:val="none"/>
          <w:lang w:val="en-US" w:eastAsia="zh-CN"/>
        </w:rPr>
        <w:t>2021年1-3季度建筑业平稳运行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今年以来，市委市政府持续巩固拓展疫情防控和经济社会发展成果，推动一系列促进企业健康发展政策措施的落地见效，全市在统资质以上建筑业企业有所增加，企业生产能力进一步释放，建筑业企业平稳运行。2021年1-3季度全市134家资质以上总承包以及专业承包建筑业企业共完成建筑业总产值80.01亿元，同比增长12.2%，增幅有所放缓，高于泉州市平均水平2.1个百分点，位居各县（市、区）第八。</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bCs/>
          <w:kern w:val="0"/>
          <w:sz w:val="32"/>
          <w:szCs w:val="32"/>
          <w:highlight w:val="none"/>
          <w:lang w:val="en-US" w:eastAsia="zh-CN"/>
        </w:rPr>
      </w:pPr>
      <w:r>
        <w:rPr>
          <w:rFonts w:hint="default" w:ascii="Times New Roman" w:hAnsi="Times New Roman" w:eastAsia="黑体" w:cs="Times New Roman"/>
          <w:bCs/>
          <w:kern w:val="0"/>
          <w:sz w:val="32"/>
          <w:szCs w:val="32"/>
          <w:highlight w:val="none"/>
          <w:lang w:val="en-US" w:eastAsia="zh-CN"/>
        </w:rPr>
        <w:t>一、主要运行特征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 w:cs="Times New Roman"/>
          <w:b w:val="0"/>
          <w:bCs w:val="0"/>
          <w:kern w:val="0"/>
          <w:sz w:val="32"/>
          <w:szCs w:val="32"/>
          <w:highlight w:val="none"/>
          <w:lang w:val="en-US" w:eastAsia="zh-CN"/>
        </w:rPr>
      </w:pPr>
      <w:r>
        <w:rPr>
          <w:rFonts w:hint="default" w:ascii="Times New Roman" w:hAnsi="Times New Roman" w:eastAsia="楷体" w:cs="Times New Roman"/>
          <w:b w:val="0"/>
          <w:bCs w:val="0"/>
          <w:kern w:val="0"/>
          <w:sz w:val="32"/>
          <w:szCs w:val="32"/>
          <w:highlight w:val="none"/>
          <w:lang w:val="en-US" w:eastAsia="zh-CN"/>
        </w:rPr>
        <w:t>（一）建筑业总产值平稳增长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 2021年1-3季度我市建筑业总产值增长较为平稳。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sectPr>
          <w:pgSz w:w="11906" w:h="16838"/>
          <w:pgMar w:top="2098" w:right="1474" w:bottom="1984" w:left="1587" w:header="851" w:footer="992" w:gutter="0"/>
          <w:pgNumType w:fmt="numberInDash"/>
          <w:cols w:space="0" w:num="1"/>
          <w:rtlGutter w:val="0"/>
          <w:docGrid w:type="lines" w:linePitch="318" w:charSpace="0"/>
        </w:sectPr>
      </w:pPr>
      <w:r>
        <w:rPr>
          <w:rFonts w:hint="default" w:ascii="Times New Roman" w:hAnsi="Times New Roman" w:eastAsia="仿宋_GB2312" w:cs="Times New Roman"/>
          <w:kern w:val="0"/>
          <w:sz w:val="32"/>
          <w:szCs w:val="32"/>
          <w:highlight w:val="none"/>
          <w:lang w:val="en-US" w:eastAsia="zh-CN"/>
        </w:rPr>
        <w:t>从地域划分看，省内完成的产值52.10亿元，占总产值的65.1%，同比增长16.0%；在外省完成的产值27.91亿元，占总产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值的34.9%，同比增长5.7%。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pPr>
      <w:r>
        <w:drawing>
          <wp:anchor distT="0" distB="0" distL="114300" distR="114300" simplePos="0" relativeHeight="251660288" behindDoc="0" locked="0" layoutInCell="1" allowOverlap="1">
            <wp:simplePos x="0" y="0"/>
            <wp:positionH relativeFrom="column">
              <wp:posOffset>1189355</wp:posOffset>
            </wp:positionH>
            <wp:positionV relativeFrom="paragraph">
              <wp:posOffset>1163320</wp:posOffset>
            </wp:positionV>
            <wp:extent cx="3375025" cy="299529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375025" cy="2995295"/>
                    </a:xfrm>
                    <a:prstGeom prst="rect">
                      <a:avLst/>
                    </a:prstGeom>
                    <a:noFill/>
                    <a:ln>
                      <a:noFill/>
                    </a:ln>
                  </pic:spPr>
                </pic:pic>
              </a:graphicData>
            </a:graphic>
          </wp:anchor>
        </w:drawing>
      </w:r>
      <w:r>
        <w:rPr>
          <w:rFonts w:hint="default" w:ascii="Times New Roman" w:hAnsi="Times New Roman" w:eastAsia="仿宋_GB2312" w:cs="Times New Roman"/>
          <w:kern w:val="0"/>
          <w:sz w:val="32"/>
          <w:szCs w:val="32"/>
          <w:highlight w:val="none"/>
          <w:lang w:val="en-US" w:eastAsia="zh-CN"/>
        </w:rPr>
        <w:t>从产值构成看，建筑工程74.95亿元，占总产值的93.7%，同比增长9.5%；安装工程3.96亿元，占总产值的4.9%，同比增长61.7%</w:t>
      </w:r>
      <w:r>
        <w:rPr>
          <w:rFonts w:hint="eastAsia" w:ascii="仿宋_GB2312" w:eastAsia="仿宋_GB2312" w:hAnsiTheme="minorEastAsia" w:cstheme="minorEastAsia"/>
          <w:kern w:val="0"/>
          <w:sz w:val="32"/>
          <w:szCs w:val="32"/>
          <w:highlight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eastAsia="仿宋_GB2312" w:hAnsiTheme="minorEastAsia" w:cstheme="minorEastAsia"/>
          <w:b/>
          <w:bCs/>
          <w:kern w:val="0"/>
          <w:sz w:val="32"/>
          <w:szCs w:val="32"/>
          <w:highlight w:val="none"/>
          <w:lang w:val="en-US" w:eastAsia="zh-CN"/>
        </w:rPr>
      </w:pPr>
      <w:r>
        <w:rPr>
          <w:rFonts w:hint="eastAsia" w:ascii="楷体" w:hAnsi="楷体" w:eastAsia="楷体" w:cs="楷体"/>
          <w:b w:val="0"/>
          <w:bCs w:val="0"/>
          <w:kern w:val="0"/>
          <w:sz w:val="30"/>
          <w:szCs w:val="30"/>
          <w:highlight w:val="none"/>
          <w:lang w:val="en-US" w:eastAsia="zh-CN"/>
        </w:rPr>
        <w:t>2021年1-3季度建筑业产值行业分布图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0" w:beforeLines="50" w:beforeAutospacing="0" w:afterAutospacing="0" w:line="600" w:lineRule="exact"/>
        <w:ind w:left="0" w:leftChars="0" w:right="0" w:rightChars="0" w:firstLine="640" w:firstLineChars="200"/>
        <w:jc w:val="both"/>
        <w:textAlignment w:val="auto"/>
        <w:outlineLvl w:val="9"/>
        <w:rPr>
          <w:rFonts w:hint="eastAsia" w:ascii="仿宋_GB2312" w:eastAsia="仿宋_GB2312" w:hAnsiTheme="minorEastAsia" w:cstheme="minorEastAsia"/>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从行业类型看，房屋建筑业产值46.06亿元，占总产值的57.6%，同比增长9.8%；土木工程建筑业产值18.30亿元，占总产值的22.9%，同比增长5.8%；建筑安装业产值0.67亿元，占总产值的0.8%，同比下降51.3%；建筑装饰、装修和其他建筑业产值14.98亿元，占总产值的18.7%，同比增长39.9%。</w:t>
      </w:r>
      <w:r>
        <w:rPr>
          <w:rFonts w:hint="eastAsia" w:ascii="仿宋_GB2312" w:eastAsia="仿宋_GB2312" w:hAnsiTheme="minorEastAsia" w:cstheme="minorEastAsia"/>
          <w:kern w:val="0"/>
          <w:sz w:val="32"/>
          <w:szCs w:val="32"/>
          <w:highlight w:val="none"/>
          <w:lang w:val="en-US" w:eastAsia="zh-CN"/>
        </w:rPr>
        <w:t> </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 w:hAnsi="楷体" w:eastAsia="楷体" w:cstheme="minorEastAsia"/>
          <w:b w:val="0"/>
          <w:bCs w:val="0"/>
          <w:kern w:val="0"/>
          <w:sz w:val="32"/>
          <w:szCs w:val="32"/>
          <w:highlight w:val="none"/>
          <w:lang w:val="en-US" w:eastAsia="zh-CN"/>
        </w:rPr>
      </w:pPr>
      <w:r>
        <w:rPr>
          <w:rFonts w:hint="eastAsia" w:ascii="楷体" w:hAnsi="楷体" w:eastAsia="楷体" w:cstheme="minorEastAsia"/>
          <w:b w:val="0"/>
          <w:bCs w:val="0"/>
          <w:kern w:val="0"/>
          <w:sz w:val="32"/>
          <w:szCs w:val="32"/>
          <w:highlight w:val="none"/>
          <w:lang w:val="en-US" w:eastAsia="zh-CN"/>
        </w:rPr>
        <w:t>中部企业作用凸显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hAnsiTheme="minorEastAsia" w:cstheme="minorEastAsia"/>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2021年1-3季度，全市在统一级资质以上建筑企业27家，占全市企业数的20.1%；完成建筑业总产值55.65亿元，占总产值的69.6%，同比增长4.2%，拉动全市建筑业产值增长3.1个百分点，对全市建筑业产值的增长贡献率为25.7%。全市在统二级资质以上建筑企业39家，占全市企业数的29.1%；完成建筑业总产值19.13亿元，占总产值的23.9%，同比增长32.7%，拉动全市建筑业产值增长6.6个百分点，对全市建筑业产值的增长贡献率高达54.2%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60" w:beforeLines="50" w:beforeAutospacing="0" w:afterAutospacing="0" w:line="600" w:lineRule="exact"/>
        <w:ind w:left="0" w:leftChars="0" w:right="0" w:rightChars="0" w:firstLine="0" w:firstLineChars="0"/>
        <w:jc w:val="center"/>
        <w:textAlignment w:val="auto"/>
        <w:outlineLvl w:val="9"/>
        <w:rPr>
          <w:rFonts w:hint="default" w:ascii="黑体" w:hAnsi="黑体" w:eastAsia="黑体" w:cs="黑体"/>
          <w:b w:val="0"/>
          <w:bCs w:val="0"/>
          <w:kern w:val="0"/>
          <w:sz w:val="30"/>
          <w:szCs w:val="30"/>
          <w:highlight w:val="none"/>
          <w:lang w:val="en-US" w:eastAsia="zh-CN"/>
        </w:rPr>
      </w:pPr>
      <w:r>
        <w:rPr>
          <w:rFonts w:hint="eastAsia" w:ascii="楷体" w:hAnsi="楷体" w:eastAsia="楷体" w:cs="楷体"/>
          <w:b w:val="0"/>
          <w:bCs w:val="0"/>
          <w:kern w:val="0"/>
          <w:sz w:val="30"/>
          <w:szCs w:val="30"/>
          <w:highlight w:val="none"/>
          <w:lang w:val="en-US" w:eastAsia="zh-CN"/>
        </w:rPr>
        <w:t>2021年1-3季度资质建筑业产值表（分级别）</w:t>
      </w:r>
    </w:p>
    <w:tbl>
      <w:tblPr>
        <w:tblStyle w:val="14"/>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836"/>
        <w:gridCol w:w="2220"/>
        <w:gridCol w:w="1752"/>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444" w:type="dxa"/>
            <w:tcBorders>
              <w:top w:val="single" w:color="auto" w:sz="12" w:space="0"/>
              <w:lef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val="0"/>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资质级别</w:t>
            </w:r>
          </w:p>
        </w:tc>
        <w:tc>
          <w:tcPr>
            <w:tcW w:w="1836" w:type="dxa"/>
            <w:tcBorders>
              <w:top w:val="single" w:color="auto" w:sz="12" w:space="0"/>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企业数（个）</w:t>
            </w:r>
          </w:p>
        </w:tc>
        <w:tc>
          <w:tcPr>
            <w:tcW w:w="2220" w:type="dxa"/>
            <w:tcBorders>
              <w:top w:val="single" w:color="auto" w:sz="12" w:space="0"/>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企业数占比（%）</w:t>
            </w:r>
          </w:p>
        </w:tc>
        <w:tc>
          <w:tcPr>
            <w:tcW w:w="1752" w:type="dxa"/>
            <w:tcBorders>
              <w:top w:val="single" w:color="auto" w:sz="12" w:space="0"/>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产值（亿元）</w:t>
            </w:r>
          </w:p>
        </w:tc>
        <w:tc>
          <w:tcPr>
            <w:tcW w:w="1944" w:type="dxa"/>
            <w:tcBorders>
              <w:top w:val="single" w:color="auto" w:sz="12" w:space="0"/>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产值占比（%）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444" w:type="dxa"/>
            <w:tcBorders>
              <w:lef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一级</w:t>
            </w:r>
          </w:p>
        </w:tc>
        <w:tc>
          <w:tcPr>
            <w:tcW w:w="1836" w:type="dxa"/>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27</w:t>
            </w:r>
          </w:p>
        </w:tc>
        <w:tc>
          <w:tcPr>
            <w:tcW w:w="2220"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20.1%</w:t>
            </w:r>
          </w:p>
        </w:tc>
        <w:tc>
          <w:tcPr>
            <w:tcW w:w="1752"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55.65</w:t>
            </w:r>
          </w:p>
        </w:tc>
        <w:tc>
          <w:tcPr>
            <w:tcW w:w="1944"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444" w:type="dxa"/>
            <w:tcBorders>
              <w:lef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lang w:val="en-US" w:eastAsia="zh-CN"/>
              </w:rPr>
              <w:t>二级</w:t>
            </w:r>
          </w:p>
        </w:tc>
        <w:tc>
          <w:tcPr>
            <w:tcW w:w="1836" w:type="dxa"/>
            <w:tcBorders>
              <w:bottom w:val="single" w:color="000000" w:sz="4" w:space="0"/>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39</w:t>
            </w:r>
          </w:p>
        </w:tc>
        <w:tc>
          <w:tcPr>
            <w:tcW w:w="2220"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29.1%</w:t>
            </w:r>
          </w:p>
        </w:tc>
        <w:tc>
          <w:tcPr>
            <w:tcW w:w="1752"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19.13</w:t>
            </w:r>
          </w:p>
        </w:tc>
        <w:tc>
          <w:tcPr>
            <w:tcW w:w="1944"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444" w:type="dxa"/>
            <w:tcBorders>
              <w:lef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vertAlign w:val="baseline"/>
                <w:lang w:val="en-US" w:eastAsia="zh-CN"/>
              </w:rPr>
            </w:pPr>
            <w:r>
              <w:rPr>
                <w:rFonts w:hint="eastAsia" w:ascii="仿宋_GB2312" w:hAnsi="仿宋_GB2312" w:eastAsia="仿宋_GB2312" w:cs="仿宋_GB2312"/>
                <w:b/>
                <w:bCs/>
                <w:color w:val="auto"/>
                <w:kern w:val="0"/>
                <w:sz w:val="28"/>
                <w:szCs w:val="28"/>
                <w:highlight w:val="none"/>
                <w:vertAlign w:val="baseline"/>
                <w:lang w:val="en-US" w:eastAsia="zh-CN"/>
              </w:rPr>
              <w:t>三级</w:t>
            </w:r>
          </w:p>
        </w:tc>
        <w:tc>
          <w:tcPr>
            <w:tcW w:w="1836" w:type="dxa"/>
            <w:tcBorders>
              <w:top w:val="single" w:color="000000" w:sz="4" w:space="0"/>
              <w:bottom w:val="single" w:color="000000" w:sz="4" w:space="0"/>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68</w:t>
            </w:r>
          </w:p>
        </w:tc>
        <w:tc>
          <w:tcPr>
            <w:tcW w:w="2220"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50.7%</w:t>
            </w:r>
          </w:p>
        </w:tc>
        <w:tc>
          <w:tcPr>
            <w:tcW w:w="1752"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5.24</w:t>
            </w:r>
          </w:p>
        </w:tc>
        <w:tc>
          <w:tcPr>
            <w:tcW w:w="1944" w:type="dxa"/>
            <w:tcBorders>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444" w:type="dxa"/>
            <w:tcBorders>
              <w:left w:val="nil"/>
              <w:bottom w:val="single" w:color="auto" w:sz="12" w:space="0"/>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rPr>
              <w:t>合计</w:t>
            </w:r>
          </w:p>
        </w:tc>
        <w:tc>
          <w:tcPr>
            <w:tcW w:w="1836" w:type="dxa"/>
            <w:tcBorders>
              <w:top w:val="single" w:color="000000" w:sz="4" w:space="0"/>
              <w:bottom w:val="single" w:color="auto" w:sz="12" w:space="0"/>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134</w:t>
            </w:r>
          </w:p>
        </w:tc>
        <w:tc>
          <w:tcPr>
            <w:tcW w:w="2220" w:type="dxa"/>
            <w:tcBorders>
              <w:bottom w:val="single" w:color="auto" w:sz="12" w:space="0"/>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w:t>
            </w:r>
          </w:p>
        </w:tc>
        <w:tc>
          <w:tcPr>
            <w:tcW w:w="1752" w:type="dxa"/>
            <w:tcBorders>
              <w:bottom w:val="single" w:color="auto" w:sz="12" w:space="0"/>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80.01</w:t>
            </w:r>
          </w:p>
        </w:tc>
        <w:tc>
          <w:tcPr>
            <w:tcW w:w="1944" w:type="dxa"/>
            <w:tcBorders>
              <w:bottom w:val="single" w:color="auto" w:sz="12" w:space="0"/>
              <w:right w:val="nil"/>
            </w:tcBorders>
            <w:vAlign w:val="center"/>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8"/>
                <w:szCs w:val="28"/>
                <w:highlight w:val="none"/>
                <w:vertAlign w:val="baseline"/>
                <w:lang w:val="en-US" w:eastAsia="zh-CN"/>
              </w:rPr>
            </w:pPr>
            <w:r>
              <w:rPr>
                <w:rFonts w:hint="default" w:ascii="Times New Roman" w:hAnsi="Times New Roman" w:eastAsia="仿宋_GB2312" w:cs="Times New Roman"/>
                <w:color w:val="auto"/>
                <w:kern w:val="0"/>
                <w:sz w:val="28"/>
                <w:szCs w:val="28"/>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after="160" w:afterLines="50" w:line="320" w:lineRule="exact"/>
        <w:ind w:left="0" w:leftChars="0" w:right="0" w:rightChars="0" w:firstLine="0" w:firstLineChars="0"/>
        <w:jc w:val="both"/>
        <w:textAlignment w:val="auto"/>
        <w:outlineLvl w:val="9"/>
        <w:rPr>
          <w:rFonts w:hint="eastAsia" w:ascii="楷体" w:hAnsi="楷体" w:eastAsia="楷体" w:cs="楷体"/>
          <w:kern w:val="0"/>
          <w:sz w:val="28"/>
          <w:szCs w:val="28"/>
          <w:highlight w:val="none"/>
          <w:lang w:val="en-US" w:eastAsia="zh-CN"/>
        </w:rPr>
      </w:pPr>
      <w:r>
        <w:rPr>
          <w:rFonts w:hint="eastAsia" w:ascii="楷体" w:hAnsi="楷体" w:eastAsia="楷体" w:cs="楷体"/>
          <w:kern w:val="0"/>
          <w:sz w:val="28"/>
          <w:szCs w:val="28"/>
          <w:highlight w:val="none"/>
          <w:lang w:val="en-US" w:eastAsia="zh-CN"/>
        </w:rPr>
        <w:t>注：因四舍五入存在分项总计不等于合计。</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楷体" w:hAnsi="楷体" w:eastAsia="楷体" w:cstheme="minorEastAsia"/>
          <w:b w:val="0"/>
          <w:bCs w:val="0"/>
          <w:kern w:val="0"/>
          <w:sz w:val="32"/>
          <w:szCs w:val="32"/>
          <w:highlight w:val="none"/>
          <w:lang w:val="en-US" w:eastAsia="zh-CN"/>
        </w:rPr>
      </w:pPr>
      <w:r>
        <w:rPr>
          <w:rFonts w:hint="eastAsia" w:ascii="楷体" w:hAnsi="楷体" w:eastAsia="楷体" w:cstheme="minorEastAsia"/>
          <w:b w:val="0"/>
          <w:bCs w:val="0"/>
          <w:kern w:val="0"/>
          <w:sz w:val="32"/>
          <w:szCs w:val="32"/>
          <w:highlight w:val="none"/>
          <w:lang w:val="en-US" w:eastAsia="zh-CN"/>
        </w:rPr>
        <w:t>新增企业初露锋芒</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2021年第三季度我市新增入库建筑业企业27家，完成产值1.52亿元，拉动我市建筑业总产值增长2.1%，增长贡献率达17.5%。</w:t>
      </w:r>
    </w:p>
    <w:p>
      <w:pPr>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 w:hAnsi="楷体" w:eastAsia="楷体" w:cstheme="minorEastAsia"/>
          <w:b w:val="0"/>
          <w:bCs w:val="0"/>
          <w:kern w:val="0"/>
          <w:sz w:val="32"/>
          <w:szCs w:val="32"/>
          <w:highlight w:val="none"/>
          <w:lang w:val="en-US" w:eastAsia="zh-CN"/>
        </w:rPr>
      </w:pPr>
      <w:r>
        <w:rPr>
          <w:rFonts w:hint="eastAsia" w:ascii="楷体" w:hAnsi="楷体" w:eastAsia="楷体" w:cstheme="minorEastAsia"/>
          <w:b w:val="0"/>
          <w:bCs w:val="0"/>
          <w:kern w:val="0"/>
          <w:sz w:val="32"/>
          <w:szCs w:val="32"/>
          <w:highlight w:val="none"/>
          <w:lang w:val="en-US" w:eastAsia="zh-CN"/>
        </w:rPr>
        <w:t>外埠市场比重攀升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hAnsiTheme="minorEastAsia" w:cstheme="minorEastAsia"/>
          <w:kern w:val="0"/>
          <w:sz w:val="32"/>
          <w:szCs w:val="32"/>
          <w:highlight w:val="none"/>
          <w:lang w:val="en-US" w:eastAsia="zh-CN"/>
        </w:rPr>
      </w:pPr>
      <w:r>
        <w:rPr>
          <w:rFonts w:hint="eastAsia" w:ascii="仿宋_GB2312" w:eastAsia="仿宋_GB2312" w:hAnsiTheme="minorEastAsia" w:cstheme="minorEastAsia"/>
          <w:kern w:val="0"/>
          <w:sz w:val="32"/>
          <w:szCs w:val="32"/>
          <w:highlight w:val="none"/>
          <w:lang w:val="en-US" w:eastAsia="zh-CN"/>
        </w:rPr>
        <w:t>我市一季度建筑业企</w:t>
      </w:r>
      <w:r>
        <w:rPr>
          <w:rFonts w:hint="default" w:ascii="Times New Roman" w:hAnsi="Times New Roman" w:eastAsia="仿宋_GB2312" w:cs="Times New Roman"/>
          <w:kern w:val="0"/>
          <w:sz w:val="32"/>
          <w:szCs w:val="32"/>
          <w:highlight w:val="none"/>
          <w:lang w:val="en-US" w:eastAsia="zh-CN"/>
        </w:rPr>
        <w:t>业在外省完成产值6.82亿元，占我市建筑业总产值的26.7%，上半年建筑业企业在外省完成产值17.70亿元，占我市建筑业总产值的33.3%，较一季度占比提高6.6个百分点，1-3季度建筑业企业在外省完成产值27.91亿元，占我市建筑业总产值的34.9%，</w:t>
      </w:r>
      <w:r>
        <w:rPr>
          <w:rFonts w:hint="eastAsia" w:ascii="仿宋_GB2312" w:eastAsia="仿宋_GB2312" w:hAnsiTheme="minorEastAsia" w:cstheme="minorEastAsia"/>
          <w:kern w:val="0"/>
          <w:sz w:val="32"/>
          <w:szCs w:val="32"/>
          <w:highlight w:val="none"/>
          <w:lang w:val="en-US" w:eastAsia="zh-CN"/>
        </w:rPr>
        <w:t xml:space="preserve">占比逐季攀升，省外市场份额占我市建筑业总产值比重加大。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right="0" w:rightChars="0"/>
        <w:jc w:val="center"/>
        <w:textAlignment w:val="auto"/>
        <w:outlineLvl w:val="9"/>
      </w:pPr>
      <w:r>
        <w:drawing>
          <wp:inline distT="0" distB="0" distL="114300" distR="114300">
            <wp:extent cx="5546725" cy="3306445"/>
            <wp:effectExtent l="0" t="0" r="635" b="63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sz w:val="13"/>
          <w:szCs w:val="13"/>
          <w:lang w:val="en-US" w:eastAsia="zh-CN"/>
        </w:rPr>
      </w:pPr>
      <w:r>
        <w:rPr>
          <w:rFonts w:hint="eastAsia" w:ascii="楷体" w:hAnsi="楷体" w:eastAsia="楷体" w:cs="楷体"/>
          <w:b w:val="0"/>
          <w:bCs w:val="0"/>
          <w:kern w:val="0"/>
          <w:sz w:val="30"/>
          <w:szCs w:val="30"/>
          <w:highlight w:val="none"/>
          <w:lang w:val="en-US" w:eastAsia="zh-CN"/>
        </w:rPr>
        <w:t>2021年1-3季度建筑业外省产值完成情况</w:t>
      </w:r>
    </w:p>
    <w:p>
      <w:pPr>
        <w:pStyle w:val="7"/>
        <w:keepNext w:val="0"/>
        <w:keepLines w:val="0"/>
        <w:pageBreakBefore w:val="0"/>
        <w:widowControl w:val="0"/>
        <w:suppressLineNumbers w:val="0"/>
        <w:shd w:val="clear" w:color="auto" w:fill="FFFFFF"/>
        <w:kinsoku/>
        <w:wordWrap w:val="0"/>
        <w:overflowPunct/>
        <w:topLinePunct w:val="0"/>
        <w:autoSpaceDE/>
        <w:autoSpaceDN/>
        <w:bidi w:val="0"/>
        <w:adjustRightInd/>
        <w:snapToGrid/>
        <w:spacing w:before="160" w:beforeLines="50" w:beforeAutospacing="0" w:after="0" w:afterAutospacing="0" w:line="600" w:lineRule="exact"/>
        <w:ind w:left="0" w:leftChars="0" w:right="0" w:rightChars="0" w:firstLine="640" w:firstLineChars="200"/>
        <w:jc w:val="both"/>
        <w:textAlignment w:val="auto"/>
        <w:outlineLvl w:val="9"/>
        <w:rPr>
          <w:rFonts w:hint="eastAsia" w:ascii="楷体" w:hAnsi="楷体" w:eastAsia="楷体" w:cstheme="minorEastAsia"/>
          <w:b w:val="0"/>
          <w:bCs w:val="0"/>
          <w:kern w:val="0"/>
          <w:sz w:val="32"/>
          <w:szCs w:val="32"/>
          <w:highlight w:val="none"/>
          <w:lang w:val="en-US" w:eastAsia="zh-CN"/>
        </w:rPr>
      </w:pPr>
      <w:r>
        <w:rPr>
          <w:rFonts w:hint="eastAsia" w:ascii="楷体" w:hAnsi="楷体" w:eastAsia="楷体" w:cstheme="minorEastAsia"/>
          <w:b w:val="0"/>
          <w:bCs w:val="0"/>
          <w:kern w:val="0"/>
          <w:sz w:val="32"/>
          <w:szCs w:val="32"/>
          <w:highlight w:val="none"/>
          <w:lang w:val="en-US" w:eastAsia="zh-CN"/>
        </w:rPr>
        <w:t>（五）用工规模扩大，劳动生产率提升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2021年1-3季度，全市建筑业企业从事建筑业活动的平均人数3.66万人，同比增长0.6%；建筑业企业期末人数3.68万人，同比增长2.3%。全市建筑业企业劳动生产率由上年同期的19.59万元/人提高到21.84万元/人，同比增长11.5%，较上半年提高0.9个百分点。我市建筑业企业吸纳就业能力和生产效率明显提升。</w:t>
      </w:r>
    </w:p>
    <w:p>
      <w:pPr>
        <w:pStyle w:val="7"/>
        <w:keepNext w:val="0"/>
        <w:keepLines w:val="0"/>
        <w:pageBreakBefore w:val="0"/>
        <w:widowControl w:val="0"/>
        <w:suppressLineNumbers w:val="0"/>
        <w:shd w:val="clear" w:color="auto"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楷体" w:cs="Times New Roman"/>
          <w:b/>
          <w:bCs/>
          <w:kern w:val="0"/>
          <w:sz w:val="32"/>
          <w:szCs w:val="32"/>
          <w:highlight w:val="none"/>
          <w:lang w:val="en-US" w:eastAsia="zh-CN"/>
        </w:rPr>
      </w:pPr>
      <w:r>
        <w:rPr>
          <w:rFonts w:hint="default" w:ascii="Times New Roman" w:hAnsi="Times New Roman" w:eastAsia="楷体" w:cs="Times New Roman"/>
          <w:b/>
          <w:bCs/>
          <w:kern w:val="0"/>
          <w:sz w:val="32"/>
          <w:szCs w:val="32"/>
          <w:highlight w:val="none"/>
          <w:lang w:val="en-US" w:eastAsia="zh-CN"/>
        </w:rPr>
        <w:t>（</w:t>
      </w:r>
      <w:r>
        <w:rPr>
          <w:rFonts w:hint="default" w:ascii="Times New Roman" w:hAnsi="Times New Roman" w:eastAsia="楷体" w:cs="Times New Roman"/>
          <w:b w:val="0"/>
          <w:bCs w:val="0"/>
          <w:kern w:val="0"/>
          <w:sz w:val="32"/>
          <w:szCs w:val="32"/>
          <w:highlight w:val="none"/>
          <w:lang w:val="en-US" w:eastAsia="zh-CN"/>
        </w:rPr>
        <w:t>六）营收利润双升，经营情况良好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2021年1-3季度，全市在统建筑业企业实现营业收入64.96亿元，同比增长22.2%；营业成本57.31亿元，同比增长22.9%，占收入的比重88.2%。企业利润总额45.34亿元，同比增长44.8%。呈现了利润增长快于营业收入增长、营收增长快于产值增长的良好态势。</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Cs/>
          <w:kern w:val="0"/>
          <w:sz w:val="32"/>
          <w:szCs w:val="32"/>
          <w:highlight w:val="none"/>
          <w:lang w:val="en-US" w:eastAsia="zh-CN"/>
        </w:rPr>
      </w:pPr>
      <w:r>
        <w:rPr>
          <w:rFonts w:hint="default" w:ascii="Times New Roman" w:hAnsi="Times New Roman" w:eastAsia="黑体" w:cs="Times New Roman"/>
          <w:bCs/>
          <w:kern w:val="0"/>
          <w:sz w:val="32"/>
          <w:szCs w:val="32"/>
          <w:highlight w:val="none"/>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b/>
          <w:bCs/>
          <w:kern w:val="0"/>
          <w:sz w:val="32"/>
          <w:szCs w:val="32"/>
          <w:highlight w:val="none"/>
          <w:lang w:val="en-US" w:eastAsia="zh-CN"/>
        </w:rPr>
      </w:pPr>
      <w:r>
        <w:rPr>
          <w:rFonts w:hint="default" w:ascii="Times New Roman" w:hAnsi="Times New Roman" w:eastAsia="楷体" w:cs="Times New Roman"/>
          <w:b w:val="0"/>
          <w:bCs w:val="0"/>
          <w:kern w:val="0"/>
          <w:sz w:val="32"/>
          <w:szCs w:val="32"/>
          <w:highlight w:val="none"/>
          <w:lang w:val="en-US" w:eastAsia="zh-CN"/>
        </w:rPr>
        <w:t>（一）缺乏骨干龙头企业，制约行业健康发展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leftChars="0" w:right="0" w:rightChars="0" w:firstLine="420" w:firstLineChars="200"/>
        <w:jc w:val="both"/>
        <w:textAlignment w:val="auto"/>
        <w:outlineLvl w:val="9"/>
        <w:rPr>
          <w:rFonts w:hint="eastAsia" w:ascii="仿宋_GB2312" w:eastAsia="仿宋_GB2312" w:hAnsiTheme="minorEastAsia" w:cstheme="minorEastAsia"/>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bidi="ar-SA"/>
        </w:rPr>
        <w:t>2021年1-3季度，</w:t>
      </w:r>
      <w:r>
        <w:rPr>
          <w:rFonts w:hint="default" w:ascii="Times New Roman" w:hAnsi="Times New Roman" w:eastAsia="仿宋_GB2312" w:cs="Times New Roman"/>
          <w:kern w:val="0"/>
          <w:sz w:val="32"/>
          <w:szCs w:val="32"/>
          <w:highlight w:val="none"/>
          <w:lang w:val="en-US" w:eastAsia="zh-CN"/>
        </w:rPr>
        <w:t>我市134家在统建筑业企业中，无特级资质企业，一级资质建筑业企业27家（其中总包仅6家），总产值55.65亿元，而二级及以下资质建筑企业有107家，占全部总、专业承包建筑企业比重为79.9%。由于企业资质低、规模普遍较小，中小企业技术力量薄弱，市场竞争力不强，向外拓展受到制约，再加上资金紧张，很难中标获得较大的工程，小企业只能承揽较小的工程或者分包其他建筑工程，利润空间较小。</w:t>
      </w:r>
    </w:p>
    <w:p>
      <w:pPr>
        <w:spacing w:line="540" w:lineRule="exact"/>
        <w:jc w:val="center"/>
        <w:rPr>
          <w:rFonts w:hint="eastAsia" w:ascii="楷体" w:hAnsi="楷体" w:eastAsia="楷体" w:cs="楷体"/>
          <w:b/>
          <w:bCs/>
          <w:kern w:val="0"/>
          <w:sz w:val="30"/>
          <w:szCs w:val="30"/>
          <w:highlight w:val="none"/>
          <w:lang w:val="en-US" w:eastAsia="zh-CN"/>
        </w:rPr>
      </w:pPr>
      <w:r>
        <w:drawing>
          <wp:anchor distT="0" distB="0" distL="114300" distR="114300" simplePos="0" relativeHeight="251661312" behindDoc="0" locked="0" layoutInCell="1" allowOverlap="1">
            <wp:simplePos x="0" y="0"/>
            <wp:positionH relativeFrom="column">
              <wp:posOffset>312420</wp:posOffset>
            </wp:positionH>
            <wp:positionV relativeFrom="paragraph">
              <wp:posOffset>83820</wp:posOffset>
            </wp:positionV>
            <wp:extent cx="5204460" cy="2832735"/>
            <wp:effectExtent l="0" t="0" r="7620" b="19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楷体" w:hAnsi="楷体" w:eastAsia="楷体" w:cs="楷体"/>
          <w:b w:val="0"/>
          <w:bCs w:val="0"/>
          <w:kern w:val="0"/>
          <w:sz w:val="30"/>
          <w:szCs w:val="30"/>
          <w:highlight w:val="none"/>
          <w:lang w:val="en-US" w:eastAsia="zh-CN"/>
        </w:rPr>
        <w:t>2021年1-3季度建筑业产值级别分布图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 w:hAnsi="楷体" w:eastAsia="楷体" w:cstheme="minorEastAsia"/>
          <w:b w:val="0"/>
          <w:bCs w:val="0"/>
          <w:kern w:val="0"/>
          <w:sz w:val="32"/>
          <w:szCs w:val="32"/>
          <w:highlight w:val="none"/>
          <w:lang w:val="en-US" w:eastAsia="zh-CN"/>
        </w:rPr>
      </w:pPr>
      <w:r>
        <w:rPr>
          <w:rFonts w:hint="eastAsia" w:ascii="楷体" w:hAnsi="楷体" w:eastAsia="楷体" w:cstheme="minorEastAsia"/>
          <w:b w:val="0"/>
          <w:bCs w:val="0"/>
          <w:kern w:val="0"/>
          <w:sz w:val="32"/>
          <w:szCs w:val="32"/>
          <w:highlight w:val="none"/>
          <w:lang w:val="en-US" w:eastAsia="zh-CN"/>
        </w:rPr>
        <w:t>（二）房屋施工面积减少，抑制企业后续发展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hAnsiTheme="minorEastAsia" w:cstheme="minorEastAsia"/>
          <w:kern w:val="0"/>
          <w:sz w:val="32"/>
          <w:szCs w:val="32"/>
          <w:highlight w:val="yellow"/>
          <w:lang w:val="en-US" w:eastAsia="zh-CN"/>
        </w:rPr>
      </w:pPr>
      <w:r>
        <w:rPr>
          <w:rFonts w:hint="default" w:ascii="Times New Roman" w:hAnsi="Times New Roman" w:eastAsia="仿宋_GB2312" w:cs="Times New Roman"/>
          <w:kern w:val="0"/>
          <w:sz w:val="32"/>
          <w:szCs w:val="32"/>
          <w:highlight w:val="none"/>
          <w:lang w:val="en-US" w:eastAsia="zh-CN" w:bidi="ar-SA"/>
        </w:rPr>
        <w:t>2021年1-3季度，</w:t>
      </w:r>
      <w:r>
        <w:rPr>
          <w:rFonts w:hint="default" w:ascii="Times New Roman" w:hAnsi="Times New Roman" w:eastAsia="仿宋_GB2312" w:cs="Times New Roman"/>
          <w:kern w:val="0"/>
          <w:sz w:val="32"/>
          <w:szCs w:val="32"/>
          <w:highlight w:val="none"/>
          <w:lang w:val="en-US" w:eastAsia="zh-CN"/>
        </w:rPr>
        <w:t>全市房屋建筑施工面积627.76万平方米，同比下降3.7%，其中一级资质企业施工面积358.95万平方米，同比下降7.8%，占全市建筑施工面积的57.2%。</w:t>
      </w:r>
    </w:p>
    <w:p>
      <w:pPr>
        <w:keepNext w:val="0"/>
        <w:keepLines w:val="0"/>
        <w:pageBreakBefore w:val="0"/>
        <w:numPr>
          <w:ilvl w:val="0"/>
          <w:numId w:val="0"/>
        </w:numPr>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楷体" w:hAnsi="楷体" w:eastAsia="楷体" w:cstheme="minorEastAsia"/>
          <w:b w:val="0"/>
          <w:bCs w:val="0"/>
          <w:kern w:val="0"/>
          <w:sz w:val="32"/>
          <w:szCs w:val="32"/>
          <w:highlight w:val="none"/>
          <w:lang w:val="en-US" w:eastAsia="zh-CN" w:bidi="ar-SA"/>
        </w:rPr>
      </w:pPr>
      <w:r>
        <w:rPr>
          <w:rFonts w:hint="eastAsia" w:ascii="楷体" w:hAnsi="楷体" w:eastAsia="楷体" w:cstheme="minorEastAsia"/>
          <w:b w:val="0"/>
          <w:bCs w:val="0"/>
          <w:kern w:val="0"/>
          <w:sz w:val="32"/>
          <w:szCs w:val="32"/>
          <w:highlight w:val="none"/>
          <w:lang w:val="en-US" w:eastAsia="zh-CN"/>
        </w:rPr>
        <w:t>（三）</w:t>
      </w:r>
      <w:r>
        <w:rPr>
          <w:rFonts w:hint="eastAsia" w:ascii="楷体" w:hAnsi="楷体" w:eastAsia="楷体" w:cstheme="minorEastAsia"/>
          <w:b w:val="0"/>
          <w:bCs w:val="0"/>
          <w:kern w:val="0"/>
          <w:sz w:val="32"/>
          <w:szCs w:val="32"/>
          <w:highlight w:val="none"/>
          <w:lang w:val="en-US" w:eastAsia="zh-CN" w:bidi="ar-SA"/>
        </w:rPr>
        <w:t>外埠市场竞争弱，限制企业外地发展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hAnsiTheme="minorEastAsia" w:cstheme="minorEastAsia"/>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我市</w:t>
      </w:r>
      <w:r>
        <w:rPr>
          <w:rFonts w:hint="default" w:ascii="Times New Roman" w:hAnsi="Times New Roman" w:eastAsia="仿宋_GB2312" w:cs="Times New Roman"/>
          <w:kern w:val="0"/>
          <w:sz w:val="32"/>
          <w:szCs w:val="32"/>
          <w:highlight w:val="none"/>
          <w:lang w:val="en-US" w:eastAsia="zh-CN" w:bidi="ar-SA"/>
        </w:rPr>
        <w:t>1-3季度</w:t>
      </w:r>
      <w:r>
        <w:rPr>
          <w:rFonts w:hint="default" w:ascii="Times New Roman" w:hAnsi="Times New Roman" w:eastAsia="仿宋_GB2312" w:cs="Times New Roman"/>
          <w:kern w:val="0"/>
          <w:sz w:val="32"/>
          <w:szCs w:val="32"/>
          <w:highlight w:val="none"/>
          <w:lang w:val="en-US" w:eastAsia="zh-CN"/>
        </w:rPr>
        <w:t>建筑业企业在外省完成产值27.91亿元，同比增长5.7%，仅拉动我市建筑业产值增长2.1个百分点。 从总体看，其总体完成产值远低于省内完成产值，增长速度低于省内完成产值情况（52.10亿元，16.0%）。从具体企业看，扣除部分峰值企业，大部分企业省外完成产值增速并不理想。由此可见，全市建筑业企业外埠市场开拓不足，当前建筑业行业竞争日益激烈，工程项目实行公开招标，本地市场被挤占，如果不能“走出去”，积极拓展外埠市场，全市建筑业企业将面临</w:t>
      </w:r>
      <w:r>
        <w:rPr>
          <w:rFonts w:hint="eastAsia" w:ascii="仿宋_GB2312" w:eastAsia="仿宋_GB2312" w:hAnsiTheme="minorEastAsia" w:cstheme="minorEastAsia"/>
          <w:kern w:val="0"/>
          <w:sz w:val="32"/>
          <w:szCs w:val="32"/>
          <w:highlight w:val="none"/>
          <w:lang w:val="en-US" w:eastAsia="zh-CN"/>
        </w:rPr>
        <w:t>较大挑战。</w:t>
      </w:r>
    </w:p>
    <w:p>
      <w:pPr>
        <w:keepNext w:val="0"/>
        <w:keepLines w:val="0"/>
        <w:pageBreakBefore w:val="0"/>
        <w:numPr>
          <w:ilvl w:val="0"/>
          <w:numId w:val="0"/>
        </w:numPr>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楷体" w:hAnsi="楷体" w:eastAsia="楷体" w:cstheme="minorEastAsia"/>
          <w:b w:val="0"/>
          <w:bCs w:val="0"/>
          <w:kern w:val="0"/>
          <w:sz w:val="32"/>
          <w:szCs w:val="32"/>
          <w:highlight w:val="none"/>
          <w:lang w:val="en-US" w:eastAsia="zh-CN"/>
        </w:rPr>
      </w:pPr>
      <w:r>
        <w:rPr>
          <w:rFonts w:hint="eastAsia" w:ascii="楷体" w:hAnsi="楷体" w:eastAsia="楷体" w:cstheme="minorEastAsia"/>
          <w:b w:val="0"/>
          <w:bCs w:val="0"/>
          <w:kern w:val="0"/>
          <w:sz w:val="32"/>
          <w:szCs w:val="32"/>
          <w:highlight w:val="none"/>
          <w:lang w:val="en-US" w:eastAsia="zh-CN"/>
        </w:rPr>
        <w:t>（四）技术基础薄弱，制约市场竞争力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hAnsiTheme="minorEastAsia" w:cstheme="minorEastAsia"/>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全市资质内建筑企业从业人员期末人数36823人，较去年同期增长2.3%，其中工程技术人员3550人，但同比不增反降，比降1.8%，仅占总从业人员数的9.6%，较去年同期（10.0%）降低0.4个百分点。内部技术人员所占比重低，专业人才流入少，企业培养力度不够，造成专业技术人员缺乏，从业人员整体素质偏低，在一定程</w:t>
      </w:r>
      <w:r>
        <w:rPr>
          <w:rFonts w:hint="eastAsia" w:ascii="仿宋_GB2312" w:eastAsia="仿宋_GB2312" w:hAnsiTheme="minorEastAsia" w:cstheme="minorEastAsia"/>
          <w:kern w:val="0"/>
          <w:sz w:val="32"/>
          <w:szCs w:val="32"/>
          <w:highlight w:val="none"/>
          <w:lang w:val="en-US" w:eastAsia="zh-CN"/>
        </w:rPr>
        <w:t>度上也降低了企业的市场竞争力，不利于企业健康发展。</w:t>
      </w:r>
    </w:p>
    <w:p>
      <w:pPr>
        <w:pStyle w:val="7"/>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楷体" w:hAnsi="楷体" w:eastAsia="楷体" w:cstheme="minorEastAsia"/>
          <w:b w:val="0"/>
          <w:bCs w:val="0"/>
          <w:kern w:val="0"/>
          <w:sz w:val="32"/>
          <w:szCs w:val="32"/>
          <w:highlight w:val="none"/>
          <w:lang w:val="en-US" w:eastAsia="zh-CN"/>
        </w:rPr>
      </w:pPr>
      <w:r>
        <w:rPr>
          <w:rFonts w:hint="eastAsia" w:ascii="楷体" w:hAnsi="楷体" w:eastAsia="楷体" w:cstheme="minorEastAsia"/>
          <w:b w:val="0"/>
          <w:bCs w:val="0"/>
          <w:kern w:val="0"/>
          <w:sz w:val="32"/>
          <w:szCs w:val="32"/>
          <w:highlight w:val="none"/>
          <w:lang w:val="en-US" w:eastAsia="zh-CN"/>
        </w:rPr>
        <w:t>（五）工程成本高，压缩盈利空间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Theme="minorEastAsia" w:hAnsiTheme="minorEastAsia" w:eastAsiaTheme="minorEastAsia" w:cstheme="minorEastAsia"/>
          <w:b w:val="0"/>
          <w:bCs w:val="0"/>
          <w:color w:val="auto"/>
          <w:kern w:val="0"/>
          <w:sz w:val="28"/>
          <w:szCs w:val="28"/>
          <w:lang w:val="en-US" w:eastAsia="zh-CN" w:bidi="ar"/>
        </w:rPr>
      </w:pPr>
      <w:r>
        <w:rPr>
          <w:rFonts w:hint="default" w:ascii="Times New Roman" w:hAnsi="Times New Roman" w:eastAsia="仿宋_GB2312" w:cs="Times New Roman"/>
          <w:kern w:val="0"/>
          <w:sz w:val="32"/>
          <w:szCs w:val="32"/>
          <w:highlight w:val="none"/>
          <w:lang w:val="en-US" w:eastAsia="zh-CN" w:bidi="ar-SA"/>
        </w:rPr>
        <w:t>2021年1-3季度，全市在统建筑业企业营业成本同比增长22.9％，占本季度工程营业收入的88.2%。材料运输成本、工程经营成本、企业管理费用的过快增长压低了盈利空间，利润总额仅占营业收入的7.0%，影响了企业经济效益</w:t>
      </w:r>
      <w:r>
        <w:rPr>
          <w:rFonts w:hint="eastAsia" w:ascii="仿宋_GB2312" w:eastAsia="仿宋_GB2312" w:hAnsiTheme="minorEastAsia" w:cstheme="minorEastAsia"/>
          <w:kern w:val="0"/>
          <w:sz w:val="32"/>
          <w:szCs w:val="32"/>
          <w:highlight w:val="none"/>
          <w:lang w:val="en-US" w:eastAsia="zh-CN" w:bidi="ar-SA"/>
        </w:rPr>
        <w:t>的提高。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right"/>
        <w:textAlignment w:val="auto"/>
        <w:outlineLvl w:val="9"/>
        <w:rPr>
          <w:rFonts w:hint="eastAsia" w:ascii="仿宋_GB2312" w:eastAsia="仿宋_GB2312" w:hAnsiTheme="minorEastAsia" w:cstheme="minorEastAsia"/>
          <w:kern w:val="0"/>
          <w:sz w:val="32"/>
          <w:szCs w:val="32"/>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eastAsia="仿宋_GB2312" w:hAnsiTheme="minorEastAsia" w:cstheme="minorEastAsia"/>
          <w:kern w:val="0"/>
          <w:sz w:val="32"/>
          <w:szCs w:val="32"/>
          <w:highlight w:val="none"/>
          <w:lang w:val="en-US" w:eastAsia="zh-CN"/>
        </w:rPr>
      </w:pPr>
      <w:r>
        <w:rPr>
          <w:rFonts w:hint="eastAsia" w:ascii="仿宋_GB2312" w:eastAsia="仿宋_GB2312" w:hAnsiTheme="minorEastAsia" w:cstheme="minorEastAsia"/>
          <w:kern w:val="0"/>
          <w:sz w:val="32"/>
          <w:szCs w:val="32"/>
          <w:highlight w:val="none"/>
          <w:lang w:val="en-US" w:eastAsia="zh-CN"/>
        </w:rPr>
        <w:t xml:space="preserve">                            （南安市统计局　赖艺婷）</w:t>
      </w:r>
    </w:p>
    <w:p>
      <w:pPr>
        <w:pStyle w:val="2"/>
        <w:wordWrap/>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仿宋_GB2312"/>
          <w:lang w:eastAsia="zh-CN"/>
        </w:rPr>
      </w:pPr>
      <w:r>
        <w:rPr>
          <w:rFonts w:hint="eastAsia" w:eastAsia="仿宋_GB2312"/>
          <w:lang w:eastAsia="zh-CN"/>
        </w:rPr>
        <w:drawing>
          <wp:inline distT="0" distB="0" distL="114300" distR="114300">
            <wp:extent cx="962025" cy="962025"/>
            <wp:effectExtent l="0" t="0" r="13335" b="13335"/>
            <wp:docPr id="5" name="图片 5"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code_for_gh_1eebab0522fd_258"/>
                    <pic:cNvPicPr>
                      <a:picLocks noChangeAspect="1"/>
                    </pic:cNvPicPr>
                  </pic:nvPicPr>
                  <pic:blipFill>
                    <a:blip r:embed="rId8"/>
                    <a:stretch>
                      <a:fillRect/>
                    </a:stretch>
                  </pic:blipFill>
                  <pic:spPr>
                    <a:xfrm>
                      <a:off x="0" y="0"/>
                      <a:ext cx="962025" cy="9620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仿宋_GB2312" w:cs="Times New Roman"/>
          <w:color w:val="000000"/>
          <w:kern w:val="2"/>
          <w:sz w:val="32"/>
          <w:szCs w:val="32"/>
        </w:rPr>
      </w:pPr>
      <w:r>
        <w:rPr>
          <w:rFonts w:hint="eastAsia" w:ascii="仿宋_GB2312" w:hAnsi="仿宋_GB2312" w:eastAsia="仿宋_GB2312" w:cs="仿宋_GB2312"/>
          <w:sz w:val="24"/>
          <w:szCs w:val="24"/>
          <w:lang w:val="en-US" w:eastAsia="zh-CN"/>
        </w:rPr>
        <w:t>扫码关注南安市统计局</w:t>
      </w:r>
    </w:p>
    <w:p>
      <w:pPr>
        <w:pStyle w:val="2"/>
        <w:wordWrap/>
        <w:rPr>
          <w:rFonts w:hint="eastAsia"/>
          <w:lang w:val="en-US" w:eastAsia="zh-CN"/>
        </w:rPr>
      </w:pPr>
    </w:p>
    <w:p>
      <w:pPr>
        <w:pStyle w:val="2"/>
        <w:wordWrap/>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指标解释：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建筑业总产值</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指以货币表现的建筑业企业在一定时期内生产的建筑业产品和服务的总和。建筑业总产值包括建筑工程产值、安装工程产值和其他产值三部分内容。 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从事建筑业活动的平均人数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指建筑业企业（或单位）报告期实际拥有的、与建筑施工活动有关的人员的平均人数。 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 w:hAnsi="楷体" w:eastAsia="楷体" w:cs="楷体"/>
          <w:b w:val="0"/>
          <w:bCs w:val="0"/>
          <w:kern w:val="0"/>
          <w:sz w:val="28"/>
          <w:szCs w:val="28"/>
          <w:highlight w:val="none"/>
          <w:lang w:val="en-US" w:eastAsia="zh-CN"/>
        </w:rPr>
      </w:pPr>
      <w:r>
        <w:rPr>
          <w:rFonts w:hint="eastAsia" w:ascii="楷体" w:hAnsi="楷体" w:eastAsia="楷体" w:cs="楷体"/>
          <w:b w:val="0"/>
          <w:bCs w:val="0"/>
          <w:sz w:val="28"/>
          <w:szCs w:val="28"/>
          <w:lang w:val="en-US" w:eastAsia="zh-CN"/>
        </w:rPr>
        <w:t>[3]</w:t>
      </w:r>
      <w:r>
        <w:rPr>
          <w:rFonts w:hint="eastAsia" w:ascii="楷体" w:hAnsi="楷体" w:eastAsia="楷体" w:cs="楷体"/>
          <w:b w:val="0"/>
          <w:bCs w:val="0"/>
          <w:sz w:val="28"/>
          <w:szCs w:val="28"/>
        </w:rPr>
        <w:t>建筑业企业期末人数</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指报告期末最后一日24时在本单位工作并取得劳动报酬或收入的期末实有人员数。</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71FE4"/>
    <w:multiLevelType w:val="singleLevel"/>
    <w:tmpl w:val="8D871FE4"/>
    <w:lvl w:ilvl="0" w:tentative="0">
      <w:start w:val="2"/>
      <w:numFmt w:val="chineseCounting"/>
      <w:suff w:val="nothing"/>
      <w:lvlText w:val="（%1）"/>
      <w:lvlJc w:val="left"/>
      <w:rPr>
        <w:rFonts w:hint="eastAsia"/>
      </w:rPr>
    </w:lvl>
  </w:abstractNum>
  <w:abstractNum w:abstractNumId="1">
    <w:nsid w:val="66F85049"/>
    <w:multiLevelType w:val="singleLevel"/>
    <w:tmpl w:val="66F8504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E06FF"/>
    <w:rsid w:val="006D2BB2"/>
    <w:rsid w:val="00D63400"/>
    <w:rsid w:val="019B09AB"/>
    <w:rsid w:val="01A971BF"/>
    <w:rsid w:val="01B37712"/>
    <w:rsid w:val="021C5BEB"/>
    <w:rsid w:val="02896632"/>
    <w:rsid w:val="04DF61FD"/>
    <w:rsid w:val="055B082E"/>
    <w:rsid w:val="05DC1593"/>
    <w:rsid w:val="0614482F"/>
    <w:rsid w:val="062B01DC"/>
    <w:rsid w:val="067031ED"/>
    <w:rsid w:val="07672DA9"/>
    <w:rsid w:val="08A00E3D"/>
    <w:rsid w:val="0948230A"/>
    <w:rsid w:val="0B386A52"/>
    <w:rsid w:val="0B413F64"/>
    <w:rsid w:val="0BC82066"/>
    <w:rsid w:val="0C995317"/>
    <w:rsid w:val="0F9A6099"/>
    <w:rsid w:val="117446FF"/>
    <w:rsid w:val="12E85C62"/>
    <w:rsid w:val="14AA4579"/>
    <w:rsid w:val="14C80A53"/>
    <w:rsid w:val="14CB51AD"/>
    <w:rsid w:val="15E43B71"/>
    <w:rsid w:val="15F3690F"/>
    <w:rsid w:val="18561E1F"/>
    <w:rsid w:val="1B131C19"/>
    <w:rsid w:val="1FF606BA"/>
    <w:rsid w:val="21F02941"/>
    <w:rsid w:val="2348701C"/>
    <w:rsid w:val="25F54C58"/>
    <w:rsid w:val="27A9003A"/>
    <w:rsid w:val="282D6248"/>
    <w:rsid w:val="288B3D64"/>
    <w:rsid w:val="289B7B9F"/>
    <w:rsid w:val="29CF66E4"/>
    <w:rsid w:val="2A1A44DE"/>
    <w:rsid w:val="2B1B0ECA"/>
    <w:rsid w:val="2D4F00BC"/>
    <w:rsid w:val="2DDE06FF"/>
    <w:rsid w:val="2E9E360B"/>
    <w:rsid w:val="30615AA2"/>
    <w:rsid w:val="311B7E29"/>
    <w:rsid w:val="319610B4"/>
    <w:rsid w:val="31CD02A2"/>
    <w:rsid w:val="34D72066"/>
    <w:rsid w:val="34E71D02"/>
    <w:rsid w:val="34EE371E"/>
    <w:rsid w:val="36083E08"/>
    <w:rsid w:val="36222A2E"/>
    <w:rsid w:val="3640540C"/>
    <w:rsid w:val="37003193"/>
    <w:rsid w:val="37127187"/>
    <w:rsid w:val="37410912"/>
    <w:rsid w:val="38B83F07"/>
    <w:rsid w:val="39732A25"/>
    <w:rsid w:val="399F5ACE"/>
    <w:rsid w:val="3A624ED7"/>
    <w:rsid w:val="3FDC2B93"/>
    <w:rsid w:val="405A283B"/>
    <w:rsid w:val="40DE4CAF"/>
    <w:rsid w:val="4252797B"/>
    <w:rsid w:val="444A5C6B"/>
    <w:rsid w:val="45016C93"/>
    <w:rsid w:val="452B658E"/>
    <w:rsid w:val="49DE51EF"/>
    <w:rsid w:val="4B374310"/>
    <w:rsid w:val="4B5A5395"/>
    <w:rsid w:val="4CD1451E"/>
    <w:rsid w:val="4D7F29D7"/>
    <w:rsid w:val="4D8526B6"/>
    <w:rsid w:val="4EB54528"/>
    <w:rsid w:val="4F4916E5"/>
    <w:rsid w:val="4F5D5DAD"/>
    <w:rsid w:val="4F882BF2"/>
    <w:rsid w:val="4FD76D60"/>
    <w:rsid w:val="50B14D89"/>
    <w:rsid w:val="50E0669A"/>
    <w:rsid w:val="51A436FF"/>
    <w:rsid w:val="54FF114D"/>
    <w:rsid w:val="55BC4EC0"/>
    <w:rsid w:val="57DB57FD"/>
    <w:rsid w:val="5A5A2219"/>
    <w:rsid w:val="5AD82BEE"/>
    <w:rsid w:val="5BB31670"/>
    <w:rsid w:val="5C8D4FAA"/>
    <w:rsid w:val="5D0B3A0B"/>
    <w:rsid w:val="5DDC5C60"/>
    <w:rsid w:val="5DFD3FCD"/>
    <w:rsid w:val="5F400EB2"/>
    <w:rsid w:val="5FD76467"/>
    <w:rsid w:val="62A0176A"/>
    <w:rsid w:val="665931A6"/>
    <w:rsid w:val="66C43361"/>
    <w:rsid w:val="671B2008"/>
    <w:rsid w:val="68537F01"/>
    <w:rsid w:val="692546FF"/>
    <w:rsid w:val="6A24675E"/>
    <w:rsid w:val="6B5965CE"/>
    <w:rsid w:val="6BE9405D"/>
    <w:rsid w:val="6C57189D"/>
    <w:rsid w:val="6DB00BBD"/>
    <w:rsid w:val="6F206CAA"/>
    <w:rsid w:val="701B2F3F"/>
    <w:rsid w:val="710516C5"/>
    <w:rsid w:val="71071493"/>
    <w:rsid w:val="71505658"/>
    <w:rsid w:val="71A948ED"/>
    <w:rsid w:val="71AD6702"/>
    <w:rsid w:val="729E2083"/>
    <w:rsid w:val="72EE0C18"/>
    <w:rsid w:val="7309303A"/>
    <w:rsid w:val="73895159"/>
    <w:rsid w:val="7492412F"/>
    <w:rsid w:val="759E5BCB"/>
    <w:rsid w:val="7605175A"/>
    <w:rsid w:val="7690518B"/>
    <w:rsid w:val="77472726"/>
    <w:rsid w:val="778B7FB5"/>
    <w:rsid w:val="7B746295"/>
    <w:rsid w:val="7D4F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8">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uiPriority w:val="0"/>
    <w:pPr>
      <w:ind w:firstLine="420" w:firstLineChars="200"/>
    </w:pPr>
    <w:rPr>
      <w:rFonts w:ascii="Times New Roman" w:hAnsi="Times New Roman"/>
    </w:rPr>
  </w:style>
  <w:style w:type="paragraph" w:styleId="3">
    <w:name w:val="toc 4"/>
    <w:basedOn w:val="1"/>
    <w:next w:val="1"/>
    <w:qFormat/>
    <w:uiPriority w:val="0"/>
    <w:pPr>
      <w:ind w:left="1260" w:leftChars="600"/>
    </w:pPr>
    <w:rPr>
      <w:rFonts w:ascii="Times New Roman" w:hAnsi="Times New Roman" w:eastAsia="宋体" w:cs="Times New Roman"/>
      <w:sz w:val="30"/>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icon"/>
    <w:basedOn w:val="8"/>
    <w:qFormat/>
    <w:uiPriority w:val="0"/>
  </w:style>
  <w:style w:type="character" w:customStyle="1" w:styleId="16">
    <w:name w:val="icon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65288;&#9733;2&#65289;&#32479;&#35745;&#20998;&#26512;&#12289;&#20449;&#24687;&#12289;&#24635;&#32467;\&#32479;&#35745;&#20998;&#26512;\2021\2021Q3&#20998;&#26512;\2021Q3&#24314;&#31569;&#19994;&#20998;&#26512;&#29992;&#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65288;&#9733;2&#65289;&#32479;&#35745;&#20998;&#26512;&#12289;&#20449;&#24687;&#12289;&#24635;&#32467;\&#32479;&#35745;&#20998;&#26512;\2021\2021Q3&#20998;&#26512;\2021Q3&#24314;&#31569;&#19994;&#20998;&#26512;&#29992;&#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'[2021Q3建筑业分析用数据.xlsx]2021Q2'!$M$47</c:f>
              <c:strCache>
                <c:ptCount val="1"/>
                <c:pt idx="0">
                  <c:v>完成产值</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'[2021Q3建筑业分析用数据.xlsx]2021Q2'!$L$48:$L$50</c:f>
              <c:strCache>
                <c:ptCount val="3"/>
                <c:pt idx="0">
                  <c:v>2021年1季度</c:v>
                </c:pt>
                <c:pt idx="1">
                  <c:v>2021年1-2季度</c:v>
                </c:pt>
                <c:pt idx="2">
                  <c:v>2021年1-3季度</c:v>
                </c:pt>
              </c:strCache>
            </c:strRef>
          </c:cat>
          <c:val>
            <c:numRef>
              <c:f>'[2021Q3建筑业分析用数据.xlsx]2021Q2'!$M$48:$M$50</c:f>
              <c:numCache>
                <c:formatCode>General</c:formatCode>
                <c:ptCount val="3"/>
                <c:pt idx="0">
                  <c:v>6.82</c:v>
                </c:pt>
                <c:pt idx="1">
                  <c:v>17.7</c:v>
                </c:pt>
                <c:pt idx="2">
                  <c:v>27.91</c:v>
                </c:pt>
              </c:numCache>
            </c:numRef>
          </c:val>
        </c:ser>
        <c:dLbls>
          <c:showLegendKey val="0"/>
          <c:showVal val="1"/>
          <c:showCatName val="0"/>
          <c:showSerName val="0"/>
          <c:showPercent val="0"/>
          <c:showBubbleSize val="0"/>
        </c:dLbls>
        <c:gapWidth val="219"/>
        <c:overlap val="-27"/>
        <c:axId val="29321421"/>
        <c:axId val="27892397"/>
      </c:barChart>
      <c:lineChart>
        <c:grouping val="standard"/>
        <c:varyColors val="0"/>
        <c:ser>
          <c:idx val="1"/>
          <c:order val="1"/>
          <c:tx>
            <c:strRef>
              <c:f>'[2021Q3建筑业分析用数据.xlsx]2021Q2'!$N$47</c:f>
              <c:strCache>
                <c:ptCount val="1"/>
                <c:pt idx="0">
                  <c:v>占比</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'[2021Q3建筑业分析用数据.xlsx]2021Q2'!$L$48:$L$50</c:f>
              <c:strCache>
                <c:ptCount val="3"/>
                <c:pt idx="0">
                  <c:v>2021年1季度</c:v>
                </c:pt>
                <c:pt idx="1">
                  <c:v>2021年1-2季度</c:v>
                </c:pt>
                <c:pt idx="2">
                  <c:v>2021年1-3季度</c:v>
                </c:pt>
              </c:strCache>
            </c:strRef>
          </c:cat>
          <c:val>
            <c:numRef>
              <c:f>'[2021Q3建筑业分析用数据.xlsx]2021Q2'!$N$48:$N$50</c:f>
              <c:numCache>
                <c:formatCode>0.00%</c:formatCode>
                <c:ptCount val="3"/>
                <c:pt idx="0">
                  <c:v>0.267</c:v>
                </c:pt>
                <c:pt idx="1">
                  <c:v>0.333</c:v>
                </c:pt>
                <c:pt idx="2">
                  <c:v>0.349</c:v>
                </c:pt>
              </c:numCache>
            </c:numRef>
          </c:val>
          <c:smooth val="0"/>
        </c:ser>
        <c:dLbls>
          <c:showLegendKey val="0"/>
          <c:showVal val="1"/>
          <c:showCatName val="0"/>
          <c:showSerName val="0"/>
          <c:showPercent val="0"/>
          <c:showBubbleSize val="0"/>
        </c:dLbls>
        <c:marker val="0"/>
        <c:smooth val="0"/>
        <c:axId val="801057271"/>
        <c:axId val="491701685"/>
      </c:lineChart>
      <c:catAx>
        <c:axId val="293214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27892397"/>
        <c:crosses val="autoZero"/>
        <c:auto val="1"/>
        <c:lblAlgn val="ctr"/>
        <c:lblOffset val="100"/>
        <c:noMultiLvlLbl val="0"/>
      </c:catAx>
      <c:valAx>
        <c:axId val="2789239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建筑业外省完成产值（亿元）</a:t>
                </a:r>
                <a:endParaRPr b="1"/>
              </a:p>
            </c:rich>
          </c:tx>
          <c:layout>
            <c:manualLayout>
              <c:xMode val="edge"/>
              <c:yMode val="edge"/>
              <c:x val="0.0166177908113392"/>
              <c:y val="0.15059523809523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29321421"/>
        <c:crosses val="autoZero"/>
        <c:crossBetween val="between"/>
      </c:valAx>
      <c:catAx>
        <c:axId val="801057271"/>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91701685"/>
        <c:crosses val="autoZero"/>
        <c:auto val="1"/>
        <c:lblAlgn val="ctr"/>
        <c:lblOffset val="100"/>
        <c:noMultiLvlLbl val="0"/>
      </c:catAx>
      <c:valAx>
        <c:axId val="491701685"/>
        <c:scaling>
          <c:orientation val="minMax"/>
        </c:scaling>
        <c:delete val="0"/>
        <c:axPos val="r"/>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建筑业外省完成产值占总产值比重（</a:t>
                </a:r>
                <a:r>
                  <a:rPr lang="en-US" altLang="zh-CN" b="1"/>
                  <a:t>%</a:t>
                </a:r>
                <a:r>
                  <a:rPr altLang="en-US" b="1"/>
                  <a:t>）</a:t>
                </a:r>
                <a:endParaRPr altLang="en-US" b="1"/>
              </a:p>
            </c:rich>
          </c:tx>
          <c:layout>
            <c:manualLayout>
              <c:xMode val="edge"/>
              <c:yMode val="edge"/>
              <c:x val="0.945503421309873"/>
              <c:y val="0.0513546798029558"/>
            </c:manualLayout>
          </c:layout>
          <c:overlay val="0"/>
          <c:spPr>
            <a:noFill/>
            <a:ln>
              <a:noFill/>
            </a:ln>
            <a:effectLst/>
          </c:spPr>
        </c:title>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01057271"/>
        <c:crosses val="max"/>
        <c:crossBetween val="between"/>
        <c:minorUnit val="0.1"/>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67050199098"/>
          <c:y val="0.0911002102312544"/>
          <c:w val="0.839082338152106"/>
          <c:h val="0.623089820359282"/>
        </c:manualLayout>
      </c:layout>
      <c:barChart>
        <c:barDir val="bar"/>
        <c:grouping val="clustered"/>
        <c:varyColors val="0"/>
        <c:ser>
          <c:idx val="0"/>
          <c:order val="0"/>
          <c:tx>
            <c:strRef>
              <c:f>'[2021Q3建筑业分析用数据.xlsx]2021Q3'!$O$18</c:f>
              <c:strCache>
                <c:ptCount val="1"/>
                <c:pt idx="0">
                  <c:v>总包</c:v>
                </c:pt>
              </c:strCache>
            </c:strRef>
          </c:tx>
          <c:spPr>
            <a:solidFill>
              <a:schemeClr val="accent1"/>
            </a:solidFill>
            <a:ln>
              <a:noFill/>
            </a:ln>
            <a:effectLst/>
          </c:spPr>
          <c:invertIfNegative val="0"/>
          <c:dLbls>
            <c:delete val="1"/>
          </c:dLbls>
          <c:cat>
            <c:strRef>
              <c:f>'[2021Q3建筑业分析用数据.xlsx]2021Q3'!$N$19:$N$22</c:f>
              <c:strCache>
                <c:ptCount val="4"/>
                <c:pt idx="0">
                  <c:v>三级</c:v>
                </c:pt>
                <c:pt idx="1">
                  <c:v>二级</c:v>
                </c:pt>
                <c:pt idx="2">
                  <c:v>一级</c:v>
                </c:pt>
                <c:pt idx="3">
                  <c:v>合计</c:v>
                </c:pt>
              </c:strCache>
            </c:strRef>
          </c:cat>
          <c:val>
            <c:numRef>
              <c:f>'[2021Q3建筑业分析用数据.xlsx]2021Q3'!$O$19:$O$22</c:f>
              <c:numCache>
                <c:formatCode>General</c:formatCode>
                <c:ptCount val="4"/>
                <c:pt idx="0">
                  <c:v>64</c:v>
                </c:pt>
                <c:pt idx="1">
                  <c:v>16</c:v>
                </c:pt>
                <c:pt idx="2">
                  <c:v>7</c:v>
                </c:pt>
                <c:pt idx="3">
                  <c:v>87</c:v>
                </c:pt>
              </c:numCache>
            </c:numRef>
          </c:val>
        </c:ser>
        <c:ser>
          <c:idx val="1"/>
          <c:order val="1"/>
          <c:tx>
            <c:strRef>
              <c:f>'[2021Q3建筑业分析用数据.xlsx]2021Q3'!$P$18</c:f>
              <c:strCache>
                <c:ptCount val="1"/>
                <c:pt idx="0">
                  <c:v>专包</c:v>
                </c:pt>
              </c:strCache>
            </c:strRef>
          </c:tx>
          <c:spPr>
            <a:pattFill prst="wdUpDiag">
              <a:fgClr>
                <a:schemeClr val="accent1"/>
              </a:fgClr>
              <a:bgClr>
                <a:schemeClr val="bg1"/>
              </a:bgClr>
            </a:pattFill>
            <a:ln>
              <a:noFill/>
            </a:ln>
            <a:effectLst/>
          </c:spPr>
          <c:invertIfNegative val="0"/>
          <c:dLbls>
            <c:delete val="1"/>
          </c:dLbls>
          <c:cat>
            <c:strRef>
              <c:f>'[2021Q3建筑业分析用数据.xlsx]2021Q3'!$N$19:$N$22</c:f>
              <c:strCache>
                <c:ptCount val="4"/>
                <c:pt idx="0">
                  <c:v>三级</c:v>
                </c:pt>
                <c:pt idx="1">
                  <c:v>二级</c:v>
                </c:pt>
                <c:pt idx="2">
                  <c:v>一级</c:v>
                </c:pt>
                <c:pt idx="3">
                  <c:v>合计</c:v>
                </c:pt>
              </c:strCache>
            </c:strRef>
          </c:cat>
          <c:val>
            <c:numRef>
              <c:f>'[2021Q3建筑业分析用数据.xlsx]2021Q3'!$P$19:$P$22</c:f>
              <c:numCache>
                <c:formatCode>General</c:formatCode>
                <c:ptCount val="4"/>
                <c:pt idx="0">
                  <c:v>4</c:v>
                </c:pt>
                <c:pt idx="1">
                  <c:v>23</c:v>
                </c:pt>
                <c:pt idx="2">
                  <c:v>20</c:v>
                </c:pt>
                <c:pt idx="3">
                  <c:v>47</c:v>
                </c:pt>
              </c:numCache>
            </c:numRef>
          </c:val>
        </c:ser>
        <c:dLbls>
          <c:showLegendKey val="0"/>
          <c:showVal val="0"/>
          <c:showCatName val="0"/>
          <c:showSerName val="0"/>
          <c:showPercent val="0"/>
          <c:showBubbleSize val="0"/>
        </c:dLbls>
        <c:gapWidth val="182"/>
        <c:overlap val="0"/>
        <c:axId val="422803883"/>
        <c:axId val="162491053"/>
      </c:barChart>
      <c:catAx>
        <c:axId val="422803883"/>
        <c:scaling>
          <c:orientation val="minMax"/>
        </c:scaling>
        <c:delete val="0"/>
        <c:axPos val="l"/>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altLang="en-US" b="1"/>
                  <a:t>企业资质级别</a:t>
                </a:r>
                <a:endParaRPr altLang="en-US" b="1"/>
              </a:p>
            </c:rich>
          </c:tx>
          <c:layout>
            <c:manualLayout>
              <c:xMode val="edge"/>
              <c:yMode val="edge"/>
              <c:x val="0.00366032210834553"/>
              <c:y val="0.243102957364878"/>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62491053"/>
        <c:crosses val="autoZero"/>
        <c:auto val="1"/>
        <c:lblAlgn val="ctr"/>
        <c:lblOffset val="100"/>
        <c:noMultiLvlLbl val="0"/>
      </c:catAx>
      <c:valAx>
        <c:axId val="16249105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企业数量</a:t>
                </a:r>
                <a:endParaRPr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2280388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449914592484139"/>
          <c:y val="0.877131511329129"/>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2020-04-17T07:56:00Z</dcterms:created>
  <dc:creator>lmx</dc:creator>
  <cp:lastModifiedBy>HP</cp:lastModifiedBy>
  <cp:lastPrinted>2021-11-05T07:29:00Z</cp:lastPrinted>
  <dcterms:modified xsi:type="dcterms:W3CDTF">2021-11-17T07:07:39Z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y fmtid="{D5CDD505-2E9C-101B-9397-08002B2CF9AE}" pid="3" name="ICV">
    <vt:lpwstr>0C0E695B2BD04C6CA56202015A4DFF11</vt:lpwstr>
  </property>
</Properties>
</file>