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875"/>
        </w:tabs>
        <w:spacing w:line="560" w:lineRule="exact"/>
        <w:ind w:firstLine="22"/>
        <w:textAlignment w:val="baseline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*南简报N024号</w:t>
      </w:r>
    </w:p>
    <w:p>
      <w:pPr>
        <w:widowControl/>
        <w:spacing w:line="560" w:lineRule="exact"/>
        <w:jc w:val="center"/>
        <w:textAlignment w:val="baseline"/>
        <w:rPr>
          <w:rFonts w:hint="eastAsia" w:ascii="仿宋_GB2312" w:hAnsi="宋体"/>
          <w:color w:val="000000"/>
          <w:kern w:val="0"/>
          <w:szCs w:val="32"/>
        </w:rPr>
      </w:pPr>
    </w:p>
    <w:p>
      <w:pPr>
        <w:widowControl/>
        <w:spacing w:line="560" w:lineRule="exact"/>
        <w:ind w:firstLine="22"/>
        <w:jc w:val="center"/>
        <w:textAlignment w:val="baseline"/>
        <w:rPr>
          <w:rFonts w:hint="eastAsia" w:ascii="仿宋_GB2312" w:hAnsi="宋体"/>
          <w:color w:val="000000"/>
          <w:kern w:val="0"/>
          <w:szCs w:val="32"/>
        </w:rPr>
      </w:pPr>
      <w:r>
        <w:rPr>
          <w:rFonts w:hint="eastAsia" w:ascii="仿宋_GB2312" w:hAnsi="宋体"/>
          <w:color w:val="000000"/>
          <w:kern w:val="0"/>
          <w:szCs w:val="32"/>
        </w:rPr>
        <w:pict>
          <v:shape id="_x0000_s1026" o:spid="_x0000_s1026" o:spt="136" type="#_x0000_t136" style="position:absolute;left:0pt;margin-left:95.95pt;margin-top:140.65pt;height:72.7pt;width:424.6pt;mso-position-horizontal-relative:page;mso-position-vertical-relative:page;z-index:251658240;mso-width-relative:page;mso-height-relative:page;" fillcolor="#FF0000" filled="t" stroked="t" coordsize="21600,21600">
            <v:path/>
            <v:fill on="t" focussize="0,0"/>
            <v:stroke color="#FFFFFF" joinstyle="bevel"/>
            <v:imagedata o:title=""/>
            <o:lock v:ext="edit" grouping="f" rotation="f" text="f" aspectratio="f"/>
            <v:textpath on="t" fitshape="t" fitpath="t" trim="t" xscale="f" string="南安统计信息" style="font-family:方正大标宋简体;font-size:36pt;v-text-align:center;"/>
          </v:shape>
        </w:pict>
      </w:r>
    </w:p>
    <w:p>
      <w:pPr>
        <w:widowControl/>
        <w:spacing w:line="560" w:lineRule="exact"/>
        <w:textAlignment w:val="baseline"/>
        <w:rPr>
          <w:rFonts w:hint="eastAsia" w:ascii="仿宋_GB2312" w:hAnsi="宋体"/>
          <w:color w:val="000000"/>
          <w:kern w:val="0"/>
          <w:szCs w:val="32"/>
        </w:rPr>
      </w:pPr>
    </w:p>
    <w:p>
      <w:pPr>
        <w:widowControl/>
        <w:spacing w:line="560" w:lineRule="exact"/>
        <w:ind w:firstLine="22"/>
        <w:jc w:val="center"/>
        <w:textAlignment w:val="baseline"/>
        <w:rPr>
          <w:rFonts w:hint="eastAsia" w:ascii="仿宋_GB2312" w:hAnsi="宋体"/>
          <w:color w:val="000000"/>
          <w:kern w:val="0"/>
          <w:szCs w:val="32"/>
        </w:rPr>
      </w:pPr>
    </w:p>
    <w:p>
      <w:pPr>
        <w:widowControl/>
        <w:spacing w:line="560" w:lineRule="exact"/>
        <w:ind w:firstLine="22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期</w:t>
      </w:r>
    </w:p>
    <w:p>
      <w:pPr>
        <w:widowControl/>
        <w:spacing w:line="560" w:lineRule="exact"/>
        <w:ind w:firstLine="22"/>
        <w:jc w:val="center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南安市统计局  编                    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103505</wp:posOffset>
                </wp:positionV>
                <wp:extent cx="6125845" cy="76200"/>
                <wp:effectExtent l="7620" t="0" r="8255" b="2286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5845" cy="762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09" type="#_x0000_t109" style="position:absolute;left:0pt;flip:y;margin-left:-15.3pt;margin-top:8.15pt;height:6pt;width:482.35pt;z-index:251659264;mso-width-relative:page;mso-height-relative:page;" fillcolor="#FF0000" filled="t" stroked="t" coordsize="21600,21600" o:gfxdata="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7/h77ZAAAACQEAAA8AAAAAAAAAAQAgAAAAIgAAAGRycy9kb3du&#10;cmV2LnhtbFBLAQIUABQAAAAIAIdO4kAbj7Dr/gEAAPoDAAAOAAAAAAAAAAEAIAAAACgBAABkcnMv&#10;ZTJvRG9jLnhtbFBLBQYAAAAABgAGAFkBAACYBQAAAAA=&#10;">
                <v:fill on="t" focussize="0,0"/>
                <v:stroke weight="1.25pt" color="#FFFFFF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2021年1-3季度房地产开发经营稳步向好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333333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2021年以来，我市继续坚决贯彻党中央、国务院一系列调控精神，坚持“房住不炒”的定位，积极按照因城施策的总体部署，不断加强房地产市场调控力度。房地产开发投资是固定资产投资的重要组成部分，1-9月我市房地产开发投资增速在半年来首次超过固定资产投资增速，发挥重要支柱作用。9月份，受疫情影响，销售增长情况有所减缓，但仍保持恢复性增长态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一、房地产开发经营情况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Cs/>
          <w:color w:val="auto"/>
          <w:kern w:val="0"/>
          <w:sz w:val="32"/>
          <w:szCs w:val="32"/>
          <w:highlight w:val="none"/>
          <w:lang w:val="en-US" w:eastAsia="zh-CN"/>
        </w:rPr>
        <w:t>（一）房地产开发投资增长较快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2021年1-9月，全市房地产开发投资103.63亿元，同比增长21.9%，半年来首次超过固定资产投资增速，拉动我市固定资产投资增长6.4个百分点，较上半年提高3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.5个百分点；比2019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年同期增长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53.6%，两年平均增长23.9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sectPr>
          <w:pgSz w:w="11850" w:h="16783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highlight w:val="none"/>
          <w:lang w:val="en-US"/>
        </w:rPr>
      </w:pPr>
      <w:r>
        <w:rPr>
          <w:rFonts w:hint="eastAsia" w:ascii="楷体" w:hAnsi="楷体" w:eastAsia="楷体" w:cs="楷体"/>
          <w:sz w:val="30"/>
          <w:szCs w:val="30"/>
          <w:highlight w:val="none"/>
          <w:lang w:val="en-US" w:eastAsia="zh-CN"/>
        </w:rPr>
        <w:pict>
          <v:shape id="_x0000_s1028" o:spid="_x0000_s1028" o:spt="75" type="#_x0000_t75" style="position:absolute;left:0pt;margin-left:-20.55pt;margin-top:-30.3pt;height:272.85pt;width:472.6pt;mso-wrap-distance-bottom:0pt;mso-wrap-distance-top:0pt;z-index:251660288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topAndBottom"/>
          </v:shape>
          <o:OLEObject Type="Embed" ProgID="Excel.Chart.8" ShapeID="_x0000_s1028" DrawAspect="Content" ObjectID="_1468075725" r:id="rId5">
            <o:LockedField>false</o:LockedField>
          </o:OLEObject>
        </w:pic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2020-2021年南安市房地产开发投资增速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（二）房屋新开工面积稳中有进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2021年1-9月，我市房屋新开工面积116.31万平方米，比去年同期增长9.7%。分类型看，住宅新开工面积73.89万平方米，同比增长66.0%；商办及其他新开工面积42.42万平方米，增长-31.1%。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/>
        <w:jc w:val="center"/>
        <w:rPr>
          <w:rFonts w:hint="default" w:ascii="黑体" w:hAnsi="黑体" w:eastAsia="黑体" w:cs="黑体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2021年1-3季度南安市房屋新开工和竣工情况</w:t>
      </w:r>
    </w:p>
    <w:tbl>
      <w:tblPr>
        <w:tblStyle w:val="11"/>
        <w:tblW w:w="8829" w:type="dxa"/>
        <w:jc w:val="center"/>
        <w:tblInd w:w="-98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1"/>
        <w:gridCol w:w="1872"/>
        <w:gridCol w:w="1404"/>
        <w:gridCol w:w="1812"/>
        <w:gridCol w:w="13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2361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分类</w:t>
            </w:r>
          </w:p>
        </w:tc>
        <w:tc>
          <w:tcPr>
            <w:tcW w:w="187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新开工面积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（万平方米）</w:t>
            </w:r>
          </w:p>
        </w:tc>
        <w:tc>
          <w:tcPr>
            <w:tcW w:w="140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竣工面积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（万平方米）</w:t>
            </w:r>
          </w:p>
        </w:tc>
        <w:tc>
          <w:tcPr>
            <w:tcW w:w="138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2361" w:type="dxa"/>
            <w:vMerge w:val="continue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同比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增长(%)</w:t>
            </w:r>
          </w:p>
        </w:tc>
        <w:tc>
          <w:tcPr>
            <w:tcW w:w="18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同比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增长(%)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361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全部房屋</w:t>
            </w:r>
          </w:p>
        </w:tc>
        <w:tc>
          <w:tcPr>
            <w:tcW w:w="187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116.31</w:t>
            </w:r>
          </w:p>
        </w:tc>
        <w:tc>
          <w:tcPr>
            <w:tcW w:w="140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9.7</w:t>
            </w:r>
          </w:p>
        </w:tc>
        <w:tc>
          <w:tcPr>
            <w:tcW w:w="181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60.45</w:t>
            </w:r>
          </w:p>
        </w:tc>
        <w:tc>
          <w:tcPr>
            <w:tcW w:w="138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-14.6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3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住宅</w:t>
            </w: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73.89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66.0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27.80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-47.9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3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办公楼</w:t>
            </w: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0.21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-97.6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12.50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3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商业营业用房</w:t>
            </w: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19.45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-40.1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1.67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-61.1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361" w:type="dxa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其他</w:t>
            </w: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22.77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13.4</w:t>
            </w:r>
          </w:p>
        </w:tc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18.48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41.1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>注：因四舍五入问题合计可能不等于分项之和。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2021年1-9月，我市房屋竣工面积60.45万平方米，比去年同期增长-14.6%。其中，住宅竣工面积27.80万平方米，同比增长-47.9%；商办及其他竣工面积32.65万平方米，增长87.7%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Cs/>
          <w:color w:val="auto"/>
          <w:kern w:val="0"/>
          <w:sz w:val="32"/>
          <w:szCs w:val="32"/>
          <w:highlight w:val="none"/>
          <w:lang w:val="en-US" w:eastAsia="zh-CN"/>
        </w:rPr>
        <w:t>（三）开发项目本年到位资金较快增长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Calibri" w:hAnsi="Calibri" w:cs="Calibri"/>
          <w:sz w:val="21"/>
          <w:szCs w:val="21"/>
          <w:highlight w:val="yellow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2021年1-9月，我市房地产开发项目本年到位资金161.69亿元，比去年同期增长54.4%。从资金来源渠道看，市场化住宅成交保持一定规模带动了购房款回笼，定金预付款57.99亿元，同比增长77.3％，成交量高居首位；国内贷款企业和自筹资金也保持较高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81"/>
        <w:jc w:val="center"/>
        <w:rPr>
          <w:rFonts w:hint="default" w:ascii="Calibri" w:hAnsi="Calibri" w:cs="Calibri"/>
          <w:sz w:val="21"/>
          <w:szCs w:val="21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2021年1-3季度南安市开发项目本年到位资金情况</w:t>
      </w:r>
    </w:p>
    <w:tbl>
      <w:tblPr>
        <w:tblStyle w:val="11"/>
        <w:tblW w:w="8600" w:type="dxa"/>
        <w:jc w:val="center"/>
        <w:tblInd w:w="-43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3"/>
        <w:gridCol w:w="2172"/>
        <w:gridCol w:w="2196"/>
        <w:gridCol w:w="16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258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指标</w:t>
            </w:r>
          </w:p>
        </w:tc>
        <w:tc>
          <w:tcPr>
            <w:tcW w:w="2172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资金额（亿元）</w:t>
            </w:r>
          </w:p>
        </w:tc>
        <w:tc>
          <w:tcPr>
            <w:tcW w:w="2196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同比增长（%）</w:t>
            </w:r>
          </w:p>
        </w:tc>
        <w:tc>
          <w:tcPr>
            <w:tcW w:w="1649" w:type="dxa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比重（%）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583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本年实际到位资金</w:t>
            </w:r>
          </w:p>
        </w:tc>
        <w:tc>
          <w:tcPr>
            <w:tcW w:w="217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161.69</w:t>
            </w:r>
          </w:p>
        </w:tc>
        <w:tc>
          <w:tcPr>
            <w:tcW w:w="219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54.4</w:t>
            </w:r>
          </w:p>
        </w:tc>
        <w:tc>
          <w:tcPr>
            <w:tcW w:w="16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100.0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5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国内贷款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12.99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307.7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8.0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5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自筹资金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42.07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77.1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26.0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5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定金及预收款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57.99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77.3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35.9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25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个人按揭贷款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47.08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19.5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29.1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583" w:type="dxa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 w:bidi="ar"/>
              </w:rPr>
              <w:t>其他到位资金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1.56</w:t>
            </w:r>
          </w:p>
        </w:tc>
        <w:tc>
          <w:tcPr>
            <w:tcW w:w="2196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-72.7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1.0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Cs/>
          <w:color w:val="auto"/>
          <w:kern w:val="0"/>
          <w:sz w:val="32"/>
          <w:szCs w:val="32"/>
          <w:highlight w:val="none"/>
          <w:lang w:val="en-US" w:eastAsia="zh-CN"/>
        </w:rPr>
        <w:t>（四）土地市场交易保持一定热度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2021年1-9月，我市房地产开发企业土地购置面积19.79万平方米，同比增长69.0%；土地成交价款17.71亿元，同比增长116.4%。土地作为房地产市场的“源头”和先行指标，与房地产市场发展息息相关，土地指标呈现良好增长态势，一定程度上增强了我市房产项目储备，有利于房地产市场长期平稳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（五）商品房销售持续活跃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2021年1-9月，我市房地产企业商品房销售面积160.61万平方米，同比增长46.7%。从房屋类型看，住宅销售面积增长53.5%，办公楼销售面积增长-40.8%，商业营业用房销售面积增长-11.3%。商品房销售额133.83亿元，增长50.3%。从销售端看，住宅销售额增长52.2%，办公楼销售额增长-44.1%，商业营业用房销售额增长-18.3%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highlight w:val="none"/>
          <w:lang w:val="en-US" w:eastAsia="zh-CN"/>
        </w:rPr>
        <w:pict>
          <v:shape id="_x0000_s1029" o:spid="_x0000_s1029" o:spt="75" type="#_x0000_t75" style="position:absolute;left:0pt;margin-left:-34.6pt;margin-top:14.6pt;height:328.75pt;width:505.65pt;mso-wrap-distance-bottom:0pt;mso-wrap-distance-top:0pt;z-index:251661312;mso-width-relative:page;mso-height-relative:page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topAndBottom"/>
          </v:shape>
          <o:OLEObject Type="Embed" ProgID="Excel.Chart.8" ShapeID="_x0000_s1029" DrawAspect="Content" ObjectID="_1468075726" r:id="rId7">
            <o:LockedField>false</o:LockedField>
          </o:OLEObject>
        </w:pic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2020-2021年南安市房地产商品房销售面积情况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2020年受疫情影响，全市房地产项目建设周期和上市节奏明显延缓，居民购房意愿明显下降，全年商品房销售面积减小，呈负增长态势，于年底转负为正。今年年初受低基数效应以及房企营销力度加大，加速销售回款，年初销售面积保持极高的增长速度。2020年二季度后，疫情受到良好控制，复工复产有序推进，商品房销售情况回暖，因此造成今年基数一季度较低，后续逐步增加的趋势，因此我市今年销售面积保持着逐步回落的恢复性增长态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（一）投资后劲乏力，投资结构失衡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一是高基数增长效应显著。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近年来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，我市房地产开发投资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持续保持较快增长态势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投资基数较高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2017年-2020年分别同比增长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19.0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24.0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45.6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32.1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%。经过连续多年的快速发展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，我市房地产开发投资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一直在高位运行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投资基数较大。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eastAsia="zh-CN"/>
        </w:rPr>
        <w:t>二是投资结构失衡。一是有效投资减少。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我市2021年1-9月房地产企业建安投资共计59.88亿元，同比降低0.9%，建安投资才是房地产开发投资持续平稳增长的主要支撑点，而我市1-9月建安投资占比仅57.8%，投资结构的失衡不利于我市房地产开发市场平稳运行。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二是土地依赖性增强。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多年来，我市房地产开发投资对土地购置费的依赖程度较高，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2017年-2020年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土地购置费占房地产开发投资的比重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分别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32.5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18.3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36.5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29.1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今年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1-3季度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我市土地购置费达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41.91亿，占我市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房地产开发投资比重高达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40.4%，较上半年增加1.8个百分点，加剧了我市房地产开发投资对土地购置费的依赖程度。同时，土地购置费剩余量进一步减少，后续带来的投资拉动作用将进一步减弱。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（二）销售面积增速放缓，施工和待售面积双降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销售面积增速逐步放缓。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2021年1-9月，我市房地产企业商品房销售面积160.61万平方米，同比增长46.7%。与上半年相比，同比降低29.0个百分点，与上月相比，同比降低16.8个百分点。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房屋施工面积同比下降。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2021年1-9月，我市房屋施工面积871.18万平方米，比去年同期下降10.0%。其中住宅施工面积545.52万平方米，同比下降12.2%；非住宅类施工面积325.656万平方米，同比下降6.2%。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待售面积小幅下降。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2021年1-9月，我市商品房待售面积55.45万平米，同比下降5.2%；其中，待售时长为1-3年(含1年)的房屋待售面积15.78万平方米，同比下降0.6%；待售时长为3年以上(含3年)的房屋的待售面积24.06万平方米，同比下降7.2%。分用途看，住宅类待售面积16.08万平米，同比增长23.6%；非住宅类待售面积39.37万平米，同比下降13.4%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（三）供需出现结构性不平衡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从需求侧看，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2021年1-9月，住宅房屋销售面积继续保持快速增长态势。全市住宅房屋销售面积增长53.5%，其中90平方米及以下住宅房屋销售面积同比下降45.4%，90-144平方米住宅房屋销售面积同比增长77.0%，144平方米以上住宅房屋销售面积同比增长87.2%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center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住宅房屋销售面积与投资对比表</w:t>
      </w:r>
    </w:p>
    <w:tbl>
      <w:tblPr>
        <w:tblStyle w:val="12"/>
        <w:tblW w:w="8880" w:type="dxa"/>
        <w:tblInd w:w="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2715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9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12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类别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增速（%）</w:t>
            </w:r>
          </w:p>
        </w:tc>
        <w:tc>
          <w:tcPr>
            <w:tcW w:w="2715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住宅房屋销售面积</w:t>
            </w:r>
          </w:p>
        </w:tc>
        <w:tc>
          <w:tcPr>
            <w:tcW w:w="336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住宅投资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79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住宅房屋</w:t>
            </w:r>
          </w:p>
        </w:tc>
        <w:tc>
          <w:tcPr>
            <w:tcW w:w="27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53.5%</w:t>
            </w:r>
          </w:p>
        </w:tc>
        <w:tc>
          <w:tcPr>
            <w:tcW w:w="33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19.0%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90平方米及以下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-45.4%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11.3%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90-144平方米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77.0%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21.1%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6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144平方米以上</w:t>
            </w:r>
          </w:p>
        </w:tc>
        <w:tc>
          <w:tcPr>
            <w:tcW w:w="271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87.2%</w:t>
            </w:r>
          </w:p>
        </w:tc>
        <w:tc>
          <w:tcPr>
            <w:tcW w:w="336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10.3%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但从供给侧看，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全市住宅供给分布同比增长趋势相近，住宅投资同比增长19.0%，90平方米及以下住宅投资同比增长11.3%,90-144平方米住宅投资同比增长21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.4%，144平方米以上投资同比增长10.3%。销售与投资的错位，反映出市场存在一定程度的供给需求层次错位。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  <w:lang w:val="en-US" w:eastAsia="zh-CN"/>
        </w:rPr>
        <w:t>对2021年房地产开发趋势的研判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我市一季度房地产的关键性指标均出现大幅度增长，主要是由于去年疫情影响下的负增长，二季度以来，我市房地产开发投资和商品房销售面积增速有所放缓，这在一定程度上反映了房地产市场存在较大下行压力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。预计2021年全市房地产开发投资和销售增速将呈现前高后低的发展趋势，增速逐步回落，保持恢复性增长态势，第四季度我市房地产开发投资和销售面积将保持一定的增长，但增速会逐步降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hAnsiTheme="minorEastAsia" w:cstheme="minorEastAsia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hAnsiTheme="minorEastAsia" w:cstheme="minorEastAsia"/>
          <w:kern w:val="0"/>
          <w:sz w:val="32"/>
          <w:szCs w:val="32"/>
          <w:highlight w:val="none"/>
          <w:lang w:val="en-US" w:eastAsia="zh-CN"/>
        </w:rPr>
        <w:t xml:space="preserve">                           （南安市统计局　赖艺婷）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962025" cy="962025"/>
            <wp:effectExtent l="0" t="0" r="13335" b="13335"/>
            <wp:docPr id="3" name="图片 3" descr="qrcode_for_gh_1eebab0522fd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_for_gh_1eebab0522fd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扫码关注南安市统计局</w:t>
      </w:r>
    </w:p>
    <w:p>
      <w:pPr>
        <w:pStyle w:val="2"/>
        <w:wordWrap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指标解释：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[1]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房地产开发投资：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指各种登记注册类型的房地产开发法人单位统一开发的住宅、厂房、仓库、饭店、宾馆、度假村、写字楼、办公楼等房屋建筑物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配套的服务设施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土地开发工程（如道路、给水、排水、供电、供热、通讯、平整场地等基础设施工程）和土地购置的投资;不包括单纯的土地开发和交易活动。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[2]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房屋施工面积：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指报告期内施工的全部房屋建筑面积。 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[3]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房屋竣工面积：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指报告期内房屋建筑按照设计要求已全部完工，达到住人和使用条件，经验收鉴定合格或达到竣工验收标准，可正式移交使用的各栋房屋建筑面积的总和。竣工面积以房屋单位工程（栋）为核算对象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[4]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商品房销售面积：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指报告期内出售商品房屋的合同总面积（即双方签署的正式买卖合同中所确定的建筑面积）。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 w:hAnsiTheme="minorEastAsia" w:cstheme="minorEastAsia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[5]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土地购置费：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指房地产开发企业通过各种方式取得土地使用权而支付的费用。</w:t>
      </w:r>
    </w:p>
    <w:sectPr>
      <w:footerReference r:id="rId3" w:type="default"/>
      <w:pgSz w:w="11850" w:h="16783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0119"/>
    <w:multiLevelType w:val="singleLevel"/>
    <w:tmpl w:val="6829011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7332E"/>
    <w:rsid w:val="010C1D05"/>
    <w:rsid w:val="02A050FF"/>
    <w:rsid w:val="02FF76F5"/>
    <w:rsid w:val="03B22F63"/>
    <w:rsid w:val="06565B15"/>
    <w:rsid w:val="0700494D"/>
    <w:rsid w:val="07470B1D"/>
    <w:rsid w:val="088C71EC"/>
    <w:rsid w:val="09057593"/>
    <w:rsid w:val="0C044A2E"/>
    <w:rsid w:val="0C7A5E79"/>
    <w:rsid w:val="0CB179D3"/>
    <w:rsid w:val="0E446AB2"/>
    <w:rsid w:val="0EE1453B"/>
    <w:rsid w:val="0FB20F5E"/>
    <w:rsid w:val="136B10FF"/>
    <w:rsid w:val="16391213"/>
    <w:rsid w:val="1736443A"/>
    <w:rsid w:val="187108ED"/>
    <w:rsid w:val="18A61E32"/>
    <w:rsid w:val="18C77EA0"/>
    <w:rsid w:val="18C84B3A"/>
    <w:rsid w:val="18DD2D9E"/>
    <w:rsid w:val="18F213EC"/>
    <w:rsid w:val="19171555"/>
    <w:rsid w:val="1BF704A4"/>
    <w:rsid w:val="1D582348"/>
    <w:rsid w:val="1D5E1021"/>
    <w:rsid w:val="1F7E22DA"/>
    <w:rsid w:val="20524C8A"/>
    <w:rsid w:val="20C703B2"/>
    <w:rsid w:val="216C1B71"/>
    <w:rsid w:val="224E3210"/>
    <w:rsid w:val="2347332E"/>
    <w:rsid w:val="239F29DC"/>
    <w:rsid w:val="257F7B58"/>
    <w:rsid w:val="27603D1D"/>
    <w:rsid w:val="28AC0310"/>
    <w:rsid w:val="291C5602"/>
    <w:rsid w:val="296B343D"/>
    <w:rsid w:val="2B027C4B"/>
    <w:rsid w:val="2CF13EEE"/>
    <w:rsid w:val="2D527C77"/>
    <w:rsid w:val="2DD10622"/>
    <w:rsid w:val="2E58022F"/>
    <w:rsid w:val="2E7543F6"/>
    <w:rsid w:val="31721A78"/>
    <w:rsid w:val="31E62464"/>
    <w:rsid w:val="329C5863"/>
    <w:rsid w:val="33790F20"/>
    <w:rsid w:val="379C54C1"/>
    <w:rsid w:val="37F15355"/>
    <w:rsid w:val="383A0D64"/>
    <w:rsid w:val="38457E12"/>
    <w:rsid w:val="39181D18"/>
    <w:rsid w:val="39683218"/>
    <w:rsid w:val="39DC780D"/>
    <w:rsid w:val="39F0269C"/>
    <w:rsid w:val="3A5B26BA"/>
    <w:rsid w:val="3BF261E2"/>
    <w:rsid w:val="3C5702D3"/>
    <w:rsid w:val="3C9E1874"/>
    <w:rsid w:val="3DE300F6"/>
    <w:rsid w:val="3E5021AE"/>
    <w:rsid w:val="40555265"/>
    <w:rsid w:val="415003E0"/>
    <w:rsid w:val="44CE6A88"/>
    <w:rsid w:val="45C35BD3"/>
    <w:rsid w:val="468048F2"/>
    <w:rsid w:val="46A53775"/>
    <w:rsid w:val="475B12D4"/>
    <w:rsid w:val="49031C4B"/>
    <w:rsid w:val="495303C4"/>
    <w:rsid w:val="4A340342"/>
    <w:rsid w:val="4F327D17"/>
    <w:rsid w:val="509701F6"/>
    <w:rsid w:val="512F7614"/>
    <w:rsid w:val="521308A2"/>
    <w:rsid w:val="52190D7D"/>
    <w:rsid w:val="5319120E"/>
    <w:rsid w:val="55486CEB"/>
    <w:rsid w:val="562C285C"/>
    <w:rsid w:val="564165F1"/>
    <w:rsid w:val="58F31572"/>
    <w:rsid w:val="58F46F9B"/>
    <w:rsid w:val="59652DE2"/>
    <w:rsid w:val="5A502197"/>
    <w:rsid w:val="5A9C740E"/>
    <w:rsid w:val="5C312113"/>
    <w:rsid w:val="5D6B1C7E"/>
    <w:rsid w:val="5D9771BD"/>
    <w:rsid w:val="60773A5C"/>
    <w:rsid w:val="6332240E"/>
    <w:rsid w:val="63475714"/>
    <w:rsid w:val="640732AB"/>
    <w:rsid w:val="64122D23"/>
    <w:rsid w:val="64387C92"/>
    <w:rsid w:val="64C1109F"/>
    <w:rsid w:val="64EE4F5A"/>
    <w:rsid w:val="65AF49B0"/>
    <w:rsid w:val="66F53636"/>
    <w:rsid w:val="69FD56FB"/>
    <w:rsid w:val="6A6F4C48"/>
    <w:rsid w:val="6C8741BA"/>
    <w:rsid w:val="6EE32B7F"/>
    <w:rsid w:val="700A15BC"/>
    <w:rsid w:val="716B1BAE"/>
    <w:rsid w:val="718D2725"/>
    <w:rsid w:val="74A84712"/>
    <w:rsid w:val="76A50112"/>
    <w:rsid w:val="77617D7C"/>
    <w:rsid w:val="780B0EEF"/>
    <w:rsid w:val="78506C9B"/>
    <w:rsid w:val="79C47175"/>
    <w:rsid w:val="7A467F8F"/>
    <w:rsid w:val="7CD343F3"/>
    <w:rsid w:val="7D3C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toc 4"/>
    <w:basedOn w:val="1"/>
    <w:next w:val="1"/>
    <w:qFormat/>
    <w:uiPriority w:val="0"/>
    <w:pPr>
      <w:ind w:left="1260" w:leftChars="6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2021-04-13T01:15:00Z</dcterms:created>
  <dc:creator>lmx</dc:creator>
  <cp:lastModifiedBy>HP</cp:lastModifiedBy>
  <cp:lastPrinted>2021-07-29T12:04:00Z</cp:lastPrinted>
  <dcterms:modified xsi:type="dcterms:W3CDTF">2021-11-17T07:10:06Z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  <property fmtid="{D5CDD505-2E9C-101B-9397-08002B2CF9AE}" pid="3" name="ICV">
    <vt:lpwstr>3BE30F91F22044538E2255F439E664C6</vt:lpwstr>
  </property>
</Properties>
</file>