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emf" ContentType="image/x-e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7875"/>
        </w:tabs>
        <w:spacing w:line="560" w:lineRule="exact"/>
        <w:ind w:firstLine="22"/>
        <w:textAlignment w:val="baseline"/>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
          <w:bCs/>
          <w:color w:val="000000"/>
          <w:kern w:val="0"/>
          <w:sz w:val="32"/>
          <w:szCs w:val="32"/>
        </w:rPr>
        <w:t>*南简报N024号</w:t>
      </w:r>
    </w:p>
    <w:p>
      <w:pPr>
        <w:widowControl/>
        <w:spacing w:line="560" w:lineRule="exact"/>
        <w:jc w:val="center"/>
        <w:textAlignment w:val="baseline"/>
        <w:rPr>
          <w:rFonts w:hint="eastAsia" w:ascii="仿宋_GB2312" w:hAnsi="宋体"/>
          <w:color w:val="000000"/>
          <w:kern w:val="0"/>
          <w:szCs w:val="32"/>
        </w:rPr>
      </w:pPr>
      <w:r>
        <w:rPr>
          <w:rFonts w:hint="eastAsia" w:ascii="仿宋_GB2312" w:hAnsi="宋体"/>
          <w:color w:val="000000"/>
          <w:kern w:val="0"/>
          <w:szCs w:val="32"/>
        </w:rPr>
        <w:pict>
          <v:shape id="_x0000_s1026" o:spid="_x0000_s1026" o:spt="136" type="#_x0000_t136" style="position:absolute;left:0pt;margin-left:91.15pt;margin-top:156.25pt;height:72.7pt;width:424.6pt;mso-position-horizontal-relative:page;mso-position-vertical-relative:page;z-index:251659264;mso-width-relative:page;mso-height-relative:page;" fillcolor="#FF0000" filled="t" stroked="t" coordsize="21600,21600">
            <v:path/>
            <v:fill on="t" focussize="0,0"/>
            <v:stroke color="#FFFFFF" joinstyle="bevel"/>
            <v:imagedata o:title=""/>
            <o:lock v:ext="edit" grouping="f" rotation="f" text="f" aspectratio="f"/>
            <v:textpath on="t" fitshape="t" fitpath="t" trim="t" xscale="f" string="南安统计信息" style="font-family:方正大标宋简体;font-size:36pt;v-text-align:center;"/>
          </v:shape>
        </w:pict>
      </w:r>
    </w:p>
    <w:p>
      <w:pPr>
        <w:widowControl/>
        <w:spacing w:line="560" w:lineRule="exact"/>
        <w:ind w:firstLine="22"/>
        <w:jc w:val="center"/>
        <w:textAlignment w:val="baseline"/>
        <w:rPr>
          <w:rFonts w:hint="eastAsia" w:ascii="仿宋_GB2312" w:hAnsi="宋体"/>
          <w:color w:val="000000"/>
          <w:kern w:val="0"/>
          <w:szCs w:val="32"/>
        </w:rPr>
      </w:pPr>
    </w:p>
    <w:p>
      <w:pPr>
        <w:widowControl/>
        <w:spacing w:line="560" w:lineRule="exact"/>
        <w:textAlignment w:val="baseline"/>
        <w:rPr>
          <w:rFonts w:hint="eastAsia" w:ascii="仿宋_GB2312" w:hAnsi="宋体"/>
          <w:color w:val="000000"/>
          <w:kern w:val="0"/>
          <w:szCs w:val="32"/>
        </w:rPr>
      </w:pPr>
    </w:p>
    <w:p>
      <w:pPr>
        <w:widowControl/>
        <w:spacing w:line="560" w:lineRule="exact"/>
        <w:ind w:firstLine="22"/>
        <w:jc w:val="center"/>
        <w:textAlignment w:val="baseline"/>
        <w:rPr>
          <w:rFonts w:hint="eastAsia" w:ascii="仿宋_GB2312" w:hAnsi="宋体"/>
          <w:color w:val="000000"/>
          <w:kern w:val="0"/>
          <w:szCs w:val="32"/>
        </w:rPr>
      </w:pPr>
    </w:p>
    <w:p>
      <w:pPr>
        <w:widowControl/>
        <w:spacing w:line="560" w:lineRule="exact"/>
        <w:ind w:firstLine="22"/>
        <w:jc w:val="center"/>
        <w:textAlignment w:val="baseline"/>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第</w:t>
      </w:r>
      <w:r>
        <w:rPr>
          <w:rFonts w:hint="default" w:ascii="Times New Roman" w:hAnsi="Times New Roman" w:eastAsia="仿宋_GB2312" w:cs="Times New Roman"/>
          <w:color w:val="000000"/>
          <w:kern w:val="0"/>
          <w:sz w:val="32"/>
          <w:szCs w:val="32"/>
          <w:lang w:val="en-US" w:eastAsia="zh-CN"/>
        </w:rPr>
        <w:t>1</w:t>
      </w:r>
      <w:r>
        <w:rPr>
          <w:rFonts w:hint="eastAsia" w:ascii="Times New Roman" w:hAnsi="Times New Roman" w:eastAsia="仿宋_GB2312" w:cs="Times New Roman"/>
          <w:color w:val="000000"/>
          <w:kern w:val="0"/>
          <w:sz w:val="32"/>
          <w:szCs w:val="32"/>
          <w:lang w:val="en-US" w:eastAsia="zh-CN"/>
        </w:rPr>
        <w:t>6</w:t>
      </w:r>
      <w:r>
        <w:rPr>
          <w:rFonts w:hint="default" w:ascii="Times New Roman" w:hAnsi="Times New Roman" w:eastAsia="仿宋_GB2312" w:cs="Times New Roman"/>
          <w:color w:val="000000"/>
          <w:kern w:val="0"/>
          <w:sz w:val="32"/>
          <w:szCs w:val="32"/>
        </w:rPr>
        <w:t>期</w:t>
      </w:r>
    </w:p>
    <w:p>
      <w:pPr>
        <w:widowControl/>
        <w:spacing w:line="560" w:lineRule="exact"/>
        <w:ind w:firstLine="22"/>
        <w:jc w:val="center"/>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南安市统计局  编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 xml:space="preserve"> </w:t>
      </w:r>
      <w:r>
        <w:rPr>
          <w:rFonts w:hint="default" w:ascii="Times New Roman" w:hAnsi="Times New Roman" w:eastAsia="仿宋_GB2312" w:cs="Times New Roman"/>
          <w:color w:val="000000"/>
          <w:kern w:val="0"/>
          <w:sz w:val="32"/>
          <w:szCs w:val="32"/>
        </w:rPr>
        <w:t xml:space="preserve"> 20</w:t>
      </w:r>
      <w:r>
        <w:rPr>
          <w:rFonts w:hint="default" w:ascii="Times New Roman" w:hAnsi="Times New Roman" w:eastAsia="仿宋_GB2312" w:cs="Times New Roman"/>
          <w:color w:val="000000"/>
          <w:kern w:val="0"/>
          <w:sz w:val="32"/>
          <w:szCs w:val="32"/>
          <w:lang w:val="en-US" w:eastAsia="zh-CN"/>
        </w:rPr>
        <w:t>21</w:t>
      </w:r>
      <w:r>
        <w:rPr>
          <w:rFonts w:hint="default" w:ascii="Times New Roman" w:hAnsi="Times New Roman" w:eastAsia="仿宋_GB2312" w:cs="Times New Roman"/>
          <w:color w:val="000000"/>
          <w:kern w:val="0"/>
          <w:sz w:val="32"/>
          <w:szCs w:val="32"/>
        </w:rPr>
        <w:t>年</w:t>
      </w:r>
      <w:r>
        <w:rPr>
          <w:rFonts w:hint="eastAsia" w:ascii="Times New Roman" w:hAnsi="Times New Roman" w:eastAsia="仿宋_GB2312" w:cs="Times New Roman"/>
          <w:color w:val="000000"/>
          <w:kern w:val="0"/>
          <w:sz w:val="32"/>
          <w:szCs w:val="32"/>
          <w:lang w:val="en-US" w:eastAsia="zh-CN"/>
        </w:rPr>
        <w:t>8</w:t>
      </w:r>
      <w:r>
        <w:rPr>
          <w:rFonts w:hint="default" w:ascii="Times New Roman" w:hAnsi="Times New Roman" w:eastAsia="仿宋_GB2312" w:cs="Times New Roman"/>
          <w:color w:val="000000"/>
          <w:kern w:val="0"/>
          <w:sz w:val="32"/>
          <w:szCs w:val="32"/>
        </w:rPr>
        <w:t>月</w:t>
      </w:r>
      <w:r>
        <w:rPr>
          <w:rFonts w:hint="eastAsia" w:ascii="Times New Roman" w:hAnsi="Times New Roman" w:eastAsia="仿宋_GB2312" w:cs="Times New Roman"/>
          <w:color w:val="000000"/>
          <w:kern w:val="0"/>
          <w:sz w:val="32"/>
          <w:szCs w:val="32"/>
          <w:lang w:val="en-US" w:eastAsia="zh-CN"/>
        </w:rPr>
        <w:t>5</w:t>
      </w:r>
      <w:r>
        <w:rPr>
          <w:rFonts w:hint="default" w:ascii="Times New Roman" w:hAnsi="Times New Roman" w:eastAsia="仿宋_GB2312" w:cs="Times New Roman"/>
          <w:color w:val="000000"/>
          <w:kern w:val="0"/>
          <w:sz w:val="32"/>
          <w:szCs w:val="32"/>
        </w:rPr>
        <w:t>日</w:t>
      </w:r>
    </w:p>
    <w:p>
      <w:pPr>
        <w:spacing w:line="560" w:lineRule="exact"/>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660288" behindDoc="0" locked="0" layoutInCell="1" allowOverlap="1">
                <wp:simplePos x="0" y="0"/>
                <wp:positionH relativeFrom="column">
                  <wp:posOffset>-194310</wp:posOffset>
                </wp:positionH>
                <wp:positionV relativeFrom="paragraph">
                  <wp:posOffset>103505</wp:posOffset>
                </wp:positionV>
                <wp:extent cx="6125845" cy="76200"/>
                <wp:effectExtent l="7620" t="0" r="8255" b="22860"/>
                <wp:wrapNone/>
                <wp:docPr id="2" name="自选图形 3"/>
                <wp:cNvGraphicFramePr/>
                <a:graphic xmlns:a="http://schemas.openxmlformats.org/drawingml/2006/main">
                  <a:graphicData uri="http://schemas.microsoft.com/office/word/2010/wordprocessingShape">
                    <wps:wsp>
                      <wps:cNvSpPr/>
                      <wps:spPr>
                        <a:xfrm flipV="1">
                          <a:off x="814070" y="3924935"/>
                          <a:ext cx="6125845" cy="76200"/>
                        </a:xfrm>
                        <a:prstGeom prst="flowChartProcess">
                          <a:avLst/>
                        </a:prstGeom>
                        <a:solidFill>
                          <a:srgbClr val="FF0000"/>
                        </a:solidFill>
                        <a:ln w="15875" cap="flat" cmpd="sng">
                          <a:solidFill>
                            <a:srgbClr val="FFFFFF"/>
                          </a:solidFill>
                          <a:prstDash val="solid"/>
                          <a:miter/>
                          <a:headEnd type="none" w="med" len="med"/>
                          <a:tailEnd type="none" w="med" len="med"/>
                        </a:ln>
                        <a:effectLst/>
                      </wps:spPr>
                      <wps:bodyPr upright="1"/>
                    </wps:wsp>
                  </a:graphicData>
                </a:graphic>
              </wp:anchor>
            </w:drawing>
          </mc:Choice>
          <mc:Fallback>
            <w:pict>
              <v:shape id="自选图形 3" o:spid="_x0000_s1026" o:spt="109" type="#_x0000_t109" style="position:absolute;left:0pt;flip:y;margin-left:-15.3pt;margin-top:8.15pt;height:6pt;width:482.35pt;z-index:251660288;mso-width-relative:page;mso-height-relative:page;" fillcolor="#FF0000" filled="t" stroked="t" coordsize="21600,21600" o:gfxdata="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7/h77ZAAAACQEAAA8AAAAAAAAAAQAg&#10;AAAAIgAAAGRycy9kb3ducmV2LnhtbFBLAQIUABQAAAAIAIdO4kCoUpORDQIAAAUEAAAOAAAAAAAA&#10;AAEAIAAAACgBAABkcnMvZTJvRG9jLnhtbFBLBQYAAAAABgAGAFkBAACnBQAAAAA=&#10;">
                <v:fill on="t" focussize="0,0"/>
                <v:stroke weight="1.25pt" color="#FFFFFF" joinstyle="miter"/>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before="157" w:beforeLines="50" w:after="313" w:afterLines="10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auto"/>
          <w:spacing w:val="-3"/>
          <w:sz w:val="44"/>
          <w:szCs w:val="44"/>
          <w:highlight w:val="none"/>
          <w:lang w:val="en-US" w:eastAsia="zh-CN"/>
        </w:rPr>
      </w:pPr>
      <w:r>
        <w:rPr>
          <w:rFonts w:hint="eastAsia" w:ascii="方正小标宋简体" w:hAnsi="方正小标宋简体" w:eastAsia="方正小标宋简体" w:cs="方正小标宋简体"/>
          <w:b w:val="0"/>
          <w:bCs w:val="0"/>
          <w:color w:val="auto"/>
          <w:spacing w:val="-3"/>
          <w:sz w:val="44"/>
          <w:szCs w:val="44"/>
          <w:highlight w:val="none"/>
          <w:lang w:val="en-US" w:eastAsia="zh-CN"/>
        </w:rPr>
        <w:t>2021年上半年南安市房地产市场平稳健康发展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rPr>
          <w:rFonts w:hint="default" w:ascii="Times New Roman" w:hAnsi="Times New Roman" w:eastAsia="仿宋_GB2312" w:cs="Times New Roman"/>
          <w:color w:val="333333"/>
          <w:kern w:val="0"/>
          <w:sz w:val="32"/>
          <w:szCs w:val="32"/>
          <w:highlight w:val="none"/>
          <w:lang w:val="en-US" w:eastAsia="zh-CN" w:bidi="ar"/>
        </w:rPr>
      </w:pPr>
      <w:r>
        <w:rPr>
          <w:rFonts w:hint="default" w:ascii="Times New Roman" w:hAnsi="Times New Roman" w:eastAsia="仿宋_GB2312" w:cs="Times New Roman"/>
          <w:color w:val="auto"/>
          <w:kern w:val="0"/>
          <w:sz w:val="32"/>
          <w:szCs w:val="32"/>
          <w:highlight w:val="none"/>
          <w:lang w:val="en-US" w:eastAsia="zh-CN" w:bidi="ar"/>
        </w:rPr>
        <w:t>2021年以来，我市认真贯彻落实中央关于房地产调控的决策部署，坚持“房住不炒”的总基调，全面贯彻执行“稳地价、稳房价、稳预期”的目标，因地制宜，促进房地产市场平稳健康发展。上半年我市房地产开发投资与销售继续保持稳步增长态势。</w:t>
      </w:r>
    </w:p>
    <w:p>
      <w:pPr>
        <w:keepNext w:val="0"/>
        <w:keepLines w:val="0"/>
        <w:pageBreakBefore w:val="0"/>
        <w:widowControl/>
        <w:numPr>
          <w:ilvl w:val="0"/>
          <w:numId w:val="0"/>
        </w:numPr>
        <w:kinsoku/>
        <w:wordWrap w:val="0"/>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黑体" w:cs="Times New Roman"/>
          <w:bCs/>
          <w:color w:val="auto"/>
          <w:kern w:val="0"/>
          <w:sz w:val="32"/>
          <w:szCs w:val="32"/>
          <w:highlight w:val="none"/>
          <w:lang w:val="en-US" w:eastAsia="zh-CN"/>
        </w:rPr>
      </w:pPr>
      <w:r>
        <w:rPr>
          <w:rFonts w:hint="default" w:ascii="Times New Roman" w:hAnsi="Times New Roman" w:eastAsia="黑体" w:cs="Times New Roman"/>
          <w:bCs/>
          <w:color w:val="auto"/>
          <w:kern w:val="0"/>
          <w:sz w:val="32"/>
          <w:szCs w:val="32"/>
          <w:highlight w:val="none"/>
          <w:lang w:val="en-US" w:eastAsia="zh-CN"/>
        </w:rPr>
        <w:t>一、房地产开发市场发展现状</w:t>
      </w:r>
    </w:p>
    <w:p>
      <w:pPr>
        <w:keepNext w:val="0"/>
        <w:keepLines w:val="0"/>
        <w:pageBreakBefore w:val="0"/>
        <w:widowControl/>
        <w:numPr>
          <w:ilvl w:val="0"/>
          <w:numId w:val="0"/>
        </w:numPr>
        <w:kinsoku/>
        <w:wordWrap w:val="0"/>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黑体" w:cs="Times New Roman"/>
          <w:bCs/>
          <w:color w:val="auto"/>
          <w:kern w:val="0"/>
          <w:sz w:val="32"/>
          <w:szCs w:val="32"/>
          <w:highlight w:val="yellow"/>
          <w:lang w:val="en-US" w:eastAsia="zh-CN"/>
        </w:rPr>
      </w:pPr>
      <w:r>
        <w:rPr>
          <w:rFonts w:hint="default" w:ascii="Times New Roman" w:hAnsi="Times New Roman" w:eastAsia="楷体" w:cs="Times New Roman"/>
          <w:bCs/>
          <w:color w:val="auto"/>
          <w:kern w:val="0"/>
          <w:sz w:val="32"/>
          <w:szCs w:val="32"/>
          <w:highlight w:val="none"/>
          <w:lang w:val="en-US" w:eastAsia="zh-CN"/>
        </w:rPr>
        <w:t>（一）房地产开发投资完成情况</w:t>
      </w:r>
      <w:r>
        <w:rPr>
          <w:rFonts w:hint="default" w:ascii="Times New Roman" w:hAnsi="Times New Roman" w:eastAsia="黑体" w:cs="Times New Roman"/>
          <w:bCs/>
          <w:color w:val="auto"/>
          <w:kern w:val="0"/>
          <w:sz w:val="32"/>
          <w:szCs w:val="32"/>
          <w:highlight w:val="none"/>
          <w:lang w:val="en-US" w:eastAsia="zh-CN"/>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rPr>
          <w:rFonts w:hint="default" w:ascii="Times New Roman" w:hAnsi="Times New Roman" w:eastAsia="仿宋_GB2312" w:cs="Times New Roman"/>
          <w:color w:val="auto"/>
          <w:kern w:val="0"/>
          <w:sz w:val="32"/>
          <w:szCs w:val="32"/>
          <w:highlight w:val="yellow"/>
          <w:lang w:val="en-US" w:eastAsia="zh-CN" w:bidi="ar"/>
        </w:rPr>
      </w:pPr>
      <w:r>
        <w:rPr>
          <w:rFonts w:hint="default" w:ascii="Times New Roman" w:hAnsi="Times New Roman" w:eastAsia="仿宋_GB2312" w:cs="Times New Roman"/>
          <w:color w:val="auto"/>
          <w:kern w:val="0"/>
          <w:sz w:val="32"/>
          <w:szCs w:val="32"/>
          <w:highlight w:val="none"/>
          <w:lang w:val="en-US" w:eastAsia="zh-CN" w:bidi="ar"/>
        </w:rPr>
        <w:t>上半年，全市房地产开发投资</w:t>
      </w:r>
      <w:r>
        <w:rPr>
          <w:rFonts w:hint="default" w:ascii="Times New Roman" w:hAnsi="Times New Roman" w:eastAsia="仿宋_GB2312" w:cs="Times New Roman"/>
          <w:b w:val="0"/>
          <w:bCs w:val="0"/>
          <w:sz w:val="32"/>
          <w:szCs w:val="32"/>
          <w:vertAlign w:val="superscript"/>
          <w:lang w:val="en-US" w:eastAsia="zh-CN"/>
        </w:rPr>
        <w:t>[1]</w:t>
      </w:r>
      <w:r>
        <w:rPr>
          <w:rFonts w:hint="default" w:ascii="Times New Roman" w:hAnsi="Times New Roman" w:eastAsia="仿宋_GB2312" w:cs="Times New Roman"/>
          <w:color w:val="auto"/>
          <w:kern w:val="0"/>
          <w:sz w:val="32"/>
          <w:szCs w:val="32"/>
          <w:highlight w:val="none"/>
          <w:lang w:val="en-US" w:eastAsia="zh-CN" w:bidi="ar"/>
        </w:rPr>
        <w:t>67.54亿元，同比增长8.8%，拉动我市固定资产投资增长2.9个百分点；比2019年同期增长50.5%，两年平均增长22.7%。其中，住宅投资完成52.24亿元，同比增长6.0%。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240" w:lineRule="auto"/>
        <w:ind w:right="0"/>
        <w:jc w:val="center"/>
        <w:rPr>
          <w:rFonts w:hint="eastAsia" w:ascii="仿宋" w:hAnsi="仿宋" w:eastAsia="仿宋"/>
          <w:sz w:val="30"/>
          <w:szCs w:val="30"/>
          <w:lang w:val="en-US" w:eastAsia="zh-CN"/>
        </w:rPr>
      </w:pPr>
      <w:r>
        <w:rPr>
          <w:rFonts w:hint="eastAsia" w:ascii="仿宋" w:hAnsi="仿宋" w:eastAsia="仿宋"/>
          <w:sz w:val="30"/>
          <w:szCs w:val="30"/>
          <w:lang w:val="en-US" w:eastAsia="zh-CN"/>
        </w:rPr>
        <w:object>
          <v:shape id="_x0000_i1025" o:spt="75" type="#_x0000_t75" style="height:297.6pt;width:433.55pt;" o:ole="t" filled="f" o:preferrelative="t" stroked="f" coordsize="21600,21600">
            <v:path/>
            <v:fill on="f" focussize="0,0"/>
            <v:stroke on="f"/>
            <v:imagedata r:id="rId6" o:title=""/>
            <o:lock v:ext="edit" aspectratio="t"/>
            <w10:wrap type="none"/>
            <w10:anchorlock/>
          </v:shape>
          <o:OLEObject Type="Embed" ProgID="Excel.Chart.8" ShapeID="_x0000_i1025" DrawAspect="Content" ObjectID="_1468075725" r:id="rId5">
            <o:LockedField>false</o:LockedField>
          </o:OLEObject>
        </w:objec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240" w:lineRule="auto"/>
        <w:ind w:right="0"/>
        <w:jc w:val="center"/>
        <w:rPr>
          <w:rFonts w:hint="default" w:ascii="仿宋_GB2312" w:hAnsi="仿宋_GB2312" w:eastAsia="仿宋_GB2312" w:cs="仿宋_GB2312"/>
          <w:b/>
          <w:bCs/>
          <w:color w:val="auto"/>
          <w:sz w:val="32"/>
          <w:szCs w:val="32"/>
          <w:highlight w:val="yellow"/>
          <w:lang w:val="en-US"/>
        </w:rPr>
      </w:pPr>
      <w:r>
        <w:rPr>
          <w:rFonts w:hint="eastAsia" w:ascii="楷体" w:hAnsi="楷体" w:eastAsia="楷体" w:cs="楷体"/>
          <w:b w:val="0"/>
          <w:bCs w:val="0"/>
          <w:sz w:val="30"/>
          <w:szCs w:val="30"/>
          <w:lang w:val="en-US" w:eastAsia="zh-CN"/>
        </w:rPr>
        <w:t>图1:2020-2021年南安市房地产开发投资增速</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 </w:t>
      </w:r>
      <w:r>
        <w:rPr>
          <w:rFonts w:hint="default" w:ascii="Times New Roman" w:hAnsi="Times New Roman" w:eastAsia="仿宋_GB2312" w:cs="Times New Roman"/>
          <w:color w:val="auto"/>
          <w:kern w:val="0"/>
          <w:sz w:val="32"/>
          <w:szCs w:val="32"/>
          <w:highlight w:val="none"/>
          <w:lang w:val="en-US" w:eastAsia="zh-CN" w:bidi="ar"/>
        </w:rPr>
        <w:t>上半年，房地产开发企业房屋施工面积</w:t>
      </w:r>
      <w:r>
        <w:rPr>
          <w:rFonts w:hint="default" w:ascii="Times New Roman" w:hAnsi="Times New Roman" w:eastAsia="仿宋_GB2312" w:cs="Times New Roman"/>
          <w:b w:val="0"/>
          <w:bCs w:val="0"/>
          <w:sz w:val="32"/>
          <w:szCs w:val="32"/>
          <w:vertAlign w:val="superscript"/>
          <w:lang w:val="en-US" w:eastAsia="zh-CN"/>
        </w:rPr>
        <w:t>[2]</w:t>
      </w:r>
      <w:r>
        <w:rPr>
          <w:rFonts w:hint="default" w:ascii="Times New Roman" w:hAnsi="Times New Roman" w:eastAsia="仿宋_GB2312" w:cs="Times New Roman"/>
          <w:color w:val="auto"/>
          <w:kern w:val="0"/>
          <w:sz w:val="32"/>
          <w:szCs w:val="32"/>
          <w:highlight w:val="none"/>
          <w:lang w:val="en-US" w:eastAsia="zh-CN" w:bidi="ar"/>
        </w:rPr>
        <w:t>832.10万平方米，同比下降11.1%。其中住宅施工面积511.51万平方米，下降17.2%。房屋新开工面积79.63万平方米，同比增长7.1%。其中住宅新开工面积49.96万平方米，同比增长20.8%。房屋竣工面积</w:t>
      </w:r>
      <w:r>
        <w:rPr>
          <w:rFonts w:hint="default" w:ascii="Times New Roman" w:hAnsi="Times New Roman" w:eastAsia="仿宋_GB2312" w:cs="Times New Roman"/>
          <w:b w:val="0"/>
          <w:bCs w:val="0"/>
          <w:sz w:val="32"/>
          <w:szCs w:val="32"/>
          <w:vertAlign w:val="superscript"/>
          <w:lang w:val="en-US" w:eastAsia="zh-CN"/>
        </w:rPr>
        <w:t>[3]</w:t>
      </w:r>
      <w:r>
        <w:rPr>
          <w:rFonts w:hint="default" w:ascii="Times New Roman" w:hAnsi="Times New Roman" w:eastAsia="仿宋_GB2312" w:cs="Times New Roman"/>
          <w:color w:val="auto"/>
          <w:kern w:val="0"/>
          <w:sz w:val="32"/>
          <w:szCs w:val="32"/>
          <w:highlight w:val="none"/>
          <w:lang w:val="en-US" w:eastAsia="zh-CN" w:bidi="ar"/>
        </w:rPr>
        <w:t>54.64万平方米，增长32.0%。其中住宅竣工面积22.15万平方米，下降23.9%。</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rightChars="0"/>
        <w:jc w:val="center"/>
        <w:textAlignment w:val="auto"/>
        <w:outlineLvl w:val="9"/>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drawing>
          <wp:inline distT="0" distB="0" distL="114300" distR="114300">
            <wp:extent cx="5261610" cy="2623185"/>
            <wp:effectExtent l="0" t="0" r="11430" b="1333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240" w:lineRule="auto"/>
        <w:ind w:right="0"/>
        <w:jc w:val="center"/>
        <w:rPr>
          <w:rFonts w:hint="eastAsia" w:ascii="楷体" w:hAnsi="楷体" w:eastAsia="楷体" w:cs="楷体"/>
          <w:b w:val="0"/>
          <w:bCs w:val="0"/>
          <w:sz w:val="30"/>
          <w:szCs w:val="30"/>
          <w:lang w:val="en-US" w:eastAsia="zh-CN"/>
        </w:rPr>
      </w:pPr>
      <w:r>
        <w:rPr>
          <w:rFonts w:hint="eastAsia" w:ascii="楷体" w:hAnsi="楷体" w:eastAsia="楷体" w:cs="楷体"/>
          <w:b w:val="0"/>
          <w:bCs w:val="0"/>
          <w:sz w:val="30"/>
          <w:szCs w:val="30"/>
          <w:lang w:val="en-US" w:eastAsia="zh-CN"/>
        </w:rPr>
        <w:t>图2:2021年上半年南安市房地产开发企业房屋面积情况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color w:val="auto"/>
          <w:kern w:val="0"/>
          <w:sz w:val="32"/>
          <w:szCs w:val="32"/>
          <w:highlight w:val="none"/>
          <w:lang w:val="en-US" w:eastAsia="zh-CN" w:bidi="ar"/>
        </w:rPr>
        <w:t>上半年，房地产开发企业土地购置面积76786平方米，同比下降34.4%；土地成交价款15000万元，下降81.7%。土地作为房地产市场的“源头”和先行指标，与房地产市场发展息息相关，土地指标呈现负增长态势，一定程度上体现出房开商拿地意愿不高，将对房地产市场长期平稳发展产生消极影响，不利于我市未来房地产市场的稳定发展。</w:t>
      </w:r>
    </w:p>
    <w:p>
      <w:pPr>
        <w:keepNext w:val="0"/>
        <w:keepLines w:val="0"/>
        <w:pageBreakBefore w:val="0"/>
        <w:widowControl/>
        <w:numPr>
          <w:ilvl w:val="0"/>
          <w:numId w:val="0"/>
        </w:numPr>
        <w:kinsoku/>
        <w:wordWrap w:val="0"/>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bCs/>
          <w:color w:val="auto"/>
          <w:kern w:val="0"/>
          <w:sz w:val="32"/>
          <w:szCs w:val="32"/>
          <w:highlight w:val="none"/>
          <w:lang w:val="en-US" w:eastAsia="zh-CN"/>
        </w:rPr>
      </w:pPr>
      <w:r>
        <w:rPr>
          <w:rFonts w:hint="default" w:ascii="Times New Roman" w:hAnsi="Times New Roman" w:eastAsia="楷体" w:cs="Times New Roman"/>
          <w:bCs/>
          <w:color w:val="auto"/>
          <w:kern w:val="0"/>
          <w:sz w:val="32"/>
          <w:szCs w:val="32"/>
          <w:highlight w:val="none"/>
          <w:lang w:val="en-US" w:eastAsia="zh-CN"/>
        </w:rPr>
        <w:t>（二）商品房销售和待售情况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color w:val="auto"/>
          <w:kern w:val="0"/>
          <w:sz w:val="32"/>
          <w:szCs w:val="32"/>
          <w:highlight w:val="none"/>
          <w:lang w:val="en-US" w:eastAsia="zh-CN" w:bidi="ar"/>
        </w:rPr>
        <w:t>上半年，房地产企业商品房销售面积</w:t>
      </w:r>
      <w:r>
        <w:rPr>
          <w:rFonts w:hint="default" w:ascii="Times New Roman" w:hAnsi="Times New Roman" w:eastAsia="仿宋" w:cs="Times New Roman"/>
          <w:b w:val="0"/>
          <w:bCs w:val="0"/>
          <w:sz w:val="28"/>
          <w:szCs w:val="28"/>
          <w:vertAlign w:val="superscript"/>
          <w:lang w:val="en-US" w:eastAsia="zh-CN"/>
        </w:rPr>
        <w:t>[4]</w:t>
      </w:r>
      <w:r>
        <w:rPr>
          <w:rFonts w:hint="default" w:ascii="Times New Roman" w:hAnsi="Times New Roman" w:eastAsia="仿宋_GB2312" w:cs="Times New Roman"/>
          <w:color w:val="auto"/>
          <w:kern w:val="0"/>
          <w:sz w:val="32"/>
          <w:szCs w:val="32"/>
          <w:highlight w:val="none"/>
          <w:lang w:val="en-US" w:eastAsia="zh-CN" w:bidi="ar"/>
        </w:rPr>
        <w:t>101.81万平方米，同比增长75.7%。从房屋类型看，住宅销售面积增长81.4%，办公楼销售面积增长182.4%，商业营业用房销售面积增长19.4%。商品房销售额78.58亿元，增长61.0%。从销售端看，住宅销售额增长67.9%，办公楼销售额增长1.78倍，商业营业用房销售额增长-2.9%。</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color w:val="auto"/>
          <w:kern w:val="0"/>
          <w:sz w:val="32"/>
          <w:szCs w:val="32"/>
          <w:highlight w:val="none"/>
          <w:lang w:val="en-US" w:eastAsia="zh-CN" w:bidi="ar"/>
        </w:rPr>
        <w:t>2020年受疫情影响，全市房地产项目建设周期和上市节奏明显延缓，居民购房意愿明显下降，全年商品房销售面积减小，呈负增长态势，于年底转负为正。今年年初受低基数效应以及房企营销力度加大，加速销售回款，年初销售面积保持极高的增长速度。2020年二季度疫情受到良好控制，复工复产有序推进，商品房销售情况回暖，因此造成今年二季度的基数开始加大，高增速的回落成为必然现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240" w:lineRule="auto"/>
        <w:ind w:right="0"/>
        <w:jc w:val="center"/>
        <w:rPr>
          <w:rFonts w:hint="default" w:ascii="黑体" w:hAnsi="黑体" w:eastAsia="黑体" w:cs="黑体"/>
          <w:b w:val="0"/>
          <w:bCs w:val="0"/>
          <w:sz w:val="30"/>
          <w:szCs w:val="30"/>
          <w:lang w:val="en-US" w:eastAsia="zh-CN"/>
        </w:rPr>
      </w:pPr>
      <w:r>
        <w:rPr>
          <w:rFonts w:hint="eastAsia" w:ascii="仿宋" w:hAnsi="仿宋" w:eastAsia="仿宋"/>
          <w:sz w:val="30"/>
          <w:szCs w:val="30"/>
          <w:lang w:val="en-US" w:eastAsia="zh-CN"/>
        </w:rPr>
        <w:object>
          <v:shape id="_x0000_i1026" o:spt="75" type="#_x0000_t75" style="height:262.15pt;width:446.2pt;" o:ole="t" filled="f" o:preferrelative="t" stroked="f" coordsize="21600,21600">
            <v:path/>
            <v:fill on="f" focussize="0,0"/>
            <v:stroke on="f"/>
            <v:imagedata r:id="rId9" o:title=""/>
            <o:lock v:ext="edit" aspectratio="t"/>
            <w10:wrap type="none"/>
            <w10:anchorlock/>
          </v:shape>
          <o:OLEObject Type="Embed" ProgID="Excel.Chart.8" ShapeID="_x0000_i1026" DrawAspect="Content" ObjectID="_1468075726" r:id="rId8">
            <o:LockedField>false</o:LockedField>
          </o:OLEObject>
        </w:object>
      </w:r>
      <w:r>
        <w:rPr>
          <w:rFonts w:hint="eastAsia" w:ascii="楷体" w:hAnsi="楷体" w:eastAsia="楷体" w:cs="楷体"/>
          <w:b w:val="0"/>
          <w:bCs w:val="0"/>
          <w:sz w:val="30"/>
          <w:szCs w:val="30"/>
          <w:lang w:val="en-US" w:eastAsia="zh-CN"/>
        </w:rPr>
        <w:t>图3:2020-2021年南安市房地产商品房销售面积增速</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bidi="ar"/>
        </w:rPr>
      </w:pPr>
      <w:bookmarkStart w:id="0" w:name="_GoBack"/>
      <w:bookmarkEnd w:id="0"/>
      <w:r>
        <w:rPr>
          <w:rFonts w:hint="default" w:ascii="Times New Roman" w:hAnsi="Times New Roman" w:eastAsia="仿宋_GB2312" w:cs="Times New Roman"/>
          <w:color w:val="auto"/>
          <w:kern w:val="0"/>
          <w:sz w:val="32"/>
          <w:szCs w:val="32"/>
          <w:highlight w:val="none"/>
          <w:lang w:val="en-US" w:eastAsia="zh-CN" w:bidi="ar"/>
        </w:rPr>
        <w:t>6月末，商品房待售面积58.56万平方米，比去年同期增加1.68万平方米。其中住宅待售面积增加5.80万平方米，办公楼待售面积减少5.16万平方米，商业营业用房待售面积增加0.69万平方米，其他待售面积增加0.35万平方米。</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bCs/>
          <w:color w:val="auto"/>
          <w:kern w:val="0"/>
          <w:sz w:val="32"/>
          <w:szCs w:val="32"/>
          <w:highlight w:val="none"/>
          <w:lang w:val="en-US" w:eastAsia="zh-CN"/>
        </w:rPr>
      </w:pPr>
      <w:r>
        <w:rPr>
          <w:rFonts w:hint="eastAsia" w:ascii="楷体" w:hAnsi="楷体" w:eastAsia="楷体" w:cs="楷体"/>
          <w:b w:val="0"/>
          <w:bCs/>
          <w:color w:val="auto"/>
          <w:kern w:val="0"/>
          <w:sz w:val="32"/>
          <w:szCs w:val="32"/>
          <w:highlight w:val="none"/>
          <w:lang w:val="en-US" w:eastAsia="zh-CN"/>
        </w:rPr>
        <w:t>（三）房地产开发企业到位资金情况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color w:val="auto"/>
          <w:kern w:val="0"/>
          <w:sz w:val="32"/>
          <w:szCs w:val="32"/>
          <w:highlight w:val="none"/>
          <w:lang w:val="en-US" w:eastAsia="zh-CN" w:bidi="ar"/>
        </w:rPr>
        <w:t>上半年，房地产开发企业到位资金91.79亿元，同比增长32.6%。其中，国内贷款10.23亿元，增长5.2倍；自筹资金18.59亿元，增长19.5%；定金及预收款35.21亿元，增长58.1%；个人按揭贷款23.36亿元，下降18.4%；其他到位资金4.4亿元，增长3.01倍。</w:t>
      </w:r>
    </w:p>
    <w:p>
      <w:pPr>
        <w:keepNext w:val="0"/>
        <w:keepLines w:val="0"/>
        <w:pageBreakBefore w:val="0"/>
        <w:widowControl w:val="0"/>
        <w:numPr>
          <w:ilvl w:val="0"/>
          <w:numId w:val="1"/>
        </w:numPr>
        <w:kinsoku/>
        <w:wordWrap w:val="0"/>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宋体"/>
          <w:bCs/>
          <w:color w:val="auto"/>
          <w:kern w:val="0"/>
          <w:sz w:val="32"/>
          <w:szCs w:val="32"/>
          <w:highlight w:val="none"/>
          <w:lang w:val="en-US" w:eastAsia="zh-CN"/>
        </w:rPr>
      </w:pPr>
      <w:r>
        <w:rPr>
          <w:rFonts w:hint="eastAsia" w:ascii="黑体" w:hAnsi="黑体" w:eastAsia="黑体" w:cs="宋体"/>
          <w:bCs/>
          <w:color w:val="auto"/>
          <w:kern w:val="0"/>
          <w:sz w:val="32"/>
          <w:szCs w:val="32"/>
          <w:highlight w:val="none"/>
          <w:lang w:val="en-US" w:eastAsia="zh-CN"/>
        </w:rPr>
        <w:t>房地产开发市场面临多重压力</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bCs/>
          <w:color w:val="auto"/>
          <w:kern w:val="0"/>
          <w:sz w:val="32"/>
          <w:szCs w:val="32"/>
          <w:highlight w:val="none"/>
          <w:lang w:val="en-US" w:eastAsia="zh-CN"/>
        </w:rPr>
      </w:pPr>
      <w:r>
        <w:rPr>
          <w:rFonts w:hint="eastAsia" w:ascii="楷体" w:hAnsi="楷体" w:eastAsia="楷体" w:cs="楷体"/>
          <w:bCs/>
          <w:color w:val="auto"/>
          <w:kern w:val="0"/>
          <w:sz w:val="32"/>
          <w:szCs w:val="32"/>
          <w:highlight w:val="none"/>
          <w:lang w:val="en-US" w:eastAsia="zh-CN"/>
        </w:rPr>
        <w:t>（一）投资后劲乏力，增长空间有限</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一是高基数增长效应显著。</w:t>
      </w:r>
      <w:r>
        <w:rPr>
          <w:rFonts w:hint="default" w:ascii="Times New Roman" w:hAnsi="Times New Roman" w:eastAsia="仿宋_GB2312" w:cs="Times New Roman"/>
          <w:b w:val="0"/>
          <w:bCs w:val="0"/>
          <w:sz w:val="32"/>
          <w:szCs w:val="32"/>
        </w:rPr>
        <w:t>近年来</w:t>
      </w:r>
      <w:r>
        <w:rPr>
          <w:rFonts w:hint="default" w:ascii="Times New Roman" w:hAnsi="Times New Roman" w:eastAsia="仿宋_GB2312" w:cs="Times New Roman"/>
          <w:b w:val="0"/>
          <w:bCs w:val="0"/>
          <w:sz w:val="32"/>
          <w:szCs w:val="32"/>
          <w:lang w:eastAsia="zh-CN"/>
        </w:rPr>
        <w:t>，我市房地产开发投资</w:t>
      </w:r>
      <w:r>
        <w:rPr>
          <w:rFonts w:hint="default" w:ascii="Times New Roman" w:hAnsi="Times New Roman" w:eastAsia="仿宋_GB2312" w:cs="Times New Roman"/>
          <w:b w:val="0"/>
          <w:bCs w:val="0"/>
          <w:sz w:val="32"/>
          <w:szCs w:val="32"/>
        </w:rPr>
        <w:t>持续保持较快增长态势</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投资基数较高</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2017年-2020年分别同比增长</w:t>
      </w:r>
      <w:r>
        <w:rPr>
          <w:rFonts w:hint="default" w:ascii="Times New Roman" w:hAnsi="Times New Roman" w:eastAsia="仿宋_GB2312" w:cs="Times New Roman"/>
          <w:b w:val="0"/>
          <w:bCs w:val="0"/>
          <w:sz w:val="32"/>
          <w:szCs w:val="32"/>
          <w:lang w:val="en-US" w:eastAsia="zh-CN"/>
        </w:rPr>
        <w:t>19.0</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val="en-US" w:eastAsia="zh-CN"/>
        </w:rPr>
        <w:t>24.0</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val="en-US" w:eastAsia="zh-CN"/>
        </w:rPr>
        <w:t>45.6</w:t>
      </w:r>
      <w:r>
        <w:rPr>
          <w:rFonts w:hint="default" w:ascii="Times New Roman" w:hAnsi="Times New Roman" w:eastAsia="仿宋_GB2312" w:cs="Times New Roman"/>
          <w:b w:val="0"/>
          <w:bCs w:val="0"/>
          <w:sz w:val="32"/>
          <w:szCs w:val="32"/>
        </w:rPr>
        <w:t>%和</w:t>
      </w:r>
      <w:r>
        <w:rPr>
          <w:rFonts w:hint="default" w:ascii="Times New Roman" w:hAnsi="Times New Roman" w:eastAsia="仿宋_GB2312" w:cs="Times New Roman"/>
          <w:b w:val="0"/>
          <w:bCs w:val="0"/>
          <w:sz w:val="32"/>
          <w:szCs w:val="32"/>
          <w:lang w:val="en-US" w:eastAsia="zh-CN"/>
        </w:rPr>
        <w:t>32.1</w:t>
      </w:r>
      <w:r>
        <w:rPr>
          <w:rFonts w:hint="default" w:ascii="Times New Roman" w:hAnsi="Times New Roman" w:eastAsia="仿宋_GB2312" w:cs="Times New Roman"/>
          <w:b w:val="0"/>
          <w:bCs w:val="0"/>
          <w:sz w:val="32"/>
          <w:szCs w:val="32"/>
        </w:rPr>
        <w:t>%。经过连续多年的快速发展</w:t>
      </w:r>
      <w:r>
        <w:rPr>
          <w:rFonts w:hint="default" w:ascii="Times New Roman" w:hAnsi="Times New Roman" w:eastAsia="仿宋_GB2312" w:cs="Times New Roman"/>
          <w:b w:val="0"/>
          <w:bCs w:val="0"/>
          <w:sz w:val="32"/>
          <w:szCs w:val="32"/>
          <w:lang w:eastAsia="zh-CN"/>
        </w:rPr>
        <w:t>，我市房地产开发投资</w:t>
      </w:r>
      <w:r>
        <w:rPr>
          <w:rFonts w:hint="default" w:ascii="Times New Roman" w:hAnsi="Times New Roman" w:eastAsia="仿宋_GB2312" w:cs="Times New Roman"/>
          <w:b w:val="0"/>
          <w:bCs w:val="0"/>
          <w:sz w:val="32"/>
          <w:szCs w:val="32"/>
        </w:rPr>
        <w:t>一直在高位运行</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投资基数较大。</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val="0"/>
          <w:bCs w:val="0"/>
          <w:sz w:val="32"/>
          <w:szCs w:val="32"/>
          <w:lang w:eastAsia="zh-CN"/>
        </w:rPr>
        <w:t>二是土地购置费减少。</w:t>
      </w:r>
      <w:r>
        <w:rPr>
          <w:rFonts w:hint="default" w:ascii="Times New Roman" w:hAnsi="Times New Roman" w:eastAsia="仿宋_GB2312" w:cs="Times New Roman"/>
          <w:b w:val="0"/>
          <w:bCs w:val="0"/>
          <w:sz w:val="32"/>
          <w:szCs w:val="32"/>
          <w:lang w:val="en-US" w:eastAsia="zh-CN"/>
        </w:rPr>
        <w:t>土地购置费</w:t>
      </w:r>
      <w:r>
        <w:rPr>
          <w:rFonts w:hint="default" w:ascii="Times New Roman" w:hAnsi="Times New Roman" w:eastAsia="仿宋_GB2312" w:cs="Times New Roman"/>
          <w:b w:val="0"/>
          <w:bCs w:val="0"/>
          <w:sz w:val="32"/>
          <w:szCs w:val="32"/>
          <w:vertAlign w:val="superscript"/>
          <w:lang w:val="en-US" w:eastAsia="zh-CN"/>
        </w:rPr>
        <w:t>[5]</w:t>
      </w:r>
      <w:r>
        <w:rPr>
          <w:rFonts w:hint="default" w:ascii="Times New Roman" w:hAnsi="Times New Roman" w:eastAsia="仿宋_GB2312" w:cs="Times New Roman"/>
          <w:b w:val="0"/>
          <w:bCs w:val="0"/>
          <w:sz w:val="32"/>
          <w:szCs w:val="32"/>
          <w:lang w:val="en-US" w:eastAsia="zh-CN"/>
        </w:rPr>
        <w:t>是拉动投资增长的重要支撑。</w:t>
      </w:r>
      <w:r>
        <w:rPr>
          <w:rFonts w:hint="default" w:ascii="Times New Roman" w:hAnsi="Times New Roman" w:eastAsia="仿宋_GB2312" w:cs="Times New Roman"/>
          <w:b w:val="0"/>
          <w:bCs w:val="0"/>
          <w:sz w:val="32"/>
          <w:szCs w:val="32"/>
          <w:lang w:eastAsia="zh-CN"/>
        </w:rPr>
        <w:t>今年上半年，我市土地购置</w:t>
      </w:r>
      <w:r>
        <w:rPr>
          <w:rFonts w:hint="default" w:ascii="Times New Roman" w:hAnsi="Times New Roman" w:eastAsia="仿宋_GB2312" w:cs="Times New Roman"/>
          <w:sz w:val="32"/>
          <w:szCs w:val="32"/>
          <w:lang w:eastAsia="zh-CN"/>
        </w:rPr>
        <w:t>面积与一季度持平，说明二季度无新增土地购置。土地市场的热度减弱不利于房地产投资向好发展。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sz w:val="32"/>
          <w:szCs w:val="32"/>
          <w:lang w:val="en-US" w:eastAsia="zh-CN"/>
        </w:rPr>
        <w:t>多年来，我市房地产开发投资对土地购置费的依赖程度较高，</w:t>
      </w:r>
      <w:r>
        <w:rPr>
          <w:rFonts w:hint="default" w:ascii="Times New Roman" w:hAnsi="Times New Roman" w:eastAsia="仿宋_GB2312" w:cs="Times New Roman"/>
          <w:sz w:val="32"/>
          <w:szCs w:val="32"/>
        </w:rPr>
        <w:t>2017年-2020年</w:t>
      </w:r>
      <w:r>
        <w:rPr>
          <w:rFonts w:hint="default" w:ascii="Times New Roman" w:hAnsi="Times New Roman" w:eastAsia="仿宋_GB2312" w:cs="Times New Roman"/>
          <w:sz w:val="32"/>
          <w:szCs w:val="32"/>
          <w:lang w:eastAsia="zh-CN"/>
        </w:rPr>
        <w:t>土地购置费占房地产开发投资的比重</w:t>
      </w:r>
      <w:r>
        <w:rPr>
          <w:rFonts w:hint="default" w:ascii="Times New Roman" w:hAnsi="Times New Roman" w:eastAsia="仿宋_GB2312" w:cs="Times New Roman"/>
          <w:sz w:val="32"/>
          <w:szCs w:val="32"/>
        </w:rPr>
        <w:t>分别</w:t>
      </w:r>
      <w:r>
        <w:rPr>
          <w:rFonts w:hint="default" w:ascii="Times New Roman" w:hAnsi="Times New Roman" w:eastAsia="仿宋_GB2312" w:cs="Times New Roman"/>
          <w:sz w:val="32"/>
          <w:szCs w:val="32"/>
          <w:lang w:eastAsia="zh-CN"/>
        </w:rPr>
        <w:t>为</w:t>
      </w:r>
      <w:r>
        <w:rPr>
          <w:rFonts w:hint="default" w:ascii="Times New Roman" w:hAnsi="Times New Roman" w:eastAsia="仿宋_GB2312" w:cs="Times New Roman"/>
          <w:sz w:val="32"/>
          <w:szCs w:val="32"/>
          <w:lang w:val="en-US" w:eastAsia="zh-CN"/>
        </w:rPr>
        <w:t>32.5</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18.3</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36.5</w:t>
      </w:r>
      <w:r>
        <w:rPr>
          <w:rFonts w:hint="default" w:ascii="Times New Roman" w:hAnsi="Times New Roman" w:eastAsia="仿宋_GB2312" w:cs="Times New Roman"/>
          <w:sz w:val="32"/>
          <w:szCs w:val="32"/>
        </w:rPr>
        <w:t>%和</w:t>
      </w:r>
      <w:r>
        <w:rPr>
          <w:rFonts w:hint="default" w:ascii="Times New Roman" w:hAnsi="Times New Roman" w:eastAsia="仿宋_GB2312" w:cs="Times New Roman"/>
          <w:sz w:val="32"/>
          <w:szCs w:val="32"/>
          <w:lang w:val="en-US" w:eastAsia="zh-CN"/>
        </w:rPr>
        <w:t>29.1</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今年上半年我市土地购置费达</w:t>
      </w:r>
      <w:r>
        <w:rPr>
          <w:rFonts w:hint="default" w:ascii="Times New Roman" w:hAnsi="Times New Roman" w:eastAsia="仿宋_GB2312" w:cs="Times New Roman"/>
          <w:sz w:val="32"/>
          <w:szCs w:val="32"/>
          <w:lang w:val="en-US" w:eastAsia="zh-CN"/>
        </w:rPr>
        <w:t>26.08亿，占我市</w:t>
      </w:r>
      <w:r>
        <w:rPr>
          <w:rFonts w:hint="default" w:ascii="Times New Roman" w:hAnsi="Times New Roman" w:eastAsia="仿宋_GB2312" w:cs="Times New Roman"/>
          <w:sz w:val="32"/>
          <w:szCs w:val="32"/>
          <w:lang w:eastAsia="zh-CN"/>
        </w:rPr>
        <w:t>房地产开发投资比重高达</w:t>
      </w:r>
      <w:r>
        <w:rPr>
          <w:rFonts w:hint="default" w:ascii="Times New Roman" w:hAnsi="Times New Roman" w:eastAsia="仿宋_GB2312" w:cs="Times New Roman"/>
          <w:sz w:val="32"/>
          <w:szCs w:val="32"/>
          <w:lang w:val="en-US" w:eastAsia="zh-CN"/>
        </w:rPr>
        <w:t>38.6%。再加上土地购置费剩余量较少，土地购置费报送审核力度加大，需与建安投资达到一定的匹配度，因此我市下半年土地购置费上报预计会减少。</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Cs/>
          <w:color w:val="auto"/>
          <w:kern w:val="0"/>
          <w:sz w:val="32"/>
          <w:szCs w:val="32"/>
          <w:highlight w:val="none"/>
          <w:lang w:val="en-US" w:eastAsia="zh-CN"/>
        </w:rPr>
      </w:pPr>
      <w:r>
        <w:rPr>
          <w:rFonts w:hint="eastAsia" w:ascii="仿宋_GB2312" w:hAnsi="仿宋_GB2312" w:eastAsia="仿宋_GB2312" w:cs="仿宋_GB2312"/>
          <w:sz w:val="32"/>
          <w:szCs w:val="32"/>
        </w:rPr>
        <w:t>若土地购置费减少、占比降低所带来的结构性放缓趋势延续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则房地产开发投资对我市固定资产投资的拉动作用或将进一步减弱</w:t>
      </w:r>
      <w:r>
        <w:rPr>
          <w:rFonts w:hint="eastAsia" w:ascii="仿宋_GB2312" w:hAnsi="仿宋_GB2312" w:eastAsia="仿宋_GB2312" w:cs="仿宋_GB2312"/>
          <w:sz w:val="32"/>
          <w:szCs w:val="32"/>
          <w:lang w:eastAsia="zh-CN"/>
        </w:rPr>
        <w:t>，应积极挖掘投资新潜力，降低投资对房地产，尤其是</w:t>
      </w:r>
      <w:r>
        <w:rPr>
          <w:rFonts w:hint="eastAsia" w:ascii="仿宋_GB2312" w:hAnsi="仿宋_GB2312" w:eastAsia="仿宋_GB2312" w:cs="仿宋_GB2312"/>
          <w:color w:val="auto"/>
          <w:kern w:val="0"/>
          <w:sz w:val="32"/>
          <w:szCs w:val="32"/>
          <w:highlight w:val="none"/>
          <w:lang w:val="en-US" w:eastAsia="zh-CN" w:bidi="ar-SA"/>
        </w:rPr>
        <w:t>土地购置费等一次性费用的依赖度，保障投资平稳增长</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bCs/>
          <w:color w:val="auto"/>
          <w:kern w:val="0"/>
          <w:sz w:val="32"/>
          <w:szCs w:val="32"/>
          <w:highlight w:val="none"/>
          <w:lang w:val="en-US" w:eastAsia="zh-CN"/>
        </w:rPr>
      </w:pPr>
      <w:r>
        <w:rPr>
          <w:rFonts w:hint="eastAsia" w:ascii="楷体" w:hAnsi="楷体" w:eastAsia="楷体" w:cs="楷体"/>
          <w:b w:val="0"/>
          <w:bCs/>
          <w:color w:val="auto"/>
          <w:kern w:val="0"/>
          <w:sz w:val="32"/>
          <w:szCs w:val="32"/>
          <w:highlight w:val="none"/>
          <w:lang w:val="en-US" w:eastAsia="zh-CN"/>
        </w:rPr>
        <w:t>（二）销售面积增速放缓，新开工面积减少</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240" w:lineRule="auto"/>
        <w:ind w:right="0" w:rightChars="0"/>
        <w:jc w:val="center"/>
        <w:rPr>
          <w:rFonts w:hint="eastAsia" w:ascii="黑体" w:hAnsi="黑体" w:eastAsia="黑体" w:cs="黑体"/>
          <w:b w:val="0"/>
          <w:bCs/>
          <w:color w:val="auto"/>
          <w:kern w:val="0"/>
          <w:sz w:val="32"/>
          <w:szCs w:val="32"/>
          <w:highlight w:val="none"/>
          <w:lang w:val="en-US" w:eastAsia="zh-CN" w:bidi="ar"/>
        </w:rPr>
      </w:pPr>
      <w:r>
        <w:drawing>
          <wp:inline distT="0" distB="0" distL="114300" distR="114300">
            <wp:extent cx="5687695" cy="3484880"/>
            <wp:effectExtent l="0" t="0" r="12065" b="5080"/>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240" w:lineRule="auto"/>
        <w:ind w:right="0"/>
        <w:jc w:val="center"/>
        <w:rPr>
          <w:rFonts w:hint="eastAsia" w:ascii="黑体" w:hAnsi="黑体" w:eastAsia="黑体" w:cs="黑体"/>
          <w:b w:val="0"/>
          <w:bCs w:val="0"/>
          <w:sz w:val="30"/>
          <w:szCs w:val="30"/>
          <w:lang w:val="en-US" w:eastAsia="zh-CN"/>
        </w:rPr>
      </w:pPr>
      <w:r>
        <w:rPr>
          <w:rFonts w:hint="eastAsia" w:ascii="楷体" w:hAnsi="楷体" w:eastAsia="楷体" w:cs="楷体"/>
          <w:b w:val="0"/>
          <w:bCs w:val="0"/>
          <w:sz w:val="30"/>
          <w:szCs w:val="30"/>
          <w:lang w:val="en-US" w:eastAsia="zh-CN"/>
        </w:rPr>
        <w:t>图4：2016-2020年商品房销售面积</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color w:val="auto"/>
          <w:kern w:val="0"/>
          <w:sz w:val="32"/>
          <w:szCs w:val="32"/>
          <w:highlight w:val="none"/>
          <w:lang w:val="en-US" w:eastAsia="zh-CN" w:bidi="ar"/>
        </w:rPr>
        <w:t>如销售面积发展现状(一(二))中所述，我市上半年销售面积呈现回落型增长趋势（图3），再根据本年新开工面积、本年新开工项目规划建筑面积这两个销售面积先行指标，从我市2016年-2020年商品房销售面积（图4）、新开工面积情况（图5）、新开工项目规划建筑面积（图6）情况来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240" w:lineRule="auto"/>
        <w:ind w:right="0"/>
        <w:jc w:val="center"/>
        <w:rPr>
          <w:rFonts w:hint="eastAsia" w:ascii="仿宋" w:hAnsi="仿宋" w:eastAsia="仿宋"/>
          <w:sz w:val="30"/>
          <w:szCs w:val="30"/>
          <w:lang w:val="en-US" w:eastAsia="zh-CN"/>
        </w:rPr>
      </w:pPr>
      <w:r>
        <w:drawing>
          <wp:inline distT="0" distB="0" distL="114300" distR="114300">
            <wp:extent cx="5568315" cy="2591435"/>
            <wp:effectExtent l="0" t="0" r="9525" b="14605"/>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黑体" w:hAnsi="黑体" w:eastAsia="黑体" w:cs="黑体"/>
          <w:b w:val="0"/>
          <w:bCs w:val="0"/>
          <w:sz w:val="30"/>
          <w:szCs w:val="30"/>
          <w:lang w:val="en-US" w:eastAsia="zh-CN"/>
        </w:rPr>
      </w:pPr>
      <w:r>
        <w:rPr>
          <w:rFonts w:hint="eastAsia" w:ascii="楷体" w:hAnsi="楷体" w:eastAsia="楷体" w:cs="楷体"/>
          <w:b w:val="0"/>
          <w:bCs w:val="0"/>
          <w:sz w:val="30"/>
          <w:szCs w:val="30"/>
          <w:lang w:val="en-US" w:eastAsia="zh-CN"/>
        </w:rPr>
        <w:t>图5：2016-2020年新开工面积情况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黑体" w:hAnsi="黑体" w:eastAsia="黑体" w:cs="黑体"/>
          <w:b w:val="0"/>
          <w:bCs/>
          <w:color w:val="auto"/>
          <w:kern w:val="0"/>
          <w:sz w:val="32"/>
          <w:szCs w:val="32"/>
          <w:highlight w:val="none"/>
          <w:lang w:val="en-US" w:eastAsia="zh-CN" w:bidi="ar"/>
        </w:rPr>
      </w:pPr>
      <w:r>
        <w:rPr>
          <w:rFonts w:hint="default" w:ascii="Times New Roman" w:hAnsi="Times New Roman" w:eastAsia="仿宋_GB2312" w:cs="Times New Roman"/>
          <w:color w:val="auto"/>
          <w:kern w:val="0"/>
          <w:sz w:val="32"/>
          <w:szCs w:val="32"/>
          <w:highlight w:val="none"/>
          <w:lang w:val="en-US" w:eastAsia="zh-CN" w:bidi="ar"/>
        </w:rPr>
        <w:t>新开工面积和新开工项目规划建筑面积减少，可能会导致后期施工面积减少，影响整体房地产开发投资和商品房销售面积下行。从项目建设到商品房销售需要一定建设周期，先行指标的下降一定程度上预示2021年商品房销售面积增长空间进一步萎缩，因此今年我市需清醒认识到商品房销售面积可能呈现前高后低的增长趋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240" w:lineRule="auto"/>
        <w:ind w:right="0"/>
        <w:jc w:val="center"/>
        <w:rPr>
          <w:rFonts w:hint="eastAsia" w:ascii="仿宋" w:hAnsi="仿宋" w:eastAsia="仿宋"/>
          <w:sz w:val="30"/>
          <w:szCs w:val="30"/>
          <w:lang w:val="en-US" w:eastAsia="zh-CN"/>
        </w:rPr>
      </w:pPr>
      <w:r>
        <w:drawing>
          <wp:inline distT="0" distB="0" distL="114300" distR="114300">
            <wp:extent cx="5273675" cy="2476500"/>
            <wp:effectExtent l="4445" t="4445" r="10160" b="18415"/>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default" w:ascii="黑体" w:hAnsi="黑体" w:eastAsia="黑体" w:cs="黑体"/>
          <w:b w:val="0"/>
          <w:bCs w:val="0"/>
          <w:sz w:val="30"/>
          <w:szCs w:val="30"/>
          <w:lang w:val="en-US" w:eastAsia="zh-CN"/>
        </w:rPr>
      </w:pPr>
      <w:r>
        <w:rPr>
          <w:rFonts w:hint="eastAsia" w:ascii="楷体" w:hAnsi="楷体" w:eastAsia="楷体" w:cs="楷体"/>
          <w:b w:val="0"/>
          <w:bCs w:val="0"/>
          <w:sz w:val="30"/>
          <w:szCs w:val="30"/>
          <w:lang w:val="en-US" w:eastAsia="zh-CN"/>
        </w:rPr>
        <w:t>图6：2016-2020年新开工项目规划建筑面积情况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eastAsia" w:ascii="黑体" w:hAnsi="黑体" w:eastAsia="黑体" w:cs="黑体"/>
          <w:b w:val="0"/>
          <w:bCs/>
          <w:color w:val="auto"/>
          <w:kern w:val="0"/>
          <w:sz w:val="32"/>
          <w:szCs w:val="32"/>
          <w:highlight w:val="none"/>
          <w:lang w:val="en-US" w:eastAsia="zh-CN" w:bidi="ar"/>
        </w:rPr>
      </w:pPr>
      <w:r>
        <w:rPr>
          <w:rFonts w:hint="eastAsia" w:ascii="楷体" w:hAnsi="楷体" w:eastAsia="楷体" w:cs="楷体"/>
          <w:b w:val="0"/>
          <w:bCs/>
          <w:color w:val="auto"/>
          <w:kern w:val="0"/>
          <w:sz w:val="32"/>
          <w:szCs w:val="32"/>
          <w:highlight w:val="none"/>
          <w:lang w:val="en-US" w:eastAsia="zh-CN" w:bidi="ar"/>
        </w:rPr>
        <w:t>（三）供需出现结构性不平衡</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b w:val="0"/>
          <w:bCs w:val="0"/>
          <w:color w:val="auto"/>
          <w:kern w:val="0"/>
          <w:sz w:val="32"/>
          <w:szCs w:val="32"/>
          <w:highlight w:val="none"/>
          <w:lang w:val="en-US" w:eastAsia="zh-CN"/>
        </w:rPr>
        <w:t>从需求侧看，上半年，住宅房屋销售面积快速增长。全市住宅房屋销售面积增长81.4%，其中90平方米及以下住宅房屋销售面积同比下降36.7%，90-144平方米住宅房屋销售面积同比增长127.3%，144平方米以上住宅房屋销售面积同比增长26.4%。</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20" w:lineRule="exact"/>
        <w:ind w:left="0" w:leftChars="0" w:right="0" w:rightChars="0" w:firstLine="0" w:firstLineChars="0"/>
        <w:jc w:val="center"/>
        <w:textAlignment w:val="auto"/>
        <w:outlineLvl w:val="9"/>
        <w:rPr>
          <w:rFonts w:hint="default" w:ascii="仿宋_GB2312" w:hAnsi="仿宋_GB2312" w:eastAsia="仿宋_GB2312" w:cs="仿宋_GB2312"/>
          <w:color w:val="auto"/>
          <w:kern w:val="0"/>
          <w:sz w:val="32"/>
          <w:szCs w:val="32"/>
          <w:highlight w:val="none"/>
          <w:lang w:val="en-US" w:eastAsia="zh-CN"/>
        </w:rPr>
      </w:pPr>
      <w:r>
        <w:rPr>
          <w:rFonts w:hint="eastAsia" w:ascii="楷体" w:hAnsi="楷体" w:eastAsia="楷体" w:cs="楷体"/>
          <w:b w:val="0"/>
          <w:bCs w:val="0"/>
          <w:sz w:val="30"/>
          <w:szCs w:val="30"/>
          <w:lang w:val="en-US" w:eastAsia="zh-CN"/>
        </w:rPr>
        <w:t>表1：住宅房屋销售面积与投资对比表</w:t>
      </w:r>
    </w:p>
    <w:tbl>
      <w:tblPr>
        <w:tblStyle w:val="10"/>
        <w:tblW w:w="8496"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08"/>
        <w:gridCol w:w="2700"/>
        <w:gridCol w:w="2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0" w:hRule="atLeast"/>
        </w:trPr>
        <w:tc>
          <w:tcPr>
            <w:tcW w:w="3108" w:type="dxa"/>
            <w:tcBorders>
              <w:top w:val="single" w:color="auto" w:sz="12" w:space="0"/>
              <w:left w:val="nil"/>
              <w:bottom w:val="single" w:color="auto" w:sz="12" w:space="0"/>
            </w:tcBorders>
            <w:vAlign w:val="center"/>
            <mc:AlternateContent>
              <mc:Choice Requires="wpsCustomData">
                <wpsCustomData:diagonals>
                  <wpsCustomData:diagonal from="10000" to="30000">
                    <wpsCustomData:border w:val="single" w:color="auto" w:sz="12" w:space="0"/>
                  </wpsCustomData:diagonal>
                </wpsCustomData:diagonals>
              </mc:Choice>
            </mc:AlternateContent>
          </w:tcPr>
          <w:p>
            <w:pPr>
              <w:keepNext w:val="0"/>
              <w:keepLines w:val="0"/>
              <w:pageBreakBefore w:val="0"/>
              <w:widowControl/>
              <w:numPr>
                <w:ilvl w:val="0"/>
                <w:numId w:val="0"/>
              </w:numPr>
              <w:suppressLineNumbers w:val="0"/>
              <w:kinsoku/>
              <w:wordWrap w:val="0"/>
              <w:overflowPunct/>
              <w:topLinePunct w:val="0"/>
              <w:autoSpaceDE/>
              <w:autoSpaceDN/>
              <w:bidi w:val="0"/>
              <w:adjustRightInd/>
              <w:snapToGrid w:val="0"/>
              <w:spacing w:beforeAutospacing="0" w:afterAutospacing="0" w:line="240" w:lineRule="auto"/>
              <w:ind w:right="0" w:rightChars="0"/>
              <w:jc w:val="center"/>
              <w:textAlignment w:val="auto"/>
              <w:outlineLvl w:val="9"/>
              <mc:AlternateContent>
                <mc:Choice Requires="wpsCustomData">
                  <wpsCustomData:diagonalParaType/>
                </mc:Choice>
              </mc:AlternateContent>
              <w:rPr>
                <w:rFonts w:hint="eastAsia" w:ascii="仿宋_GB2312" w:hAnsi="仿宋_GB2312" w:eastAsia="仿宋_GB2312" w:cs="仿宋_GB2312"/>
                <w:b/>
                <w:bCs/>
                <w:color w:val="auto"/>
                <w:kern w:val="0"/>
                <w:sz w:val="28"/>
                <w:szCs w:val="28"/>
                <w:highlight w:val="none"/>
                <w:vertAlign w:val="baseline"/>
                <w:lang w:val="en-US" w:eastAsia="zh-CN"/>
              </w:rPr>
            </w:pPr>
            <w:r>
              <w:rPr>
                <w:rFonts w:hint="eastAsia" w:ascii="仿宋_GB2312" w:hAnsi="仿宋_GB2312" w:eastAsia="仿宋_GB2312" w:cs="仿宋_GB2312"/>
                <w:b/>
                <w:bCs/>
                <w:color w:val="auto"/>
                <w:kern w:val="0"/>
                <w:sz w:val="28"/>
                <w:szCs w:val="28"/>
                <w:highlight w:val="none"/>
                <w:vertAlign w:val="baseline"/>
                <w:lang w:val="en-US" w:eastAsia="zh-CN"/>
              </w:rPr>
              <w:t>类别</w:t>
            </w:r>
          </w:p>
          <w:p>
            <w:pPr>
              <w:keepNext w:val="0"/>
              <w:keepLines w:val="0"/>
              <w:pageBreakBefore w:val="0"/>
              <w:widowControl/>
              <w:numPr>
                <w:ilvl w:val="0"/>
                <w:numId w:val="0"/>
              </w:numPr>
              <w:suppressLineNumbers w:val="0"/>
              <w:kinsoku/>
              <w:wordWrap w:val="0"/>
              <w:overflowPunct/>
              <w:topLinePunct w:val="0"/>
              <w:autoSpaceDE/>
              <w:autoSpaceDN/>
              <w:bidi w:val="0"/>
              <w:adjustRightInd/>
              <w:snapToGrid/>
              <w:spacing w:beforeAutospacing="0" w:afterAutospacing="0" w:line="240" w:lineRule="auto"/>
              <w:ind w:right="0" w:rightChars="0"/>
              <w:jc w:val="center"/>
              <w:textAlignment w:val="auto"/>
              <w:outlineLvl w:val="9"/>
              <w:rPr>
                <w:rFonts w:hint="eastAsia" w:ascii="仿宋_GB2312" w:hAnsi="仿宋_GB2312" w:eastAsia="仿宋_GB2312" w:cs="仿宋_GB2312"/>
                <w:b/>
                <w:bCs/>
                <w:color w:val="auto"/>
                <w:kern w:val="0"/>
                <w:sz w:val="28"/>
                <w:szCs w:val="28"/>
                <w:highlight w:val="none"/>
                <w:vertAlign w:val="baseline"/>
                <w:lang w:val="en-US" w:eastAsia="zh-CN"/>
              </w:rPr>
            </w:pPr>
            <w:r>
              <w:rPr>
                <w:rFonts w:hint="eastAsia" w:ascii="仿宋_GB2312" w:hAnsi="仿宋_GB2312" w:eastAsia="仿宋_GB2312" w:cs="仿宋_GB2312"/>
                <w:b/>
                <w:bCs/>
                <w:color w:val="auto"/>
                <w:kern w:val="0"/>
                <w:sz w:val="28"/>
                <w:szCs w:val="28"/>
                <w:highlight w:val="none"/>
                <w:vertAlign w:val="baseline"/>
                <w:lang w:val="en-US" w:eastAsia="zh-CN"/>
              </w:rPr>
              <w:t>增速（%）</w:t>
            </w:r>
          </w:p>
        </w:tc>
        <w:tc>
          <w:tcPr>
            <w:tcW w:w="2700" w:type="dxa"/>
            <w:tcBorders>
              <w:top w:val="single" w:color="auto" w:sz="12" w:space="0"/>
              <w:bottom w:val="single" w:color="auto" w:sz="12" w:space="0"/>
            </w:tcBorders>
            <w:vAlign w:val="center"/>
          </w:tcPr>
          <w:p>
            <w:pPr>
              <w:keepNext w:val="0"/>
              <w:keepLines w:val="0"/>
              <w:pageBreakBefore w:val="0"/>
              <w:widowControl/>
              <w:numPr>
                <w:ilvl w:val="0"/>
                <w:numId w:val="0"/>
              </w:numPr>
              <w:suppressLineNumbers w:val="0"/>
              <w:kinsoku/>
              <w:wordWrap w:val="0"/>
              <w:overflowPunct/>
              <w:topLinePunct w:val="0"/>
              <w:autoSpaceDE/>
              <w:autoSpaceDN/>
              <w:bidi w:val="0"/>
              <w:adjustRightInd/>
              <w:snapToGrid/>
              <w:spacing w:beforeAutospacing="0" w:afterAutospacing="0" w:line="240" w:lineRule="auto"/>
              <w:ind w:right="0" w:rightChars="0"/>
              <w:jc w:val="center"/>
              <w:textAlignment w:val="auto"/>
              <w:outlineLvl w:val="9"/>
              <w:rPr>
                <w:rFonts w:hint="eastAsia" w:ascii="仿宋_GB2312" w:hAnsi="仿宋_GB2312" w:eastAsia="仿宋_GB2312" w:cs="仿宋_GB2312"/>
                <w:b/>
                <w:bCs/>
                <w:color w:val="auto"/>
                <w:kern w:val="0"/>
                <w:sz w:val="28"/>
                <w:szCs w:val="28"/>
                <w:highlight w:val="none"/>
                <w:vertAlign w:val="baseline"/>
                <w:lang w:val="en-US" w:eastAsia="zh-CN"/>
              </w:rPr>
            </w:pPr>
            <w:r>
              <w:rPr>
                <w:rFonts w:hint="eastAsia" w:ascii="仿宋_GB2312" w:hAnsi="仿宋_GB2312" w:eastAsia="仿宋_GB2312" w:cs="仿宋_GB2312"/>
                <w:b/>
                <w:bCs/>
                <w:color w:val="auto"/>
                <w:kern w:val="0"/>
                <w:sz w:val="28"/>
                <w:szCs w:val="28"/>
                <w:highlight w:val="none"/>
                <w:vertAlign w:val="baseline"/>
                <w:lang w:val="en-US" w:eastAsia="zh-CN"/>
              </w:rPr>
              <w:t>住宅房屋销售面积</w:t>
            </w:r>
          </w:p>
        </w:tc>
        <w:tc>
          <w:tcPr>
            <w:tcW w:w="2688" w:type="dxa"/>
            <w:tcBorders>
              <w:top w:val="single" w:color="auto" w:sz="12" w:space="0"/>
              <w:bottom w:val="single" w:color="auto" w:sz="12" w:space="0"/>
              <w:right w:val="nil"/>
            </w:tcBorders>
            <w:vAlign w:val="center"/>
          </w:tcPr>
          <w:p>
            <w:pPr>
              <w:keepNext w:val="0"/>
              <w:keepLines w:val="0"/>
              <w:pageBreakBefore w:val="0"/>
              <w:widowControl/>
              <w:numPr>
                <w:ilvl w:val="0"/>
                <w:numId w:val="0"/>
              </w:numPr>
              <w:suppressLineNumbers w:val="0"/>
              <w:kinsoku/>
              <w:wordWrap w:val="0"/>
              <w:overflowPunct/>
              <w:topLinePunct w:val="0"/>
              <w:autoSpaceDE/>
              <w:autoSpaceDN/>
              <w:bidi w:val="0"/>
              <w:adjustRightInd/>
              <w:snapToGrid/>
              <w:spacing w:beforeAutospacing="0" w:afterAutospacing="0" w:line="240" w:lineRule="auto"/>
              <w:ind w:right="0" w:rightChars="0"/>
              <w:jc w:val="center"/>
              <w:textAlignment w:val="auto"/>
              <w:outlineLvl w:val="9"/>
              <w:rPr>
                <w:rFonts w:hint="eastAsia" w:ascii="仿宋_GB2312" w:hAnsi="仿宋_GB2312" w:eastAsia="仿宋_GB2312" w:cs="仿宋_GB2312"/>
                <w:b/>
                <w:bCs/>
                <w:color w:val="auto"/>
                <w:kern w:val="0"/>
                <w:sz w:val="28"/>
                <w:szCs w:val="28"/>
                <w:highlight w:val="none"/>
                <w:vertAlign w:val="baseline"/>
                <w:lang w:val="en-US" w:eastAsia="zh-CN"/>
              </w:rPr>
            </w:pPr>
            <w:r>
              <w:rPr>
                <w:rFonts w:hint="eastAsia" w:ascii="仿宋_GB2312" w:hAnsi="仿宋_GB2312" w:eastAsia="仿宋_GB2312" w:cs="仿宋_GB2312"/>
                <w:b/>
                <w:bCs/>
                <w:color w:val="auto"/>
                <w:kern w:val="0"/>
                <w:sz w:val="28"/>
                <w:szCs w:val="28"/>
                <w:highlight w:val="none"/>
                <w:vertAlign w:val="baseline"/>
                <w:lang w:val="en-US" w:eastAsia="zh-CN"/>
              </w:rPr>
              <w:t>住宅投资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3108" w:type="dxa"/>
            <w:tcBorders>
              <w:top w:val="single" w:color="auto" w:sz="12" w:space="0"/>
              <w:left w:val="nil"/>
            </w:tcBorders>
          </w:tcPr>
          <w:p>
            <w:pPr>
              <w:keepNext w:val="0"/>
              <w:keepLines w:val="0"/>
              <w:pageBreakBefore w:val="0"/>
              <w:widowControl/>
              <w:numPr>
                <w:ilvl w:val="0"/>
                <w:numId w:val="0"/>
              </w:numPr>
              <w:suppressLineNumbers w:val="0"/>
              <w:kinsoku/>
              <w:wordWrap w:val="0"/>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仿宋_GB2312" w:hAnsi="仿宋_GB2312" w:eastAsia="仿宋_GB2312" w:cs="仿宋_GB2312"/>
                <w:b/>
                <w:bCs/>
                <w:color w:val="auto"/>
                <w:kern w:val="0"/>
                <w:sz w:val="28"/>
                <w:szCs w:val="28"/>
                <w:highlight w:val="none"/>
                <w:vertAlign w:val="baseline"/>
                <w:lang w:val="en-US" w:eastAsia="zh-CN"/>
              </w:rPr>
            </w:pPr>
            <w:r>
              <w:rPr>
                <w:rFonts w:hint="eastAsia" w:ascii="仿宋_GB2312" w:hAnsi="仿宋_GB2312" w:eastAsia="仿宋_GB2312" w:cs="仿宋_GB2312"/>
                <w:b/>
                <w:bCs/>
                <w:color w:val="auto"/>
                <w:kern w:val="0"/>
                <w:sz w:val="28"/>
                <w:szCs w:val="28"/>
                <w:highlight w:val="none"/>
                <w:lang w:val="en-US" w:eastAsia="zh-CN"/>
              </w:rPr>
              <w:t>90平方米及以下</w:t>
            </w:r>
          </w:p>
        </w:tc>
        <w:tc>
          <w:tcPr>
            <w:tcW w:w="2700" w:type="dxa"/>
            <w:tcBorders>
              <w:top w:val="single" w:color="auto" w:sz="12" w:space="0"/>
            </w:tcBorders>
          </w:tcPr>
          <w:p>
            <w:pPr>
              <w:keepNext w:val="0"/>
              <w:keepLines w:val="0"/>
              <w:pageBreakBefore w:val="0"/>
              <w:widowControl/>
              <w:numPr>
                <w:ilvl w:val="0"/>
                <w:numId w:val="0"/>
              </w:numPr>
              <w:suppressLineNumbers w:val="0"/>
              <w:kinsoku/>
              <w:wordWrap w:val="0"/>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default" w:ascii="Times New Roman" w:hAnsi="Times New Roman" w:eastAsia="仿宋_GB2312" w:cs="Times New Roman"/>
                <w:color w:val="auto"/>
                <w:kern w:val="0"/>
                <w:sz w:val="28"/>
                <w:szCs w:val="28"/>
                <w:highlight w:val="none"/>
                <w:vertAlign w:val="baseline"/>
                <w:lang w:val="en-US" w:eastAsia="zh-CN"/>
              </w:rPr>
            </w:pPr>
            <w:r>
              <w:rPr>
                <w:rFonts w:hint="default" w:ascii="Times New Roman" w:hAnsi="Times New Roman" w:eastAsia="仿宋_GB2312" w:cs="Times New Roman"/>
                <w:color w:val="auto"/>
                <w:kern w:val="0"/>
                <w:sz w:val="28"/>
                <w:szCs w:val="28"/>
                <w:highlight w:val="none"/>
                <w:vertAlign w:val="baseline"/>
                <w:lang w:val="en-US" w:eastAsia="zh-CN"/>
              </w:rPr>
              <w:t>-36.7%</w:t>
            </w:r>
          </w:p>
        </w:tc>
        <w:tc>
          <w:tcPr>
            <w:tcW w:w="2688" w:type="dxa"/>
            <w:tcBorders>
              <w:top w:val="single" w:color="auto" w:sz="12" w:space="0"/>
              <w:right w:val="nil"/>
            </w:tcBorders>
          </w:tcPr>
          <w:p>
            <w:pPr>
              <w:keepNext w:val="0"/>
              <w:keepLines w:val="0"/>
              <w:pageBreakBefore w:val="0"/>
              <w:widowControl/>
              <w:numPr>
                <w:ilvl w:val="0"/>
                <w:numId w:val="0"/>
              </w:numPr>
              <w:suppressLineNumbers w:val="0"/>
              <w:kinsoku/>
              <w:wordWrap w:val="0"/>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default" w:ascii="Times New Roman" w:hAnsi="Times New Roman" w:eastAsia="仿宋_GB2312" w:cs="Times New Roman"/>
                <w:color w:val="auto"/>
                <w:kern w:val="0"/>
                <w:sz w:val="28"/>
                <w:szCs w:val="28"/>
                <w:highlight w:val="none"/>
                <w:vertAlign w:val="baseline"/>
                <w:lang w:val="en-US" w:eastAsia="zh-CN"/>
              </w:rPr>
            </w:pPr>
            <w:r>
              <w:rPr>
                <w:rFonts w:hint="default" w:ascii="Times New Roman" w:hAnsi="Times New Roman" w:eastAsia="仿宋_GB2312" w:cs="Times New Roman"/>
                <w:color w:val="auto"/>
                <w:kern w:val="0"/>
                <w:sz w:val="28"/>
                <w:szCs w:val="28"/>
                <w:highlight w:val="none"/>
                <w:vertAlign w:val="baseline"/>
                <w:lang w:val="en-US" w:eastAsia="zh-CN"/>
              </w:rPr>
              <w:t>43.1%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08" w:type="dxa"/>
            <w:tcBorders>
              <w:left w:val="nil"/>
            </w:tcBorders>
          </w:tcPr>
          <w:p>
            <w:pPr>
              <w:keepNext w:val="0"/>
              <w:keepLines w:val="0"/>
              <w:pageBreakBefore w:val="0"/>
              <w:widowControl/>
              <w:numPr>
                <w:ilvl w:val="0"/>
                <w:numId w:val="0"/>
              </w:numPr>
              <w:suppressLineNumbers w:val="0"/>
              <w:kinsoku/>
              <w:wordWrap w:val="0"/>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仿宋_GB2312" w:hAnsi="仿宋_GB2312" w:eastAsia="仿宋_GB2312" w:cs="仿宋_GB2312"/>
                <w:b/>
                <w:bCs/>
                <w:color w:val="auto"/>
                <w:kern w:val="0"/>
                <w:sz w:val="28"/>
                <w:szCs w:val="28"/>
                <w:highlight w:val="none"/>
                <w:vertAlign w:val="baseline"/>
                <w:lang w:val="en-US" w:eastAsia="zh-CN"/>
              </w:rPr>
            </w:pPr>
            <w:r>
              <w:rPr>
                <w:rFonts w:hint="eastAsia" w:ascii="仿宋_GB2312" w:hAnsi="仿宋_GB2312" w:eastAsia="仿宋_GB2312" w:cs="仿宋_GB2312"/>
                <w:b/>
                <w:bCs/>
                <w:color w:val="auto"/>
                <w:kern w:val="0"/>
                <w:sz w:val="28"/>
                <w:szCs w:val="28"/>
                <w:highlight w:val="none"/>
                <w:lang w:val="en-US" w:eastAsia="zh-CN"/>
              </w:rPr>
              <w:t>90-144平方米</w:t>
            </w:r>
          </w:p>
        </w:tc>
        <w:tc>
          <w:tcPr>
            <w:tcW w:w="2700" w:type="dxa"/>
            <w:tcBorders>
              <w:bottom w:val="single" w:color="000000" w:sz="4" w:space="0"/>
            </w:tcBorders>
          </w:tcPr>
          <w:p>
            <w:pPr>
              <w:keepNext w:val="0"/>
              <w:keepLines w:val="0"/>
              <w:pageBreakBefore w:val="0"/>
              <w:widowControl/>
              <w:numPr>
                <w:ilvl w:val="0"/>
                <w:numId w:val="0"/>
              </w:numPr>
              <w:suppressLineNumbers w:val="0"/>
              <w:kinsoku/>
              <w:wordWrap w:val="0"/>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default" w:ascii="Times New Roman" w:hAnsi="Times New Roman" w:eastAsia="仿宋_GB2312" w:cs="Times New Roman"/>
                <w:color w:val="auto"/>
                <w:kern w:val="0"/>
                <w:sz w:val="28"/>
                <w:szCs w:val="28"/>
                <w:highlight w:val="none"/>
                <w:vertAlign w:val="baseline"/>
                <w:lang w:val="en-US" w:eastAsia="zh-CN"/>
              </w:rPr>
            </w:pPr>
            <w:r>
              <w:rPr>
                <w:rFonts w:hint="default" w:ascii="Times New Roman" w:hAnsi="Times New Roman" w:eastAsia="仿宋_GB2312" w:cs="Times New Roman"/>
                <w:color w:val="auto"/>
                <w:kern w:val="0"/>
                <w:sz w:val="28"/>
                <w:szCs w:val="28"/>
                <w:highlight w:val="none"/>
                <w:vertAlign w:val="baseline"/>
                <w:lang w:val="en-US" w:eastAsia="zh-CN"/>
              </w:rPr>
              <w:t>127.3%</w:t>
            </w:r>
          </w:p>
        </w:tc>
        <w:tc>
          <w:tcPr>
            <w:tcW w:w="2688" w:type="dxa"/>
            <w:tcBorders>
              <w:right w:val="nil"/>
            </w:tcBorders>
          </w:tcPr>
          <w:p>
            <w:pPr>
              <w:keepNext w:val="0"/>
              <w:keepLines w:val="0"/>
              <w:pageBreakBefore w:val="0"/>
              <w:widowControl/>
              <w:numPr>
                <w:ilvl w:val="0"/>
                <w:numId w:val="0"/>
              </w:numPr>
              <w:suppressLineNumbers w:val="0"/>
              <w:kinsoku/>
              <w:wordWrap w:val="0"/>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default" w:ascii="Times New Roman" w:hAnsi="Times New Roman" w:eastAsia="仿宋_GB2312" w:cs="Times New Roman"/>
                <w:color w:val="auto"/>
                <w:kern w:val="0"/>
                <w:sz w:val="28"/>
                <w:szCs w:val="28"/>
                <w:highlight w:val="none"/>
                <w:vertAlign w:val="baseline"/>
                <w:lang w:val="en-US" w:eastAsia="zh-CN"/>
              </w:rPr>
            </w:pPr>
            <w:r>
              <w:rPr>
                <w:rFonts w:hint="default" w:ascii="Times New Roman" w:hAnsi="Times New Roman" w:eastAsia="仿宋_GB2312" w:cs="Times New Roman"/>
                <w:color w:val="auto"/>
                <w:kern w:val="0"/>
                <w:sz w:val="28"/>
                <w:szCs w:val="28"/>
                <w:highlight w:val="none"/>
                <w:vertAlign w:val="baseline"/>
                <w:lang w:val="en-US" w:eastAsia="zh-CN"/>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08" w:type="dxa"/>
            <w:tcBorders>
              <w:left w:val="nil"/>
              <w:bottom w:val="single" w:color="auto" w:sz="12" w:space="0"/>
            </w:tcBorders>
          </w:tcPr>
          <w:p>
            <w:pPr>
              <w:keepNext w:val="0"/>
              <w:keepLines w:val="0"/>
              <w:pageBreakBefore w:val="0"/>
              <w:widowControl/>
              <w:numPr>
                <w:ilvl w:val="0"/>
                <w:numId w:val="0"/>
              </w:numPr>
              <w:suppressLineNumbers w:val="0"/>
              <w:kinsoku/>
              <w:wordWrap w:val="0"/>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仿宋_GB2312" w:hAnsi="仿宋_GB2312" w:eastAsia="仿宋_GB2312" w:cs="仿宋_GB2312"/>
                <w:b/>
                <w:bCs/>
                <w:color w:val="auto"/>
                <w:kern w:val="0"/>
                <w:sz w:val="28"/>
                <w:szCs w:val="28"/>
                <w:highlight w:val="none"/>
                <w:vertAlign w:val="baseline"/>
                <w:lang w:val="en-US" w:eastAsia="zh-CN"/>
              </w:rPr>
            </w:pPr>
            <w:r>
              <w:rPr>
                <w:rFonts w:hint="eastAsia" w:ascii="仿宋_GB2312" w:hAnsi="仿宋_GB2312" w:eastAsia="仿宋_GB2312" w:cs="仿宋_GB2312"/>
                <w:b/>
                <w:bCs/>
                <w:color w:val="auto"/>
                <w:kern w:val="0"/>
                <w:sz w:val="28"/>
                <w:szCs w:val="28"/>
                <w:highlight w:val="none"/>
                <w:lang w:val="en-US" w:eastAsia="zh-CN"/>
              </w:rPr>
              <w:t>144平方米以上</w:t>
            </w:r>
          </w:p>
        </w:tc>
        <w:tc>
          <w:tcPr>
            <w:tcW w:w="2700" w:type="dxa"/>
            <w:tcBorders>
              <w:top w:val="single" w:color="000000" w:sz="4" w:space="0"/>
              <w:bottom w:val="single" w:color="auto" w:sz="12" w:space="0"/>
            </w:tcBorders>
          </w:tcPr>
          <w:p>
            <w:pPr>
              <w:keepNext w:val="0"/>
              <w:keepLines w:val="0"/>
              <w:pageBreakBefore w:val="0"/>
              <w:widowControl/>
              <w:numPr>
                <w:ilvl w:val="0"/>
                <w:numId w:val="0"/>
              </w:numPr>
              <w:suppressLineNumbers w:val="0"/>
              <w:kinsoku/>
              <w:wordWrap w:val="0"/>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default" w:ascii="Times New Roman" w:hAnsi="Times New Roman" w:eastAsia="仿宋_GB2312" w:cs="Times New Roman"/>
                <w:color w:val="auto"/>
                <w:kern w:val="0"/>
                <w:sz w:val="28"/>
                <w:szCs w:val="28"/>
                <w:highlight w:val="none"/>
                <w:vertAlign w:val="baseline"/>
                <w:lang w:val="en-US" w:eastAsia="zh-CN"/>
              </w:rPr>
            </w:pPr>
            <w:r>
              <w:rPr>
                <w:rFonts w:hint="default" w:ascii="Times New Roman" w:hAnsi="Times New Roman" w:eastAsia="仿宋_GB2312" w:cs="Times New Roman"/>
                <w:color w:val="auto"/>
                <w:kern w:val="0"/>
                <w:sz w:val="28"/>
                <w:szCs w:val="28"/>
                <w:highlight w:val="none"/>
                <w:vertAlign w:val="baseline"/>
                <w:lang w:val="en-US" w:eastAsia="zh-CN"/>
              </w:rPr>
              <w:t>26.4%</w:t>
            </w:r>
          </w:p>
        </w:tc>
        <w:tc>
          <w:tcPr>
            <w:tcW w:w="2688" w:type="dxa"/>
            <w:tcBorders>
              <w:bottom w:val="single" w:color="auto" w:sz="12" w:space="0"/>
              <w:right w:val="nil"/>
            </w:tcBorders>
          </w:tcPr>
          <w:p>
            <w:pPr>
              <w:keepNext w:val="0"/>
              <w:keepLines w:val="0"/>
              <w:pageBreakBefore w:val="0"/>
              <w:widowControl/>
              <w:numPr>
                <w:ilvl w:val="0"/>
                <w:numId w:val="0"/>
              </w:numPr>
              <w:suppressLineNumbers w:val="0"/>
              <w:kinsoku/>
              <w:wordWrap w:val="0"/>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default" w:ascii="Times New Roman" w:hAnsi="Times New Roman" w:eastAsia="仿宋_GB2312" w:cs="Times New Roman"/>
                <w:color w:val="auto"/>
                <w:kern w:val="0"/>
                <w:sz w:val="28"/>
                <w:szCs w:val="28"/>
                <w:highlight w:val="none"/>
                <w:vertAlign w:val="baseline"/>
                <w:lang w:val="en-US" w:eastAsia="zh-CN"/>
              </w:rPr>
            </w:pPr>
            <w:r>
              <w:rPr>
                <w:rFonts w:hint="default" w:ascii="Times New Roman" w:hAnsi="Times New Roman" w:eastAsia="仿宋_GB2312" w:cs="Times New Roman"/>
                <w:color w:val="auto"/>
                <w:kern w:val="0"/>
                <w:sz w:val="28"/>
                <w:szCs w:val="28"/>
                <w:highlight w:val="none"/>
                <w:vertAlign w:val="baseline"/>
                <w:lang w:val="en-US" w:eastAsia="zh-CN"/>
              </w:rPr>
              <w:t>-48.3%</w:t>
            </w:r>
          </w:p>
        </w:tc>
      </w:tr>
    </w:tbl>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kern w:val="0"/>
          <w:sz w:val="32"/>
          <w:szCs w:val="32"/>
          <w:highlight w:val="none"/>
          <w:lang w:val="en-US" w:eastAsia="zh-CN"/>
          <w14:textFill>
            <w14:solidFill>
              <w14:schemeClr w14:val="tx1"/>
            </w14:solidFill>
          </w14:textFill>
        </w:rPr>
        <w:t>但从供给侧看，中低价位的中小户供应总量不足，全市住宅投资同比增长6.0%，90平方米及以下住宅投资同比增长43.1%,90-144平方米住宅投资同比增长6.8%，144平方米以上投资同比降低48.3%。销售与投资的错位，反映出市场存在一定程度的供给需求层次错位。</w:t>
      </w:r>
    </w:p>
    <w:p>
      <w:pPr>
        <w:keepNext w:val="0"/>
        <w:keepLines w:val="0"/>
        <w:pageBreakBefore w:val="0"/>
        <w:widowControl/>
        <w:numPr>
          <w:ilvl w:val="0"/>
          <w:numId w:val="1"/>
        </w:numPr>
        <w:kinsoku/>
        <w:wordWrap w:val="0"/>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黑体" w:cs="Times New Roman"/>
          <w:bCs/>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黑体" w:cs="Times New Roman"/>
          <w:bCs/>
          <w:color w:val="000000" w:themeColor="text1"/>
          <w:kern w:val="0"/>
          <w:sz w:val="32"/>
          <w:szCs w:val="32"/>
          <w:highlight w:val="none"/>
          <w:lang w:val="en-US" w:eastAsia="zh-CN"/>
          <w14:textFill>
            <w14:solidFill>
              <w14:schemeClr w14:val="tx1"/>
            </w14:solidFill>
          </w14:textFill>
        </w:rPr>
        <w:t>对2021年房地产开发趋势的研判</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eastAsia="仿宋_GB2312" w:hAnsiTheme="minorEastAsia" w:cstheme="minorEastAsia"/>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我市一季度房地产的关键性指标均出现大幅度增长，主要是去年疫情影响下的负增长造成的，要对此保持清醒的认知。二季度以来，我市房地产开发投资和商品房销售面积增速有所放缓，这在一定程度上反映了房地产市场存在较大下行压力。同时这也为2021年房地产开发情况敲响警钟，预计2021年全市房地产开发投资和销售增速将呈现前高后低的发展趋势，增速逐步回落</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13" w:beforeLines="100" w:beforeAutospacing="0" w:after="313" w:afterLines="100" w:afterAutospacing="0" w:line="580" w:lineRule="exact"/>
        <w:ind w:left="0" w:leftChars="0" w:right="0" w:rightChars="0" w:firstLine="640" w:firstLineChars="200"/>
        <w:jc w:val="both"/>
        <w:textAlignment w:val="auto"/>
        <w:outlineLvl w:val="9"/>
        <w:rPr>
          <w:rFonts w:hint="eastAsia" w:ascii="仿宋_GB2312" w:eastAsia="仿宋_GB2312" w:hAnsiTheme="minorEastAsia" w:cstheme="minorEastAsia"/>
          <w:color w:val="000000" w:themeColor="text1"/>
          <w:kern w:val="0"/>
          <w:sz w:val="32"/>
          <w:szCs w:val="32"/>
          <w:highlight w:val="none"/>
          <w:lang w:val="en-US" w:eastAsia="zh-CN"/>
          <w14:textFill>
            <w14:solidFill>
              <w14:schemeClr w14:val="tx1"/>
            </w14:solidFill>
          </w14:textFill>
        </w:rPr>
      </w:pPr>
      <w:r>
        <w:rPr>
          <w:rFonts w:hint="eastAsia" w:ascii="仿宋_GB2312" w:eastAsia="仿宋_GB2312" w:hAnsiTheme="minorEastAsia" w:cstheme="minorEastAsia"/>
          <w:color w:val="000000" w:themeColor="text1"/>
          <w:kern w:val="0"/>
          <w:sz w:val="32"/>
          <w:szCs w:val="32"/>
          <w:highlight w:val="none"/>
          <w:lang w:val="en-US" w:eastAsia="zh-CN"/>
          <w14:textFill>
            <w14:solidFill>
              <w14:schemeClr w14:val="tx1"/>
            </w14:solidFill>
          </w14:textFill>
        </w:rPr>
        <w:t xml:space="preserve">                           （南安市统计局　赖艺婷）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eastAsia="仿宋_GB2312"/>
          <w:lang w:eastAsia="zh-CN"/>
        </w:rPr>
      </w:pPr>
      <w:r>
        <w:rPr>
          <w:rFonts w:hint="eastAsia" w:eastAsia="仿宋_GB2312"/>
          <w:lang w:eastAsia="zh-CN"/>
        </w:rPr>
        <w:drawing>
          <wp:inline distT="0" distB="0" distL="114300" distR="114300">
            <wp:extent cx="962025" cy="962025"/>
            <wp:effectExtent l="0" t="0" r="13335" b="13335"/>
            <wp:docPr id="5" name="图片 1" descr="qrcode_for_gh_1eebab0522fd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qrcode_for_gh_1eebab0522fd_258"/>
                    <pic:cNvPicPr>
                      <a:picLocks noChangeAspect="1"/>
                    </pic:cNvPicPr>
                  </pic:nvPicPr>
                  <pic:blipFill>
                    <a:blip r:embed="rId13"/>
                    <a:stretch>
                      <a:fillRect/>
                    </a:stretch>
                  </pic:blipFill>
                  <pic:spPr>
                    <a:xfrm>
                      <a:off x="0" y="0"/>
                      <a:ext cx="962025" cy="962025"/>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eastAsia="仿宋_GB2312" w:hAnsiTheme="minorEastAsia" w:cstheme="minorEastAsia"/>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sz w:val="24"/>
          <w:szCs w:val="24"/>
          <w:lang w:val="en-US" w:eastAsia="zh-CN"/>
        </w:rPr>
        <w:t>扫码关注南安市统计局</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line="540" w:lineRule="exact"/>
        <w:ind w:left="0" w:leftChars="0" w:right="0" w:rightChars="0" w:firstLine="560" w:firstLineChars="200"/>
        <w:jc w:val="both"/>
        <w:textAlignment w:val="auto"/>
        <w:outlineLvl w:val="9"/>
        <w:rPr>
          <w:rFonts w:hint="eastAsia" w:ascii="楷体" w:hAnsi="楷体" w:eastAsia="楷体" w:cs="楷体"/>
          <w:b w:val="0"/>
          <w:bCs w:val="0"/>
          <w:color w:val="000000" w:themeColor="text1"/>
          <w:sz w:val="28"/>
          <w:szCs w:val="28"/>
          <w14:textFill>
            <w14:solidFill>
              <w14:schemeClr w14:val="tx1"/>
            </w14:solidFill>
          </w14:textFill>
        </w:rPr>
      </w:pPr>
      <w:r>
        <w:rPr>
          <w:rFonts w:hint="eastAsia" w:ascii="楷体" w:hAnsi="楷体" w:eastAsia="楷体" w:cs="楷体"/>
          <w:b w:val="0"/>
          <w:bCs w:val="0"/>
          <w:color w:val="000000" w:themeColor="text1"/>
          <w:sz w:val="28"/>
          <w:szCs w:val="28"/>
          <w:lang w:val="en-US" w:eastAsia="zh-CN"/>
          <w14:textFill>
            <w14:solidFill>
              <w14:schemeClr w14:val="tx1"/>
            </w14:solidFill>
          </w14:textFill>
        </w:rPr>
        <w:t>[1]</w:t>
      </w:r>
      <w:r>
        <w:rPr>
          <w:rFonts w:hint="eastAsia" w:ascii="楷体" w:hAnsi="楷体" w:eastAsia="楷体" w:cs="楷体"/>
          <w:b w:val="0"/>
          <w:bCs w:val="0"/>
          <w:color w:val="000000" w:themeColor="text1"/>
          <w:kern w:val="0"/>
          <w:sz w:val="28"/>
          <w:szCs w:val="28"/>
          <w:highlight w:val="none"/>
          <w:lang w:val="en-US" w:eastAsia="zh-CN" w:bidi="ar"/>
          <w14:textFill>
            <w14:solidFill>
              <w14:schemeClr w14:val="tx1"/>
            </w14:solidFill>
          </w14:textFill>
        </w:rPr>
        <w:t>房地产开发投资：</w:t>
      </w:r>
      <w:r>
        <w:rPr>
          <w:rFonts w:hint="eastAsia" w:ascii="楷体" w:hAnsi="楷体" w:eastAsia="楷体" w:cs="楷体"/>
          <w:b w:val="0"/>
          <w:bCs w:val="0"/>
          <w:color w:val="000000" w:themeColor="text1"/>
          <w:sz w:val="28"/>
          <w:szCs w:val="28"/>
          <w14:textFill>
            <w14:solidFill>
              <w14:schemeClr w14:val="tx1"/>
            </w14:solidFill>
          </w14:textFill>
        </w:rPr>
        <w:t>指各种登记注册类型的房地产开发法人单位统一开发的住宅、厂房、仓库、饭店、宾馆、度假村、写字楼、办公楼等房屋建筑物</w:t>
      </w:r>
      <w:r>
        <w:rPr>
          <w:rFonts w:hint="eastAsia" w:ascii="楷体" w:hAnsi="楷体" w:eastAsia="楷体" w:cs="楷体"/>
          <w:b w:val="0"/>
          <w:bCs w:val="0"/>
          <w:color w:val="000000" w:themeColor="text1"/>
          <w:sz w:val="28"/>
          <w:szCs w:val="28"/>
          <w:lang w:eastAsia="zh-CN"/>
          <w14:textFill>
            <w14:solidFill>
              <w14:schemeClr w14:val="tx1"/>
            </w14:solidFill>
          </w14:textFill>
        </w:rPr>
        <w:t>、</w:t>
      </w:r>
      <w:r>
        <w:rPr>
          <w:rFonts w:hint="eastAsia" w:ascii="楷体" w:hAnsi="楷体" w:eastAsia="楷体" w:cs="楷体"/>
          <w:b w:val="0"/>
          <w:bCs w:val="0"/>
          <w:color w:val="000000" w:themeColor="text1"/>
          <w:sz w:val="28"/>
          <w:szCs w:val="28"/>
          <w14:textFill>
            <w14:solidFill>
              <w14:schemeClr w14:val="tx1"/>
            </w14:solidFill>
          </w14:textFill>
        </w:rPr>
        <w:t>配套的服务设施</w:t>
      </w:r>
      <w:r>
        <w:rPr>
          <w:rFonts w:hint="eastAsia" w:ascii="楷体" w:hAnsi="楷体" w:eastAsia="楷体" w:cs="楷体"/>
          <w:b w:val="0"/>
          <w:bCs w:val="0"/>
          <w:color w:val="000000" w:themeColor="text1"/>
          <w:sz w:val="28"/>
          <w:szCs w:val="28"/>
          <w:lang w:eastAsia="zh-CN"/>
          <w14:textFill>
            <w14:solidFill>
              <w14:schemeClr w14:val="tx1"/>
            </w14:solidFill>
          </w14:textFill>
        </w:rPr>
        <w:t>、</w:t>
      </w:r>
      <w:r>
        <w:rPr>
          <w:rFonts w:hint="eastAsia" w:ascii="楷体" w:hAnsi="楷体" w:eastAsia="楷体" w:cs="楷体"/>
          <w:b w:val="0"/>
          <w:bCs w:val="0"/>
          <w:color w:val="000000" w:themeColor="text1"/>
          <w:sz w:val="28"/>
          <w:szCs w:val="28"/>
          <w14:textFill>
            <w14:solidFill>
              <w14:schemeClr w14:val="tx1"/>
            </w14:solidFill>
          </w14:textFill>
        </w:rPr>
        <w:t>土地开发工程（如道路、给水、排水、供电、供热、通讯、平整场地等基础设施工程）和土地购置的投资;不包括单纯的土地开发和交易活动。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both"/>
        <w:textAlignment w:val="auto"/>
        <w:outlineLvl w:val="9"/>
        <w:rPr>
          <w:rFonts w:hint="eastAsia" w:ascii="楷体" w:hAnsi="楷体" w:eastAsia="楷体" w:cs="楷体"/>
          <w:b w:val="0"/>
          <w:bCs w:val="0"/>
          <w:color w:val="000000" w:themeColor="text1"/>
          <w:sz w:val="28"/>
          <w:szCs w:val="28"/>
          <w14:textFill>
            <w14:solidFill>
              <w14:schemeClr w14:val="tx1"/>
            </w14:solidFill>
          </w14:textFill>
        </w:rPr>
      </w:pPr>
      <w:r>
        <w:rPr>
          <w:rFonts w:hint="eastAsia" w:ascii="楷体" w:hAnsi="楷体" w:eastAsia="楷体" w:cs="楷体"/>
          <w:b w:val="0"/>
          <w:bCs w:val="0"/>
          <w:color w:val="000000" w:themeColor="text1"/>
          <w:sz w:val="28"/>
          <w:szCs w:val="28"/>
          <w:lang w:val="en-US" w:eastAsia="zh-CN"/>
          <w14:textFill>
            <w14:solidFill>
              <w14:schemeClr w14:val="tx1"/>
            </w14:solidFill>
          </w14:textFill>
        </w:rPr>
        <w:t>[2]</w:t>
      </w:r>
      <w:r>
        <w:rPr>
          <w:rFonts w:hint="eastAsia" w:ascii="楷体" w:hAnsi="楷体" w:eastAsia="楷体" w:cs="楷体"/>
          <w:b w:val="0"/>
          <w:bCs w:val="0"/>
          <w:color w:val="000000" w:themeColor="text1"/>
          <w:kern w:val="0"/>
          <w:sz w:val="28"/>
          <w:szCs w:val="28"/>
          <w:highlight w:val="none"/>
          <w:lang w:val="en-US" w:eastAsia="zh-CN" w:bidi="ar"/>
          <w14:textFill>
            <w14:solidFill>
              <w14:schemeClr w14:val="tx1"/>
            </w14:solidFill>
          </w14:textFill>
        </w:rPr>
        <w:t>房屋施工面积：</w:t>
      </w:r>
      <w:r>
        <w:rPr>
          <w:rFonts w:hint="eastAsia" w:ascii="楷体" w:hAnsi="楷体" w:eastAsia="楷体" w:cs="楷体"/>
          <w:b w:val="0"/>
          <w:bCs w:val="0"/>
          <w:color w:val="000000" w:themeColor="text1"/>
          <w:sz w:val="28"/>
          <w:szCs w:val="28"/>
          <w14:textFill>
            <w14:solidFill>
              <w14:schemeClr w14:val="tx1"/>
            </w14:solidFill>
          </w14:textFill>
        </w:rPr>
        <w:t>指报告期内施工的全部房屋建筑面积。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both"/>
        <w:textAlignment w:val="auto"/>
        <w:outlineLvl w:val="9"/>
        <w:rPr>
          <w:rFonts w:hint="eastAsia" w:ascii="楷体" w:hAnsi="楷体" w:eastAsia="楷体" w:cs="楷体"/>
          <w:b w:val="0"/>
          <w:bCs w:val="0"/>
          <w:color w:val="000000" w:themeColor="text1"/>
          <w:sz w:val="28"/>
          <w:szCs w:val="28"/>
          <w:lang w:eastAsia="zh-CN"/>
          <w14:textFill>
            <w14:solidFill>
              <w14:schemeClr w14:val="tx1"/>
            </w14:solidFill>
          </w14:textFill>
        </w:rPr>
      </w:pPr>
      <w:r>
        <w:rPr>
          <w:rFonts w:hint="eastAsia" w:ascii="楷体" w:hAnsi="楷体" w:eastAsia="楷体" w:cs="楷体"/>
          <w:b w:val="0"/>
          <w:bCs w:val="0"/>
          <w:color w:val="000000" w:themeColor="text1"/>
          <w:sz w:val="28"/>
          <w:szCs w:val="28"/>
          <w:lang w:val="en-US" w:eastAsia="zh-CN"/>
          <w14:textFill>
            <w14:solidFill>
              <w14:schemeClr w14:val="tx1"/>
            </w14:solidFill>
          </w14:textFill>
        </w:rPr>
        <w:t>[3]</w:t>
      </w:r>
      <w:r>
        <w:rPr>
          <w:rFonts w:hint="eastAsia" w:ascii="楷体" w:hAnsi="楷体" w:eastAsia="楷体" w:cs="楷体"/>
          <w:b w:val="0"/>
          <w:bCs w:val="0"/>
          <w:color w:val="000000" w:themeColor="text1"/>
          <w:kern w:val="0"/>
          <w:sz w:val="28"/>
          <w:szCs w:val="28"/>
          <w:highlight w:val="none"/>
          <w:lang w:val="en-US" w:eastAsia="zh-CN" w:bidi="ar"/>
          <w14:textFill>
            <w14:solidFill>
              <w14:schemeClr w14:val="tx1"/>
            </w14:solidFill>
          </w14:textFill>
        </w:rPr>
        <w:t>房屋竣工面积：</w:t>
      </w:r>
      <w:r>
        <w:rPr>
          <w:rFonts w:hint="eastAsia" w:ascii="楷体" w:hAnsi="楷体" w:eastAsia="楷体" w:cs="楷体"/>
          <w:b w:val="0"/>
          <w:bCs w:val="0"/>
          <w:color w:val="000000" w:themeColor="text1"/>
          <w:sz w:val="28"/>
          <w:szCs w:val="28"/>
          <w14:textFill>
            <w14:solidFill>
              <w14:schemeClr w14:val="tx1"/>
            </w14:solidFill>
          </w14:textFill>
        </w:rPr>
        <w:t>指报告期内房屋建筑按照设计要求已全部完工，达到住人和使用条件，经验收鉴定合格或达到竣工验收标准，可正式移交使用的各栋房屋建筑面积的总和。竣工面积以房屋单位工程（栋）为核算对象</w:t>
      </w:r>
      <w:r>
        <w:rPr>
          <w:rFonts w:hint="eastAsia" w:ascii="楷体" w:hAnsi="楷体" w:eastAsia="楷体" w:cs="楷体"/>
          <w:b w:val="0"/>
          <w:bCs w:val="0"/>
          <w:color w:val="000000" w:themeColor="text1"/>
          <w:sz w:val="28"/>
          <w:szCs w:val="28"/>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both"/>
        <w:textAlignment w:val="auto"/>
        <w:outlineLvl w:val="9"/>
        <w:rPr>
          <w:rFonts w:hint="eastAsia" w:ascii="楷体" w:hAnsi="楷体" w:eastAsia="楷体" w:cs="楷体"/>
          <w:b w:val="0"/>
          <w:bCs w:val="0"/>
          <w:color w:val="000000" w:themeColor="text1"/>
          <w:sz w:val="28"/>
          <w:szCs w:val="28"/>
          <w14:textFill>
            <w14:solidFill>
              <w14:schemeClr w14:val="tx1"/>
            </w14:solidFill>
          </w14:textFill>
        </w:rPr>
      </w:pPr>
      <w:r>
        <w:rPr>
          <w:rFonts w:hint="eastAsia" w:ascii="楷体" w:hAnsi="楷体" w:eastAsia="楷体" w:cs="楷体"/>
          <w:b w:val="0"/>
          <w:bCs w:val="0"/>
          <w:color w:val="000000" w:themeColor="text1"/>
          <w:sz w:val="28"/>
          <w:szCs w:val="28"/>
          <w:lang w:val="en-US" w:eastAsia="zh-CN"/>
          <w14:textFill>
            <w14:solidFill>
              <w14:schemeClr w14:val="tx1"/>
            </w14:solidFill>
          </w14:textFill>
        </w:rPr>
        <w:t>[4]</w:t>
      </w:r>
      <w:r>
        <w:rPr>
          <w:rFonts w:hint="eastAsia" w:ascii="楷体" w:hAnsi="楷体" w:eastAsia="楷体" w:cs="楷体"/>
          <w:b w:val="0"/>
          <w:bCs w:val="0"/>
          <w:color w:val="000000" w:themeColor="text1"/>
          <w:kern w:val="0"/>
          <w:sz w:val="28"/>
          <w:szCs w:val="28"/>
          <w:highlight w:val="none"/>
          <w:lang w:val="en-US" w:eastAsia="zh-CN" w:bidi="ar"/>
          <w14:textFill>
            <w14:solidFill>
              <w14:schemeClr w14:val="tx1"/>
            </w14:solidFill>
          </w14:textFill>
        </w:rPr>
        <w:t>商品房销售面积：</w:t>
      </w:r>
      <w:r>
        <w:rPr>
          <w:rFonts w:hint="eastAsia" w:ascii="楷体" w:hAnsi="楷体" w:eastAsia="楷体" w:cs="楷体"/>
          <w:b w:val="0"/>
          <w:bCs w:val="0"/>
          <w:color w:val="000000" w:themeColor="text1"/>
          <w:sz w:val="28"/>
          <w:szCs w:val="28"/>
          <w14:textFill>
            <w14:solidFill>
              <w14:schemeClr w14:val="tx1"/>
            </w14:solidFill>
          </w14:textFill>
        </w:rPr>
        <w:t>指报告期内出售商品房屋的合同总面积（即双方签署的正式买卖合同中所确定的建筑面积）。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both"/>
        <w:textAlignment w:val="auto"/>
        <w:outlineLvl w:val="9"/>
        <w:rPr>
          <w:rFonts w:hint="eastAsia" w:ascii="仿宋_GB2312" w:eastAsia="仿宋_GB2312" w:hAnsiTheme="minorEastAsia" w:cstheme="minorEastAsia"/>
          <w:kern w:val="0"/>
          <w:sz w:val="32"/>
          <w:szCs w:val="32"/>
          <w:highlight w:val="none"/>
          <w:lang w:val="en-US" w:eastAsia="zh-CN"/>
        </w:rPr>
      </w:pPr>
      <w:r>
        <w:rPr>
          <w:rFonts w:hint="eastAsia" w:ascii="楷体" w:hAnsi="楷体" w:eastAsia="楷体" w:cs="楷体"/>
          <w:b w:val="0"/>
          <w:bCs w:val="0"/>
          <w:color w:val="000000" w:themeColor="text1"/>
          <w:sz w:val="28"/>
          <w:szCs w:val="28"/>
          <w:lang w:val="en-US" w:eastAsia="zh-CN"/>
          <w14:textFill>
            <w14:solidFill>
              <w14:schemeClr w14:val="tx1"/>
            </w14:solidFill>
          </w14:textFill>
        </w:rPr>
        <w:t>[5]</w:t>
      </w:r>
      <w:r>
        <w:rPr>
          <w:rFonts w:hint="eastAsia" w:ascii="楷体" w:hAnsi="楷体" w:eastAsia="楷体" w:cs="楷体"/>
          <w:b w:val="0"/>
          <w:bCs w:val="0"/>
          <w:color w:val="000000" w:themeColor="text1"/>
          <w:kern w:val="0"/>
          <w:sz w:val="28"/>
          <w:szCs w:val="28"/>
          <w:highlight w:val="none"/>
          <w:lang w:val="en-US" w:eastAsia="zh-CN" w:bidi="ar"/>
          <w14:textFill>
            <w14:solidFill>
              <w14:schemeClr w14:val="tx1"/>
            </w14:solidFill>
          </w14:textFill>
        </w:rPr>
        <w:t>土地购置费：</w:t>
      </w:r>
      <w:r>
        <w:rPr>
          <w:rFonts w:hint="eastAsia" w:ascii="楷体" w:hAnsi="楷体" w:eastAsia="楷体" w:cs="楷体"/>
          <w:b w:val="0"/>
          <w:bCs w:val="0"/>
          <w:color w:val="000000" w:themeColor="text1"/>
          <w:sz w:val="28"/>
          <w:szCs w:val="28"/>
          <w14:textFill>
            <w14:solidFill>
              <w14:schemeClr w14:val="tx1"/>
            </w14:solidFill>
          </w14:textFill>
        </w:rPr>
        <w:t>指房地产开发企业通过各种方式取得土地使用权而支付的费用。</w:t>
      </w:r>
    </w:p>
    <w:sectPr>
      <w:footerReference r:id="rId3" w:type="default"/>
      <w:pgSz w:w="11850" w:h="16783"/>
      <w:pgMar w:top="2098" w:right="1474" w:bottom="1984" w:left="1587"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290119"/>
    <w:multiLevelType w:val="singleLevel"/>
    <w:tmpl w:val="6829011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47332E"/>
    <w:rsid w:val="02A050FF"/>
    <w:rsid w:val="06565B15"/>
    <w:rsid w:val="0700494D"/>
    <w:rsid w:val="088C71EC"/>
    <w:rsid w:val="0C7A5E79"/>
    <w:rsid w:val="0CB179D3"/>
    <w:rsid w:val="0E446AB2"/>
    <w:rsid w:val="136B10FF"/>
    <w:rsid w:val="16391213"/>
    <w:rsid w:val="18DD2D9E"/>
    <w:rsid w:val="1D582348"/>
    <w:rsid w:val="1D5E1021"/>
    <w:rsid w:val="1DDE120D"/>
    <w:rsid w:val="1F7E22DA"/>
    <w:rsid w:val="20524C8A"/>
    <w:rsid w:val="224E3210"/>
    <w:rsid w:val="2347332E"/>
    <w:rsid w:val="257F7B58"/>
    <w:rsid w:val="291C5602"/>
    <w:rsid w:val="2CF13EEE"/>
    <w:rsid w:val="2D527C77"/>
    <w:rsid w:val="2DD10622"/>
    <w:rsid w:val="2E7543F6"/>
    <w:rsid w:val="31E62464"/>
    <w:rsid w:val="33790F20"/>
    <w:rsid w:val="379C54C1"/>
    <w:rsid w:val="383A0D64"/>
    <w:rsid w:val="38594300"/>
    <w:rsid w:val="39181D18"/>
    <w:rsid w:val="39DC780D"/>
    <w:rsid w:val="39F0269C"/>
    <w:rsid w:val="3A5B26BA"/>
    <w:rsid w:val="3BF261E2"/>
    <w:rsid w:val="3C5702D3"/>
    <w:rsid w:val="3C9E1874"/>
    <w:rsid w:val="3DE300F6"/>
    <w:rsid w:val="3E5021AE"/>
    <w:rsid w:val="40555265"/>
    <w:rsid w:val="415003E0"/>
    <w:rsid w:val="44CE6A88"/>
    <w:rsid w:val="45C35BD3"/>
    <w:rsid w:val="468048F2"/>
    <w:rsid w:val="49031C4B"/>
    <w:rsid w:val="495303C4"/>
    <w:rsid w:val="4A340342"/>
    <w:rsid w:val="4F327D17"/>
    <w:rsid w:val="509701F6"/>
    <w:rsid w:val="521308A2"/>
    <w:rsid w:val="52190D7D"/>
    <w:rsid w:val="5319120E"/>
    <w:rsid w:val="55486CEB"/>
    <w:rsid w:val="564165F1"/>
    <w:rsid w:val="58D049CB"/>
    <w:rsid w:val="58F31572"/>
    <w:rsid w:val="598C0FFC"/>
    <w:rsid w:val="5C312113"/>
    <w:rsid w:val="5D6B1C7E"/>
    <w:rsid w:val="60773A5C"/>
    <w:rsid w:val="60B55029"/>
    <w:rsid w:val="63475714"/>
    <w:rsid w:val="640732AB"/>
    <w:rsid w:val="64122D23"/>
    <w:rsid w:val="64387C92"/>
    <w:rsid w:val="64C1109F"/>
    <w:rsid w:val="64EE4F5A"/>
    <w:rsid w:val="65AF49B0"/>
    <w:rsid w:val="66F53636"/>
    <w:rsid w:val="6A6F4C48"/>
    <w:rsid w:val="6EE32B7F"/>
    <w:rsid w:val="700A15BC"/>
    <w:rsid w:val="716B1BAE"/>
    <w:rsid w:val="74A84712"/>
    <w:rsid w:val="77617D7C"/>
    <w:rsid w:val="79B43C3A"/>
    <w:rsid w:val="79C47175"/>
    <w:rsid w:val="7A467F8F"/>
    <w:rsid w:val="7CD343F3"/>
    <w:rsid w:val="7D690E2E"/>
    <w:rsid w:val="7E332C33"/>
    <w:rsid w:val="7EB60B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qFormat/>
    <w:uiPriority w:val="0"/>
    <w:rPr>
      <w:color w:val="800080"/>
      <w:u w:val="none"/>
    </w:rPr>
  </w:style>
  <w:style w:type="character" w:styleId="8">
    <w:name w:val="Hyperlink"/>
    <w:basedOn w:val="5"/>
    <w:qFormat/>
    <w:uiPriority w:val="0"/>
    <w:rPr>
      <w:color w:val="0000FF"/>
      <w:u w:val="none"/>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chart" Target="charts/chart1.xml"/><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jpeg"/><Relationship Id="rId12" Type="http://schemas.openxmlformats.org/officeDocument/2006/relationships/chart" Target="charts/chart4.xml"/><Relationship Id="rId11" Type="http://schemas.openxmlformats.org/officeDocument/2006/relationships/chart" Target="charts/chart3.xml"/><Relationship Id="rId10" Type="http://schemas.openxmlformats.org/officeDocument/2006/relationships/chart" Target="charts/chart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F:\&#65288;&#9733;2&#65289;&#32479;&#35745;&#20998;&#26512;&#12289;&#20449;&#24687;&#12289;&#24635;&#32467;\&#32479;&#35745;&#20998;&#26512;\2021\2021Q2&#20998;&#26512;\&#25968;&#25454;&#22270;.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F:\&#65288;&#9733;2&#65289;&#32479;&#35745;&#20998;&#26512;&#12289;&#20449;&#24687;&#12289;&#24635;&#32467;\&#32479;&#35745;&#20998;&#26512;\2021\2021Q2&#20998;&#26512;\&#25968;&#25454;&#22270;.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F:\&#65288;&#9733;2&#65289;&#32479;&#35745;&#20998;&#26512;&#12289;&#20449;&#24687;&#12289;&#24635;&#32467;\&#32479;&#35745;&#20998;&#26512;\2021\2021Q2&#20998;&#26512;\&#25968;&#25454;&#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3759685155577"/>
          <c:y val="0.164851125635439"/>
          <c:w val="0.840167261099496"/>
          <c:h val="0.675962236746551"/>
        </c:manualLayout>
      </c:layout>
      <c:barChart>
        <c:barDir val="col"/>
        <c:grouping val="clustered"/>
        <c:varyColors val="0"/>
        <c:ser>
          <c:idx val="0"/>
          <c:order val="0"/>
          <c:tx>
            <c:strRef>
              <c:f>Sheet1!$B$1</c:f>
              <c:strCache>
                <c:ptCount val="1"/>
                <c:pt idx="0">
                  <c:v>房屋</c:v>
                </c:pt>
              </c:strCache>
            </c:strRef>
          </c:tx>
          <c:spPr>
            <a:pattFill prst="wdDnDiag">
              <a:fgClr>
                <a:schemeClr val="accent1"/>
              </a:fgClr>
              <a:bgClr>
                <a:schemeClr val="bg1"/>
              </a:bgClr>
            </a:pattFill>
            <a:ln w="12700" cmpd="sng">
              <a:solidFill>
                <a:schemeClr val="accent1"/>
              </a:solidFill>
              <a:prstDash val="solid"/>
            </a:ln>
            <a:effectLst/>
          </c:spPr>
          <c:invertIfNegative val="0"/>
          <c:dLbls>
            <c:delete val="1"/>
          </c:dLbls>
          <c:cat>
            <c:strRef>
              <c:f>Sheet1!$A$2:$A$4</c:f>
              <c:strCache>
                <c:ptCount val="3"/>
                <c:pt idx="0">
                  <c:v>施工面积</c:v>
                </c:pt>
                <c:pt idx="1">
                  <c:v>新开工面积</c:v>
                </c:pt>
                <c:pt idx="2">
                  <c:v>竣工面积</c:v>
                </c:pt>
              </c:strCache>
            </c:strRef>
          </c:cat>
          <c:val>
            <c:numRef>
              <c:f>Sheet1!$B$2:$B$4</c:f>
              <c:numCache>
                <c:formatCode>0.00_ </c:formatCode>
                <c:ptCount val="3"/>
                <c:pt idx="0">
                  <c:v>832.0953</c:v>
                </c:pt>
                <c:pt idx="1">
                  <c:v>79.6319</c:v>
                </c:pt>
                <c:pt idx="2">
                  <c:v>54.6426</c:v>
                </c:pt>
              </c:numCache>
            </c:numRef>
          </c:val>
        </c:ser>
        <c:ser>
          <c:idx val="1"/>
          <c:order val="1"/>
          <c:tx>
            <c:strRef>
              <c:f>Sheet1!$C$1</c:f>
              <c:strCache>
                <c:ptCount val="1"/>
                <c:pt idx="0">
                  <c:v>住宅房屋</c:v>
                </c:pt>
              </c:strCache>
            </c:strRef>
          </c:tx>
          <c:spPr>
            <a:solidFill>
              <a:schemeClr val="accent2"/>
            </a:solidFill>
            <a:ln>
              <a:noFill/>
            </a:ln>
            <a:effectLst/>
          </c:spPr>
          <c:invertIfNegative val="0"/>
          <c:dLbls>
            <c:delete val="1"/>
          </c:dLbls>
          <c:cat>
            <c:strRef>
              <c:f>Sheet1!$A$2:$A$4</c:f>
              <c:strCache>
                <c:ptCount val="3"/>
                <c:pt idx="0">
                  <c:v>施工面积</c:v>
                </c:pt>
                <c:pt idx="1">
                  <c:v>新开工面积</c:v>
                </c:pt>
                <c:pt idx="2">
                  <c:v>竣工面积</c:v>
                </c:pt>
              </c:strCache>
            </c:strRef>
          </c:cat>
          <c:val>
            <c:numRef>
              <c:f>Sheet1!$C$2:$C$4</c:f>
              <c:numCache>
                <c:formatCode>0.00_ </c:formatCode>
                <c:ptCount val="3"/>
                <c:pt idx="0">
                  <c:v>511.5085</c:v>
                </c:pt>
                <c:pt idx="1">
                  <c:v>49.9632</c:v>
                </c:pt>
                <c:pt idx="2">
                  <c:v>22.1536</c:v>
                </c:pt>
              </c:numCache>
            </c:numRef>
          </c:val>
        </c:ser>
        <c:dLbls>
          <c:showLegendKey val="0"/>
          <c:showVal val="0"/>
          <c:showCatName val="0"/>
          <c:showSerName val="0"/>
          <c:showPercent val="0"/>
          <c:showBubbleSize val="0"/>
        </c:dLbls>
        <c:gapWidth val="150"/>
        <c:overlap val="0"/>
        <c:axId val="673919899"/>
        <c:axId val="563680584"/>
      </c:barChart>
      <c:catAx>
        <c:axId val="67391989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63680584"/>
        <c:crosses val="autoZero"/>
        <c:auto val="1"/>
        <c:lblAlgn val="ctr"/>
        <c:lblOffset val="100"/>
        <c:noMultiLvlLbl val="0"/>
      </c:catAx>
      <c:valAx>
        <c:axId val="5636805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t>单位：万平方米</a:t>
                </a:r>
              </a:p>
            </c:rich>
          </c:tx>
          <c:layout>
            <c:manualLayout>
              <c:xMode val="edge"/>
              <c:yMode val="edge"/>
              <c:x val="0.00811708276964703"/>
              <c:y val="0.347460456668616"/>
            </c:manualLayout>
          </c:layout>
          <c:overlay val="0"/>
          <c:spPr>
            <a:noFill/>
            <a:ln>
              <a:noFill/>
            </a:ln>
            <a:effectLst/>
          </c:spPr>
        </c:title>
        <c:numFmt formatCode="0.0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73919899"/>
        <c:crosses val="autoZero"/>
        <c:crossBetween val="between"/>
      </c:valAx>
      <c:spPr>
        <a:noFill/>
        <a:ln>
          <a:noFill/>
        </a:ln>
        <a:effectLst/>
      </c:spPr>
    </c:plotArea>
    <c:legend>
      <c:legendPos val="b"/>
      <c:layout>
        <c:manualLayout>
          <c:xMode val="edge"/>
          <c:yMode val="edge"/>
          <c:x val="0.787235169491525"/>
          <c:y val="0.0338750286106661"/>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[数据图.xlsx]Sheet1!$B$35</c:f>
              <c:strCache>
                <c:ptCount val="1"/>
                <c:pt idx="0">
                  <c:v>本年商品房销售面积</c:v>
                </c:pt>
              </c:strCache>
            </c:strRef>
          </c:tx>
          <c:spPr>
            <a:pattFill prst="pct30">
              <a:fgClr>
                <a:schemeClr val="tx1"/>
              </a:fgClr>
              <a:bgClr>
                <a:schemeClr val="bg1"/>
              </a:bgClr>
            </a:pattFill>
            <a:ln>
              <a:noFill/>
            </a:ln>
            <a:effectLst/>
          </c:spPr>
          <c:invertIfNegative val="0"/>
          <c:dLbls>
            <c:delete val="1"/>
          </c:dLbls>
          <c:cat>
            <c:strRef>
              <c:f>[数据图.xlsx]Sheet1!$C$34:$G$34</c:f>
              <c:strCache>
                <c:ptCount val="5"/>
                <c:pt idx="0">
                  <c:v>2016年</c:v>
                </c:pt>
                <c:pt idx="1">
                  <c:v>2017年</c:v>
                </c:pt>
                <c:pt idx="2">
                  <c:v>2018年</c:v>
                </c:pt>
                <c:pt idx="3">
                  <c:v>2019年</c:v>
                </c:pt>
                <c:pt idx="4">
                  <c:v>2020年</c:v>
                </c:pt>
              </c:strCache>
            </c:strRef>
          </c:cat>
          <c:val>
            <c:numRef>
              <c:f>[数据图.xlsx]Sheet1!$C$35:$G$35</c:f>
              <c:numCache>
                <c:formatCode>0.00_ </c:formatCode>
                <c:ptCount val="5"/>
                <c:pt idx="0">
                  <c:v>89.7427</c:v>
                </c:pt>
                <c:pt idx="1">
                  <c:v>119.9418</c:v>
                </c:pt>
                <c:pt idx="2">
                  <c:v>139.943</c:v>
                </c:pt>
                <c:pt idx="3">
                  <c:v>171.932</c:v>
                </c:pt>
                <c:pt idx="4">
                  <c:v>176.0831</c:v>
                </c:pt>
              </c:numCache>
            </c:numRef>
          </c:val>
        </c:ser>
        <c:ser>
          <c:idx val="1"/>
          <c:order val="1"/>
          <c:tx>
            <c:strRef>
              <c:f>[数据图.xlsx]Sheet1!$B$36</c:f>
              <c:strCache>
                <c:ptCount val="1"/>
                <c:pt idx="0">
                  <c:v>本年住宅商品房销售面积</c:v>
                </c:pt>
              </c:strCache>
            </c:strRef>
          </c:tx>
          <c:spPr>
            <a:pattFill prst="dotGrid">
              <a:fgClr>
                <a:schemeClr val="tx1"/>
              </a:fgClr>
              <a:bgClr>
                <a:schemeClr val="bg1"/>
              </a:bgClr>
            </a:pattFill>
            <a:ln>
              <a:noFill/>
            </a:ln>
            <a:effectLst/>
          </c:spPr>
          <c:invertIfNegative val="0"/>
          <c:dLbls>
            <c:delete val="1"/>
          </c:dLbls>
          <c:cat>
            <c:strRef>
              <c:f>[数据图.xlsx]Sheet1!$C$34:$G$34</c:f>
              <c:strCache>
                <c:ptCount val="5"/>
                <c:pt idx="0">
                  <c:v>2016年</c:v>
                </c:pt>
                <c:pt idx="1">
                  <c:v>2017年</c:v>
                </c:pt>
                <c:pt idx="2">
                  <c:v>2018年</c:v>
                </c:pt>
                <c:pt idx="3">
                  <c:v>2019年</c:v>
                </c:pt>
                <c:pt idx="4">
                  <c:v>2020年</c:v>
                </c:pt>
              </c:strCache>
            </c:strRef>
          </c:cat>
          <c:val>
            <c:numRef>
              <c:f>[数据图.xlsx]Sheet1!$C$36:$G$36</c:f>
              <c:numCache>
                <c:formatCode>0.00_ </c:formatCode>
                <c:ptCount val="5"/>
                <c:pt idx="0">
                  <c:v>78.1118</c:v>
                </c:pt>
                <c:pt idx="1">
                  <c:v>104.0212</c:v>
                </c:pt>
                <c:pt idx="2">
                  <c:v>124.9159</c:v>
                </c:pt>
                <c:pt idx="3">
                  <c:v>146.5339</c:v>
                </c:pt>
                <c:pt idx="4">
                  <c:v>148.5083</c:v>
                </c:pt>
              </c:numCache>
            </c:numRef>
          </c:val>
        </c:ser>
        <c:dLbls>
          <c:showLegendKey val="0"/>
          <c:showVal val="0"/>
          <c:showCatName val="0"/>
          <c:showSerName val="0"/>
          <c:showPercent val="0"/>
          <c:showBubbleSize val="0"/>
        </c:dLbls>
        <c:gapWidth val="150"/>
        <c:overlap val="0"/>
        <c:axId val="229060229"/>
        <c:axId val="624597323"/>
      </c:barChart>
      <c:lineChart>
        <c:grouping val="standard"/>
        <c:varyColors val="0"/>
        <c:ser>
          <c:idx val="2"/>
          <c:order val="2"/>
          <c:tx>
            <c:strRef>
              <c:f>[数据图.xlsx]Sheet1!$B$37</c:f>
              <c:strCache>
                <c:ptCount val="1"/>
                <c:pt idx="0">
                  <c:v>本年商品房销售面积增速</c:v>
                </c:pt>
              </c:strCache>
            </c:strRef>
          </c:tx>
          <c:spPr>
            <a:ln w="28575" cap="rnd" cmpd="sng">
              <a:solidFill>
                <a:schemeClr val="tx1"/>
              </a:solidFill>
              <a:prstDash val="solid"/>
              <a:round/>
            </a:ln>
            <a:effectLst/>
          </c:spPr>
          <c:marker>
            <c:symbol val="none"/>
          </c:marker>
          <c:dLbls>
            <c:delete val="1"/>
          </c:dLbls>
          <c:cat>
            <c:strRef>
              <c:f>[数据图.xlsx]Sheet1!$C$34:$G$34</c:f>
              <c:strCache>
                <c:ptCount val="5"/>
                <c:pt idx="0">
                  <c:v>2016年</c:v>
                </c:pt>
                <c:pt idx="1">
                  <c:v>2017年</c:v>
                </c:pt>
                <c:pt idx="2">
                  <c:v>2018年</c:v>
                </c:pt>
                <c:pt idx="3">
                  <c:v>2019年</c:v>
                </c:pt>
                <c:pt idx="4">
                  <c:v>2020年</c:v>
                </c:pt>
              </c:strCache>
            </c:strRef>
          </c:cat>
          <c:val>
            <c:numRef>
              <c:f>[数据图.xlsx]Sheet1!$C$37:$G$37</c:f>
              <c:numCache>
                <c:formatCode>0.0%</c:formatCode>
                <c:ptCount val="5"/>
                <c:pt idx="0">
                  <c:v>0.325576174024274</c:v>
                </c:pt>
                <c:pt idx="1">
                  <c:v>0.336507593375283</c:v>
                </c:pt>
                <c:pt idx="2">
                  <c:v>0.166757544075543</c:v>
                </c:pt>
                <c:pt idx="3">
                  <c:v>0.228585924269167</c:v>
                </c:pt>
                <c:pt idx="4">
                  <c:v>0.0241438475676432</c:v>
                </c:pt>
              </c:numCache>
            </c:numRef>
          </c:val>
          <c:smooth val="0"/>
        </c:ser>
        <c:ser>
          <c:idx val="3"/>
          <c:order val="3"/>
          <c:tx>
            <c:strRef>
              <c:f>[数据图.xlsx]Sheet1!$B$38</c:f>
              <c:strCache>
                <c:ptCount val="1"/>
                <c:pt idx="0">
                  <c:v>本年住宅商品房销售面积增速</c:v>
                </c:pt>
              </c:strCache>
            </c:strRef>
          </c:tx>
          <c:spPr>
            <a:ln w="28575" cap="rnd" cmpd="sng">
              <a:solidFill>
                <a:schemeClr val="tx1"/>
              </a:solidFill>
              <a:prstDash val="sysDot"/>
              <a:round/>
            </a:ln>
            <a:effectLst/>
          </c:spPr>
          <c:marker>
            <c:symbol val="none"/>
          </c:marker>
          <c:dLbls>
            <c:delete val="1"/>
          </c:dLbls>
          <c:cat>
            <c:strRef>
              <c:f>[数据图.xlsx]Sheet1!$C$34:$G$34</c:f>
              <c:strCache>
                <c:ptCount val="5"/>
                <c:pt idx="0">
                  <c:v>2016年</c:v>
                </c:pt>
                <c:pt idx="1">
                  <c:v>2017年</c:v>
                </c:pt>
                <c:pt idx="2">
                  <c:v>2018年</c:v>
                </c:pt>
                <c:pt idx="3">
                  <c:v>2019年</c:v>
                </c:pt>
                <c:pt idx="4">
                  <c:v>2020年</c:v>
                </c:pt>
              </c:strCache>
            </c:strRef>
          </c:cat>
          <c:val>
            <c:numRef>
              <c:f>[数据图.xlsx]Sheet1!$C$38:$G$38</c:f>
              <c:numCache>
                <c:formatCode>0.0%</c:formatCode>
                <c:ptCount val="5"/>
                <c:pt idx="0">
                  <c:v>0.875158740256529</c:v>
                </c:pt>
                <c:pt idx="1">
                  <c:v>0.331696363417563</c:v>
                </c:pt>
                <c:pt idx="2">
                  <c:v>0.200869630421491</c:v>
                </c:pt>
                <c:pt idx="3">
                  <c:v>0.173060435060709</c:v>
                </c:pt>
                <c:pt idx="4">
                  <c:v>0.0134740152278756</c:v>
                </c:pt>
              </c:numCache>
            </c:numRef>
          </c:val>
          <c:smooth val="0"/>
        </c:ser>
        <c:dLbls>
          <c:showLegendKey val="0"/>
          <c:showVal val="0"/>
          <c:showCatName val="0"/>
          <c:showSerName val="0"/>
          <c:showPercent val="0"/>
          <c:showBubbleSize val="0"/>
        </c:dLbls>
        <c:marker val="0"/>
        <c:smooth val="0"/>
        <c:axId val="947002615"/>
        <c:axId val="32395704"/>
      </c:lineChart>
      <c:catAx>
        <c:axId val="229060229"/>
        <c:scaling>
          <c:orientation val="minMax"/>
        </c:scaling>
        <c:delete val="0"/>
        <c:axPos val="b"/>
        <c:title>
          <c:tx>
            <c:rich>
              <a:bodyPr rot="0" spcFirstLastPara="0" vertOverflow="ellipsis" vert="horz" wrap="square" anchor="ctr" anchorCtr="1"/>
              <a:lstStyle/>
              <a:p>
                <a:pPr defTabSz="914400">
                  <a:defRPr lang="zh-CN" sz="1000" b="1" i="0" u="none" strike="noStrike" kern="1200" baseline="0">
                    <a:solidFill>
                      <a:schemeClr val="tx1"/>
                    </a:solidFill>
                    <a:latin typeface="+mn-lt"/>
                    <a:ea typeface="+mn-ea"/>
                    <a:cs typeface="+mn-cs"/>
                  </a:defRPr>
                </a:pPr>
                <a:r>
                  <a:rPr b="1">
                    <a:solidFill>
                      <a:schemeClr val="tx1"/>
                    </a:solidFill>
                  </a:rPr>
                  <a:t>年份</a:t>
                </a:r>
                <a:endParaRPr b="1">
                  <a:solidFill>
                    <a:schemeClr val="tx1"/>
                  </a:solidFill>
                </a:endParaRPr>
              </a:p>
            </c:rich>
          </c:tx>
          <c:layout>
            <c:manualLayout>
              <c:xMode val="edge"/>
              <c:yMode val="edge"/>
              <c:x val="0.461641414141414"/>
              <c:y val="0.754120567336077"/>
            </c:manualLayout>
          </c:layout>
          <c:overlay val="0"/>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crossAx val="624597323"/>
        <c:crosses val="autoZero"/>
        <c:auto val="1"/>
        <c:lblAlgn val="ctr"/>
        <c:lblOffset val="100"/>
        <c:noMultiLvlLbl val="0"/>
      </c:catAx>
      <c:valAx>
        <c:axId val="62459732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0" vertOverflow="ellipsis" vert="horz" wrap="square" anchor="ctr" anchorCtr="1"/>
              <a:lstStyle/>
              <a:p>
                <a:pPr defTabSz="914400">
                  <a:defRPr lang="zh-CN" sz="1000" b="1" i="0" u="none" strike="noStrike" kern="1200" baseline="0">
                    <a:solidFill>
                      <a:schemeClr val="tx1"/>
                    </a:solidFill>
                    <a:latin typeface="+mn-lt"/>
                    <a:ea typeface="+mn-ea"/>
                    <a:cs typeface="+mn-cs"/>
                  </a:defRPr>
                </a:pPr>
                <a:r>
                  <a:rPr b="1">
                    <a:solidFill>
                      <a:schemeClr val="tx1"/>
                    </a:solidFill>
                  </a:rPr>
                  <a:t>面积（万平方米）</a:t>
                </a:r>
                <a:endParaRPr b="1">
                  <a:solidFill>
                    <a:schemeClr val="tx1"/>
                  </a:solidFill>
                </a:endParaRPr>
              </a:p>
            </c:rich>
          </c:tx>
          <c:layout/>
          <c:overlay val="0"/>
          <c:spPr>
            <a:noFill/>
            <a:ln>
              <a:noFill/>
            </a:ln>
            <a:effectLst/>
          </c:spPr>
        </c:title>
        <c:numFmt formatCode="0.0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crossAx val="229060229"/>
        <c:crosses val="autoZero"/>
        <c:crossBetween val="between"/>
      </c:valAx>
      <c:catAx>
        <c:axId val="947002615"/>
        <c:scaling>
          <c:orientation val="minMax"/>
        </c:scaling>
        <c:delete val="1"/>
        <c:axPos val="b"/>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2395704"/>
        <c:crosses val="autoZero"/>
        <c:auto val="1"/>
        <c:lblAlgn val="ctr"/>
        <c:lblOffset val="100"/>
        <c:noMultiLvlLbl val="0"/>
      </c:catAx>
      <c:valAx>
        <c:axId val="32395704"/>
        <c:scaling>
          <c:orientation val="minMax"/>
        </c:scaling>
        <c:delete val="0"/>
        <c:axPos val="r"/>
        <c:title>
          <c:tx>
            <c:rich>
              <a:bodyPr rot="-5400000" spcFirstLastPara="0" vertOverflow="ellipsis" vert="horz" wrap="square" anchor="ctr" anchorCtr="1"/>
              <a:lstStyle/>
              <a:p>
                <a:pPr defTabSz="914400">
                  <a:defRPr lang="zh-CN" sz="1000" b="1" i="0" u="none" strike="noStrike" kern="1200" baseline="0">
                    <a:solidFill>
                      <a:schemeClr val="tx1"/>
                    </a:solidFill>
                    <a:latin typeface="+mn-lt"/>
                    <a:ea typeface="+mn-ea"/>
                    <a:cs typeface="+mn-cs"/>
                  </a:defRPr>
                </a:pPr>
                <a:r>
                  <a:rPr b="1">
                    <a:solidFill>
                      <a:schemeClr val="tx1"/>
                    </a:solidFill>
                  </a:rPr>
                  <a:t>增速（</a:t>
                </a:r>
                <a:r>
                  <a:rPr lang="en-US" altLang="zh-CN" b="1">
                    <a:solidFill>
                      <a:schemeClr val="tx1"/>
                    </a:solidFill>
                  </a:rPr>
                  <a:t>%</a:t>
                </a:r>
                <a:r>
                  <a:rPr b="1">
                    <a:solidFill>
                      <a:schemeClr val="tx1"/>
                    </a:solidFill>
                  </a:rPr>
                  <a:t>）</a:t>
                </a:r>
                <a:endParaRPr lang="en-US" altLang="zh-CN" b="1">
                  <a:solidFill>
                    <a:schemeClr val="tx1"/>
                  </a:solidFill>
                </a:endParaRPr>
              </a:p>
            </c:rich>
          </c:tx>
          <c:layout/>
          <c:overlay val="0"/>
          <c:spPr>
            <a:noFill/>
            <a:ln>
              <a:noFill/>
            </a:ln>
            <a:effectLst/>
          </c:spPr>
        </c:title>
        <c:numFmt formatCode="0.0%"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crossAx val="947002615"/>
        <c:crosses val="max"/>
        <c:crossBetween val="between"/>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2"/>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3"/>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[数据图.xlsx]Sheet1!$B$56</c:f>
              <c:strCache>
                <c:ptCount val="1"/>
                <c:pt idx="0">
                  <c:v>本年新开工面积</c:v>
                </c:pt>
              </c:strCache>
            </c:strRef>
          </c:tx>
          <c:spPr>
            <a:pattFill prst="pct30">
              <a:fgClr>
                <a:schemeClr val="tx1"/>
              </a:fgClr>
              <a:bgClr>
                <a:schemeClr val="bg1"/>
              </a:bgClr>
            </a:pattFill>
            <a:ln>
              <a:noFill/>
            </a:ln>
            <a:effectLst/>
          </c:spPr>
          <c:invertIfNegative val="0"/>
          <c:dLbls>
            <c:delete val="1"/>
          </c:dLbls>
          <c:cat>
            <c:strRef>
              <c:f>[数据图.xlsx]Sheet1!$C$55:$G$55</c:f>
              <c:strCache>
                <c:ptCount val="5"/>
                <c:pt idx="0">
                  <c:v>2016年</c:v>
                </c:pt>
                <c:pt idx="1">
                  <c:v>2017年</c:v>
                </c:pt>
                <c:pt idx="2">
                  <c:v>2018年</c:v>
                </c:pt>
                <c:pt idx="3">
                  <c:v>2019年</c:v>
                </c:pt>
                <c:pt idx="4">
                  <c:v>2020年</c:v>
                </c:pt>
              </c:strCache>
            </c:strRef>
          </c:cat>
          <c:val>
            <c:numRef>
              <c:f>[数据图.xlsx]Sheet1!$C$56:$G$56</c:f>
              <c:numCache>
                <c:formatCode>0.00_ </c:formatCode>
                <c:ptCount val="5"/>
                <c:pt idx="0">
                  <c:v>93.9649</c:v>
                </c:pt>
                <c:pt idx="1">
                  <c:v>160.9514</c:v>
                </c:pt>
                <c:pt idx="2">
                  <c:v>267.7453</c:v>
                </c:pt>
                <c:pt idx="3">
                  <c:v>233.3275</c:v>
                </c:pt>
                <c:pt idx="4">
                  <c:v>191.5595</c:v>
                </c:pt>
              </c:numCache>
            </c:numRef>
          </c:val>
        </c:ser>
        <c:ser>
          <c:idx val="1"/>
          <c:order val="1"/>
          <c:tx>
            <c:strRef>
              <c:f>[数据图.xlsx]Sheet1!$B$57</c:f>
              <c:strCache>
                <c:ptCount val="1"/>
                <c:pt idx="0">
                  <c:v>本年住宅新开工面积</c:v>
                </c:pt>
              </c:strCache>
            </c:strRef>
          </c:tx>
          <c:spPr>
            <a:pattFill prst="dotGrid">
              <a:fgClr>
                <a:schemeClr val="tx1"/>
              </a:fgClr>
              <a:bgClr>
                <a:schemeClr val="bg1"/>
              </a:bgClr>
            </a:pattFill>
            <a:ln>
              <a:noFill/>
            </a:ln>
            <a:effectLst/>
          </c:spPr>
          <c:invertIfNegative val="0"/>
          <c:dLbls>
            <c:delete val="1"/>
          </c:dLbls>
          <c:cat>
            <c:strRef>
              <c:f>[数据图.xlsx]Sheet1!$C$55:$G$55</c:f>
              <c:strCache>
                <c:ptCount val="5"/>
                <c:pt idx="0">
                  <c:v>2016年</c:v>
                </c:pt>
                <c:pt idx="1">
                  <c:v>2017年</c:v>
                </c:pt>
                <c:pt idx="2">
                  <c:v>2018年</c:v>
                </c:pt>
                <c:pt idx="3">
                  <c:v>2019年</c:v>
                </c:pt>
                <c:pt idx="4">
                  <c:v>2020年</c:v>
                </c:pt>
              </c:strCache>
            </c:strRef>
          </c:cat>
          <c:val>
            <c:numRef>
              <c:f>[数据图.xlsx]Sheet1!$C$57:$G$57</c:f>
              <c:numCache>
                <c:formatCode>0.00_ </c:formatCode>
                <c:ptCount val="5"/>
                <c:pt idx="0">
                  <c:v>59.2492</c:v>
                </c:pt>
                <c:pt idx="1">
                  <c:v>109.4431</c:v>
                </c:pt>
                <c:pt idx="2">
                  <c:v>220.3007</c:v>
                </c:pt>
                <c:pt idx="3">
                  <c:v>154.1767</c:v>
                </c:pt>
                <c:pt idx="4">
                  <c:v>103.8493</c:v>
                </c:pt>
              </c:numCache>
            </c:numRef>
          </c:val>
        </c:ser>
        <c:dLbls>
          <c:showLegendKey val="0"/>
          <c:showVal val="0"/>
          <c:showCatName val="0"/>
          <c:showSerName val="0"/>
          <c:showPercent val="0"/>
          <c:showBubbleSize val="0"/>
        </c:dLbls>
        <c:gapWidth val="150"/>
        <c:overlap val="0"/>
        <c:axId val="229060229"/>
        <c:axId val="624597323"/>
      </c:barChart>
      <c:lineChart>
        <c:grouping val="standard"/>
        <c:varyColors val="0"/>
        <c:ser>
          <c:idx val="2"/>
          <c:order val="2"/>
          <c:tx>
            <c:strRef>
              <c:f>[数据图.xlsx]Sheet1!$B$58</c:f>
              <c:strCache>
                <c:ptCount val="1"/>
                <c:pt idx="0">
                  <c:v>本年新开工面积增速</c:v>
                </c:pt>
              </c:strCache>
            </c:strRef>
          </c:tx>
          <c:spPr>
            <a:ln w="28575" cap="rnd" cmpd="sng">
              <a:solidFill>
                <a:schemeClr val="tx1"/>
              </a:solidFill>
              <a:prstDash val="solid"/>
              <a:round/>
            </a:ln>
            <a:effectLst/>
          </c:spPr>
          <c:marker>
            <c:symbol val="none"/>
          </c:marker>
          <c:dLbls>
            <c:delete val="1"/>
          </c:dLbls>
          <c:cat>
            <c:strRef>
              <c:f>[数据图.xlsx]Sheet1!$C$55:$G$55</c:f>
              <c:strCache>
                <c:ptCount val="5"/>
                <c:pt idx="0">
                  <c:v>2016年</c:v>
                </c:pt>
                <c:pt idx="1">
                  <c:v>2017年</c:v>
                </c:pt>
                <c:pt idx="2">
                  <c:v>2018年</c:v>
                </c:pt>
                <c:pt idx="3">
                  <c:v>2019年</c:v>
                </c:pt>
                <c:pt idx="4">
                  <c:v>2020年</c:v>
                </c:pt>
              </c:strCache>
            </c:strRef>
          </c:cat>
          <c:val>
            <c:numRef>
              <c:f>[数据图.xlsx]Sheet1!$C$58:$G$58</c:f>
              <c:numCache>
                <c:formatCode>0.0%</c:formatCode>
                <c:ptCount val="5"/>
                <c:pt idx="0">
                  <c:v>0.979312669173328</c:v>
                </c:pt>
                <c:pt idx="1">
                  <c:v>0.712888536038457</c:v>
                </c:pt>
                <c:pt idx="2">
                  <c:v>0.663516440366471</c:v>
                </c:pt>
                <c:pt idx="3">
                  <c:v>-0.128546794285465</c:v>
                </c:pt>
                <c:pt idx="4">
                  <c:v>-0.179010189540453</c:v>
                </c:pt>
              </c:numCache>
            </c:numRef>
          </c:val>
          <c:smooth val="0"/>
        </c:ser>
        <c:ser>
          <c:idx val="3"/>
          <c:order val="3"/>
          <c:tx>
            <c:strRef>
              <c:f>[数据图.xlsx]Sheet1!$B$59</c:f>
              <c:strCache>
                <c:ptCount val="1"/>
                <c:pt idx="0">
                  <c:v>本年住宅新开工面积增速</c:v>
                </c:pt>
              </c:strCache>
            </c:strRef>
          </c:tx>
          <c:spPr>
            <a:ln w="28575" cap="rnd" cmpd="sng">
              <a:solidFill>
                <a:schemeClr val="tx1"/>
              </a:solidFill>
              <a:prstDash val="sysDot"/>
              <a:round/>
            </a:ln>
            <a:effectLst/>
          </c:spPr>
          <c:marker>
            <c:symbol val="none"/>
          </c:marker>
          <c:dLbls>
            <c:delete val="1"/>
          </c:dLbls>
          <c:cat>
            <c:strRef>
              <c:f>[数据图.xlsx]Sheet1!$C$55:$G$55</c:f>
              <c:strCache>
                <c:ptCount val="5"/>
                <c:pt idx="0">
                  <c:v>2016年</c:v>
                </c:pt>
                <c:pt idx="1">
                  <c:v>2017年</c:v>
                </c:pt>
                <c:pt idx="2">
                  <c:v>2018年</c:v>
                </c:pt>
                <c:pt idx="3">
                  <c:v>2019年</c:v>
                </c:pt>
                <c:pt idx="4">
                  <c:v>2020年</c:v>
                </c:pt>
              </c:strCache>
            </c:strRef>
          </c:cat>
          <c:val>
            <c:numRef>
              <c:f>[数据图.xlsx]Sheet1!$C$59:$G$59</c:f>
              <c:numCache>
                <c:formatCode>0.0%</c:formatCode>
                <c:ptCount val="5"/>
                <c:pt idx="0">
                  <c:v>1.08339311082043</c:v>
                </c:pt>
                <c:pt idx="1">
                  <c:v>0.847165868906247</c:v>
                </c:pt>
                <c:pt idx="2">
                  <c:v>1.0129245242505</c:v>
                </c:pt>
                <c:pt idx="3">
                  <c:v>-0.300153381264789</c:v>
                </c:pt>
                <c:pt idx="4">
                  <c:v>-0.326426755793839</c:v>
                </c:pt>
              </c:numCache>
            </c:numRef>
          </c:val>
          <c:smooth val="0"/>
        </c:ser>
        <c:dLbls>
          <c:showLegendKey val="0"/>
          <c:showVal val="0"/>
          <c:showCatName val="0"/>
          <c:showSerName val="0"/>
          <c:showPercent val="0"/>
          <c:showBubbleSize val="0"/>
        </c:dLbls>
        <c:marker val="0"/>
        <c:smooth val="0"/>
        <c:axId val="947002615"/>
        <c:axId val="32395704"/>
      </c:lineChart>
      <c:catAx>
        <c:axId val="229060229"/>
        <c:scaling>
          <c:orientation val="minMax"/>
        </c:scaling>
        <c:delete val="0"/>
        <c:axPos val="b"/>
        <c:title>
          <c:tx>
            <c:rich>
              <a:bodyPr rot="0" spcFirstLastPara="0" vertOverflow="ellipsis" vert="horz" wrap="square" anchor="ctr" anchorCtr="1"/>
              <a:lstStyle/>
              <a:p>
                <a:pPr defTabSz="914400">
                  <a:defRPr lang="zh-CN" sz="1000" b="1" i="0" u="none" strike="noStrike" kern="1200" baseline="0">
                    <a:solidFill>
                      <a:schemeClr val="tx1"/>
                    </a:solidFill>
                    <a:latin typeface="+mn-lt"/>
                    <a:ea typeface="+mn-ea"/>
                    <a:cs typeface="+mn-cs"/>
                  </a:defRPr>
                </a:pPr>
                <a:r>
                  <a:rPr b="1">
                    <a:solidFill>
                      <a:schemeClr val="tx1"/>
                    </a:solidFill>
                  </a:rPr>
                  <a:t>年份</a:t>
                </a:r>
                <a:endParaRPr b="1">
                  <a:solidFill>
                    <a:schemeClr val="tx1"/>
                  </a:solidFill>
                </a:endParaRPr>
              </a:p>
            </c:rich>
          </c:tx>
          <c:layout>
            <c:manualLayout>
              <c:xMode val="edge"/>
              <c:yMode val="edge"/>
              <c:x val="0.461641414141414"/>
              <c:y val="0.754120567336077"/>
            </c:manualLayout>
          </c:layout>
          <c:overlay val="0"/>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crossAx val="624597323"/>
        <c:crosses val="autoZero"/>
        <c:auto val="1"/>
        <c:lblAlgn val="ctr"/>
        <c:lblOffset val="100"/>
        <c:noMultiLvlLbl val="0"/>
      </c:catAx>
      <c:valAx>
        <c:axId val="62459732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0" vertOverflow="ellipsis" vert="horz" wrap="square" anchor="ctr" anchorCtr="1"/>
              <a:lstStyle/>
              <a:p>
                <a:pPr defTabSz="914400">
                  <a:defRPr lang="zh-CN" sz="1000" b="1" i="0" u="none" strike="noStrike" kern="1200" baseline="0">
                    <a:solidFill>
                      <a:schemeClr val="tx1"/>
                    </a:solidFill>
                    <a:latin typeface="+mn-lt"/>
                    <a:ea typeface="+mn-ea"/>
                    <a:cs typeface="+mn-cs"/>
                  </a:defRPr>
                </a:pPr>
                <a:r>
                  <a:rPr b="1">
                    <a:solidFill>
                      <a:schemeClr val="tx1"/>
                    </a:solidFill>
                  </a:rPr>
                  <a:t>面积（万平方米）</a:t>
                </a:r>
                <a:endParaRPr b="1">
                  <a:solidFill>
                    <a:schemeClr val="tx1"/>
                  </a:solidFill>
                </a:endParaRPr>
              </a:p>
            </c:rich>
          </c:tx>
          <c:layout/>
          <c:overlay val="0"/>
          <c:spPr>
            <a:noFill/>
            <a:ln>
              <a:noFill/>
            </a:ln>
            <a:effectLst/>
          </c:spPr>
        </c:title>
        <c:numFmt formatCode="0.0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crossAx val="229060229"/>
        <c:crosses val="autoZero"/>
        <c:crossBetween val="between"/>
      </c:valAx>
      <c:catAx>
        <c:axId val="947002615"/>
        <c:scaling>
          <c:orientation val="minMax"/>
        </c:scaling>
        <c:delete val="1"/>
        <c:axPos val="b"/>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2395704"/>
        <c:crosses val="autoZero"/>
        <c:auto val="1"/>
        <c:lblAlgn val="ctr"/>
        <c:lblOffset val="100"/>
        <c:noMultiLvlLbl val="0"/>
      </c:catAx>
      <c:valAx>
        <c:axId val="32395704"/>
        <c:scaling>
          <c:orientation val="minMax"/>
        </c:scaling>
        <c:delete val="0"/>
        <c:axPos val="r"/>
        <c:title>
          <c:tx>
            <c:rich>
              <a:bodyPr rot="-5400000" spcFirstLastPara="0" vertOverflow="ellipsis" vert="horz" wrap="square" anchor="ctr" anchorCtr="1"/>
              <a:lstStyle/>
              <a:p>
                <a:pPr defTabSz="914400">
                  <a:defRPr lang="zh-CN" sz="1000" b="1" i="0" u="none" strike="noStrike" kern="1200" baseline="0">
                    <a:solidFill>
                      <a:schemeClr val="tx1"/>
                    </a:solidFill>
                    <a:latin typeface="+mn-lt"/>
                    <a:ea typeface="+mn-ea"/>
                    <a:cs typeface="+mn-cs"/>
                  </a:defRPr>
                </a:pPr>
                <a:r>
                  <a:rPr b="1">
                    <a:solidFill>
                      <a:schemeClr val="tx1"/>
                    </a:solidFill>
                  </a:rPr>
                  <a:t>增速（</a:t>
                </a:r>
                <a:r>
                  <a:rPr lang="en-US" altLang="zh-CN" b="1">
                    <a:solidFill>
                      <a:schemeClr val="tx1"/>
                    </a:solidFill>
                  </a:rPr>
                  <a:t>%</a:t>
                </a:r>
                <a:r>
                  <a:rPr altLang="en-US" b="1">
                    <a:solidFill>
                      <a:schemeClr val="tx1"/>
                    </a:solidFill>
                  </a:rPr>
                  <a:t>）</a:t>
                </a:r>
                <a:endParaRPr altLang="en-US" b="1">
                  <a:solidFill>
                    <a:schemeClr val="tx1"/>
                  </a:solidFill>
                </a:endParaRPr>
              </a:p>
            </c:rich>
          </c:tx>
          <c:layout/>
          <c:overlay val="0"/>
          <c:spPr>
            <a:noFill/>
            <a:ln>
              <a:noFill/>
            </a:ln>
            <a:effectLst/>
          </c:spPr>
        </c:title>
        <c:numFmt formatCode="0.0%"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crossAx val="947002615"/>
        <c:crosses val="max"/>
        <c:crossBetween val="between"/>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2"/>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3"/>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[数据图.xlsx]Sheet1!$B$72</c:f>
              <c:strCache>
                <c:ptCount val="1"/>
                <c:pt idx="0">
                  <c:v>项目规划建筑面积</c:v>
                </c:pt>
              </c:strCache>
            </c:strRef>
          </c:tx>
          <c:spPr>
            <a:pattFill prst="dotGrid">
              <a:fgClr>
                <a:schemeClr val="tx1"/>
              </a:fgClr>
              <a:bgClr>
                <a:schemeClr val="bg1"/>
              </a:bgClr>
            </a:pattFill>
            <a:ln>
              <a:noFill/>
            </a:ln>
            <a:effectLst/>
          </c:spPr>
          <c:invertIfNegative val="0"/>
          <c:dPt>
            <c:idx val="0"/>
            <c:invertIfNegative val="0"/>
            <c:bubble3D val="0"/>
          </c:dPt>
          <c:dLbls>
            <c:delete val="1"/>
          </c:dLbls>
          <c:cat>
            <c:strRef>
              <c:f>[数据图.xlsx]Sheet1!$C$71:$G$71</c:f>
              <c:strCache>
                <c:ptCount val="5"/>
                <c:pt idx="0">
                  <c:v>2016年</c:v>
                </c:pt>
                <c:pt idx="1">
                  <c:v>2017年</c:v>
                </c:pt>
                <c:pt idx="2">
                  <c:v>2018年</c:v>
                </c:pt>
                <c:pt idx="3">
                  <c:v>2019年</c:v>
                </c:pt>
                <c:pt idx="4">
                  <c:v>2020年</c:v>
                </c:pt>
              </c:strCache>
            </c:strRef>
          </c:cat>
          <c:val>
            <c:numRef>
              <c:f>[数据图.xlsx]Sheet1!$C$72:$G$72</c:f>
              <c:numCache>
                <c:formatCode>General</c:formatCode>
                <c:ptCount val="5"/>
                <c:pt idx="0">
                  <c:v>94.2654</c:v>
                </c:pt>
                <c:pt idx="1">
                  <c:v>170.9554</c:v>
                </c:pt>
                <c:pt idx="2">
                  <c:v>242.9687</c:v>
                </c:pt>
                <c:pt idx="3">
                  <c:v>217.7081</c:v>
                </c:pt>
                <c:pt idx="4">
                  <c:v>188.1386</c:v>
                </c:pt>
              </c:numCache>
            </c:numRef>
          </c:val>
        </c:ser>
        <c:ser>
          <c:idx val="1"/>
          <c:order val="1"/>
          <c:tx>
            <c:strRef>
              <c:f>[数据图.xlsx]Sheet1!$B$73</c:f>
              <c:strCache>
                <c:ptCount val="1"/>
                <c:pt idx="0">
                  <c:v>项目规划住宅建筑面积</c:v>
                </c:pt>
              </c:strCache>
            </c:strRef>
          </c:tx>
          <c:spPr>
            <a:pattFill prst="pct30">
              <a:fgClr>
                <a:schemeClr val="tx1"/>
              </a:fgClr>
              <a:bgClr>
                <a:schemeClr val="bg1"/>
              </a:bgClr>
            </a:pattFill>
            <a:ln>
              <a:noFill/>
            </a:ln>
            <a:effectLst/>
          </c:spPr>
          <c:invertIfNegative val="0"/>
          <c:dLbls>
            <c:delete val="1"/>
          </c:dLbls>
          <c:cat>
            <c:strRef>
              <c:f>[数据图.xlsx]Sheet1!$C$71:$G$71</c:f>
              <c:strCache>
                <c:ptCount val="5"/>
                <c:pt idx="0">
                  <c:v>2016年</c:v>
                </c:pt>
                <c:pt idx="1">
                  <c:v>2017年</c:v>
                </c:pt>
                <c:pt idx="2">
                  <c:v>2018年</c:v>
                </c:pt>
                <c:pt idx="3">
                  <c:v>2019年</c:v>
                </c:pt>
                <c:pt idx="4">
                  <c:v>2020年</c:v>
                </c:pt>
              </c:strCache>
            </c:strRef>
          </c:cat>
          <c:val>
            <c:numRef>
              <c:f>[数据图.xlsx]Sheet1!$C$73:$G$73</c:f>
              <c:numCache>
                <c:formatCode>General</c:formatCode>
                <c:ptCount val="5"/>
                <c:pt idx="0">
                  <c:v>69.2556</c:v>
                </c:pt>
                <c:pt idx="1">
                  <c:v>111.2842</c:v>
                </c:pt>
                <c:pt idx="2">
                  <c:v>182.009</c:v>
                </c:pt>
                <c:pt idx="3">
                  <c:v>137.9777</c:v>
                </c:pt>
                <c:pt idx="4">
                  <c:v>110.7495</c:v>
                </c:pt>
              </c:numCache>
            </c:numRef>
          </c:val>
        </c:ser>
        <c:dLbls>
          <c:showLegendKey val="0"/>
          <c:showVal val="0"/>
          <c:showCatName val="0"/>
          <c:showSerName val="0"/>
          <c:showPercent val="0"/>
          <c:showBubbleSize val="0"/>
        </c:dLbls>
        <c:gapWidth val="150"/>
        <c:overlap val="0"/>
        <c:axId val="603002862"/>
        <c:axId val="628247675"/>
      </c:barChart>
      <c:lineChart>
        <c:grouping val="standard"/>
        <c:varyColors val="0"/>
        <c:ser>
          <c:idx val="2"/>
          <c:order val="2"/>
          <c:tx>
            <c:strRef>
              <c:f>[数据图.xlsx]Sheet1!$B$74</c:f>
              <c:strCache>
                <c:ptCount val="1"/>
                <c:pt idx="0">
                  <c:v>项目规划建筑面积增速</c:v>
                </c:pt>
              </c:strCache>
            </c:strRef>
          </c:tx>
          <c:spPr>
            <a:ln w="28575" cap="rnd">
              <a:solidFill>
                <a:schemeClr val="tx1"/>
              </a:solidFill>
              <a:round/>
            </a:ln>
            <a:effectLst/>
          </c:spPr>
          <c:marker>
            <c:symbol val="none"/>
          </c:marker>
          <c:dLbls>
            <c:delete val="1"/>
          </c:dLbls>
          <c:cat>
            <c:strRef>
              <c:f>[数据图.xlsx]Sheet1!$C$71:$G$71</c:f>
              <c:strCache>
                <c:ptCount val="5"/>
                <c:pt idx="0">
                  <c:v>2016年</c:v>
                </c:pt>
                <c:pt idx="1">
                  <c:v>2017年</c:v>
                </c:pt>
                <c:pt idx="2">
                  <c:v>2018年</c:v>
                </c:pt>
                <c:pt idx="3">
                  <c:v>2019年</c:v>
                </c:pt>
                <c:pt idx="4">
                  <c:v>2020年</c:v>
                </c:pt>
              </c:strCache>
            </c:strRef>
          </c:cat>
          <c:val>
            <c:numRef>
              <c:f>[数据图.xlsx]Sheet1!$C$74:$G$74</c:f>
              <c:numCache>
                <c:formatCode>0.0%</c:formatCode>
                <c:ptCount val="5"/>
                <c:pt idx="0">
                  <c:v>0.927201506344926</c:v>
                </c:pt>
                <c:pt idx="1">
                  <c:v>0.813554071801531</c:v>
                </c:pt>
                <c:pt idx="2">
                  <c:v>0.421240276703749</c:v>
                </c:pt>
                <c:pt idx="3">
                  <c:v>-0.103966477986671</c:v>
                </c:pt>
                <c:pt idx="4">
                  <c:v>-0.135821772364005</c:v>
                </c:pt>
              </c:numCache>
            </c:numRef>
          </c:val>
          <c:smooth val="0"/>
        </c:ser>
        <c:ser>
          <c:idx val="3"/>
          <c:order val="3"/>
          <c:tx>
            <c:strRef>
              <c:f>[数据图.xlsx]Sheet1!$B$75</c:f>
              <c:strCache>
                <c:ptCount val="1"/>
                <c:pt idx="0">
                  <c:v>项目规划住宅建筑面积增速</c:v>
                </c:pt>
              </c:strCache>
            </c:strRef>
          </c:tx>
          <c:spPr>
            <a:ln w="28575" cap="rnd" cmpd="sng">
              <a:solidFill>
                <a:schemeClr val="tx1"/>
              </a:solidFill>
              <a:prstDash val="sysDot"/>
              <a:round/>
            </a:ln>
            <a:effectLst/>
          </c:spPr>
          <c:marker>
            <c:symbol val="none"/>
          </c:marker>
          <c:dLbls>
            <c:delete val="1"/>
          </c:dLbls>
          <c:cat>
            <c:strRef>
              <c:f>[数据图.xlsx]Sheet1!$C$71:$G$71</c:f>
              <c:strCache>
                <c:ptCount val="5"/>
                <c:pt idx="0">
                  <c:v>2016年</c:v>
                </c:pt>
                <c:pt idx="1">
                  <c:v>2017年</c:v>
                </c:pt>
                <c:pt idx="2">
                  <c:v>2018年</c:v>
                </c:pt>
                <c:pt idx="3">
                  <c:v>2019年</c:v>
                </c:pt>
                <c:pt idx="4">
                  <c:v>2020年</c:v>
                </c:pt>
              </c:strCache>
            </c:strRef>
          </c:cat>
          <c:val>
            <c:numRef>
              <c:f>[数据图.xlsx]Sheet1!$C$75:$G$75</c:f>
              <c:numCache>
                <c:formatCode>0.0%</c:formatCode>
                <c:ptCount val="5"/>
                <c:pt idx="0">
                  <c:v>2.09183687135874</c:v>
                </c:pt>
                <c:pt idx="1">
                  <c:v>0.606862116565303</c:v>
                </c:pt>
                <c:pt idx="2">
                  <c:v>0.63553316643333</c:v>
                </c:pt>
                <c:pt idx="3">
                  <c:v>-0.241918256789499</c:v>
                </c:pt>
                <c:pt idx="4">
                  <c:v>-0.197337685727476</c:v>
                </c:pt>
              </c:numCache>
            </c:numRef>
          </c:val>
          <c:smooth val="0"/>
        </c:ser>
        <c:dLbls>
          <c:showLegendKey val="0"/>
          <c:showVal val="0"/>
          <c:showCatName val="0"/>
          <c:showSerName val="0"/>
          <c:showPercent val="0"/>
          <c:showBubbleSize val="0"/>
        </c:dLbls>
        <c:marker val="0"/>
        <c:smooth val="0"/>
        <c:axId val="842827682"/>
        <c:axId val="342081208"/>
      </c:lineChart>
      <c:catAx>
        <c:axId val="603002862"/>
        <c:scaling>
          <c:orientation val="minMax"/>
        </c:scaling>
        <c:delete val="0"/>
        <c:axPos val="b"/>
        <c:title>
          <c:tx>
            <c:rich>
              <a:bodyPr rot="0" spcFirstLastPara="0" vertOverflow="ellipsis" vert="horz" wrap="square" anchor="ctr" anchorCtr="1"/>
              <a:lstStyle/>
              <a:p>
                <a:pPr defTabSz="914400">
                  <a:defRPr lang="zh-CN" sz="1000" b="1" i="0" u="none" strike="noStrike" kern="1200" baseline="0">
                    <a:solidFill>
                      <a:schemeClr val="tx1"/>
                    </a:solidFill>
                    <a:latin typeface="+mn-lt"/>
                    <a:ea typeface="+mn-ea"/>
                    <a:cs typeface="+mn-cs"/>
                  </a:defRPr>
                </a:pPr>
                <a:r>
                  <a:rPr b="1">
                    <a:solidFill>
                      <a:schemeClr val="tx1"/>
                    </a:solidFill>
                  </a:rPr>
                  <a:t>年份</a:t>
                </a:r>
                <a:endParaRPr b="1">
                  <a:solidFill>
                    <a:schemeClr val="tx1"/>
                  </a:solidFill>
                </a:endParaRPr>
              </a:p>
            </c:rich>
          </c:tx>
          <c:layout>
            <c:manualLayout>
              <c:xMode val="edge"/>
              <c:yMode val="edge"/>
              <c:x val="0.430102417845084"/>
              <c:y val="0.743845290410935"/>
            </c:manualLayout>
          </c:layout>
          <c:overlay val="0"/>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crossAx val="628247675"/>
        <c:crosses val="autoZero"/>
        <c:auto val="1"/>
        <c:lblAlgn val="ctr"/>
        <c:lblOffset val="100"/>
        <c:noMultiLvlLbl val="0"/>
      </c:catAx>
      <c:valAx>
        <c:axId val="62824767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0" vertOverflow="ellipsis" vert="horz" wrap="square" anchor="ctr" anchorCtr="1"/>
              <a:lstStyle/>
              <a:p>
                <a:pPr defTabSz="914400">
                  <a:defRPr lang="zh-CN" sz="1000" b="1" i="0" u="none" strike="noStrike" kern="1200" baseline="0">
                    <a:solidFill>
                      <a:schemeClr val="tx1"/>
                    </a:solidFill>
                    <a:latin typeface="+mn-lt"/>
                    <a:ea typeface="+mn-ea"/>
                    <a:cs typeface="+mn-cs"/>
                  </a:defRPr>
                </a:pPr>
                <a:r>
                  <a:rPr b="1">
                    <a:solidFill>
                      <a:schemeClr val="tx1"/>
                    </a:solidFill>
                  </a:rPr>
                  <a:t>建筑面积（万平方米）</a:t>
                </a:r>
                <a:endParaRPr b="1">
                  <a:solidFill>
                    <a:schemeClr val="tx1"/>
                  </a:solidFill>
                </a:endParaRPr>
              </a:p>
            </c:rich>
          </c:tx>
          <c:layout/>
          <c:overlay val="0"/>
          <c:spPr>
            <a:noFill/>
            <a:ln>
              <a:noFill/>
            </a:ln>
            <a:effectLst/>
          </c:spPr>
        </c:title>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crossAx val="603002862"/>
        <c:crosses val="autoZero"/>
        <c:crossBetween val="between"/>
      </c:valAx>
      <c:catAx>
        <c:axId val="842827682"/>
        <c:scaling>
          <c:orientation val="minMax"/>
        </c:scaling>
        <c:delete val="1"/>
        <c:axPos val="b"/>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42081208"/>
        <c:crosses val="autoZero"/>
        <c:auto val="1"/>
        <c:lblAlgn val="ctr"/>
        <c:lblOffset val="100"/>
        <c:noMultiLvlLbl val="0"/>
      </c:catAx>
      <c:valAx>
        <c:axId val="342081208"/>
        <c:scaling>
          <c:orientation val="minMax"/>
        </c:scaling>
        <c:delete val="0"/>
        <c:axPos val="r"/>
        <c:title>
          <c:tx>
            <c:rich>
              <a:bodyPr rot="-5400000" spcFirstLastPara="0" vertOverflow="ellipsis" vert="horz" wrap="square" anchor="ctr" anchorCtr="1"/>
              <a:lstStyle/>
              <a:p>
                <a:pPr defTabSz="914400">
                  <a:defRPr lang="zh-CN" sz="1000" b="1" i="0" u="none" strike="noStrike" kern="1200" baseline="0">
                    <a:solidFill>
                      <a:schemeClr val="tx1"/>
                    </a:solidFill>
                    <a:latin typeface="+mn-lt"/>
                    <a:ea typeface="+mn-ea"/>
                    <a:cs typeface="+mn-cs"/>
                  </a:defRPr>
                </a:pPr>
                <a:r>
                  <a:rPr b="1">
                    <a:solidFill>
                      <a:schemeClr val="tx1"/>
                    </a:solidFill>
                  </a:rPr>
                  <a:t>增速（</a:t>
                </a:r>
                <a:r>
                  <a:rPr lang="en-US" altLang="zh-CN" b="1">
                    <a:solidFill>
                      <a:schemeClr val="tx1"/>
                    </a:solidFill>
                  </a:rPr>
                  <a:t>%</a:t>
                </a:r>
                <a:r>
                  <a:rPr altLang="en-US" b="1">
                    <a:solidFill>
                      <a:schemeClr val="tx1"/>
                    </a:solidFill>
                  </a:rPr>
                  <a:t>）</a:t>
                </a:r>
                <a:endParaRPr altLang="en-US" b="1">
                  <a:solidFill>
                    <a:schemeClr val="tx1"/>
                  </a:solidFill>
                </a:endParaRPr>
              </a:p>
            </c:rich>
          </c:tx>
          <c:layout/>
          <c:overlay val="0"/>
          <c:spPr>
            <a:noFill/>
            <a:ln>
              <a:noFill/>
            </a:ln>
            <a:effectLst/>
          </c:spPr>
        </c:title>
        <c:numFmt formatCode="0.0%"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crossAx val="842827682"/>
        <c:crosses val="max"/>
        <c:crossBetween val="between"/>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2"/>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3"/>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2021-04-13T01:15:00Z</dcterms:created>
  <dc:creator>lmx</dc:creator>
  <cp:lastModifiedBy>HP</cp:lastModifiedBy>
  <cp:lastPrinted>2021-07-29T12:04:00Z</cp:lastPrinted>
  <dcterms:modified xsi:type="dcterms:W3CDTF">2021-08-05T08:49:05Z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2052-10.1.0.6382</vt:lpwstr>
  </property>
  <property fmtid="{D5CDD505-2E9C-101B-9397-08002B2CF9AE}" pid="3" name="ICV">
    <vt:lpwstr>3BE30F91F22044538E2255F439E664C6</vt:lpwstr>
  </property>
</Properties>
</file>