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DF" w:rsidRDefault="00BA47A2">
      <w:pPr>
        <w:widowControl/>
        <w:tabs>
          <w:tab w:val="left" w:pos="7875"/>
        </w:tabs>
        <w:spacing w:line="560" w:lineRule="exact"/>
        <w:ind w:firstLine="22"/>
        <w:textAlignment w:val="baseline"/>
        <w:rPr>
          <w:rFonts w:ascii="仿宋_GB2312" w:hAnsi="宋体"/>
          <w:bCs/>
          <w:color w:val="000000"/>
          <w:kern w:val="0"/>
          <w:sz w:val="32"/>
          <w:szCs w:val="32"/>
        </w:rPr>
      </w:pP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b/>
          <w:bCs/>
          <w:color w:val="000000"/>
          <w:kern w:val="0"/>
          <w:sz w:val="32"/>
          <w:szCs w:val="32"/>
        </w:rPr>
        <w:t>南简报</w:t>
      </w:r>
      <w:r>
        <w:rPr>
          <w:rFonts w:ascii="仿宋_GB2312" w:eastAsia="仿宋_GB2312" w:hAnsi="仿宋_GB2312" w:cs="仿宋_GB2312" w:hint="eastAsia"/>
          <w:b/>
          <w:bCs/>
          <w:color w:val="000000"/>
          <w:kern w:val="0"/>
          <w:sz w:val="32"/>
          <w:szCs w:val="32"/>
        </w:rPr>
        <w:t>N024</w:t>
      </w:r>
      <w:r>
        <w:rPr>
          <w:rFonts w:ascii="仿宋_GB2312" w:eastAsia="仿宋_GB2312" w:hAnsi="仿宋_GB2312" w:cs="仿宋_GB2312" w:hint="eastAsia"/>
          <w:b/>
          <w:bCs/>
          <w:color w:val="000000"/>
          <w:kern w:val="0"/>
          <w:sz w:val="32"/>
          <w:szCs w:val="32"/>
        </w:rPr>
        <w:t>号</w:t>
      </w:r>
    </w:p>
    <w:p w:rsidR="005307DF" w:rsidRDefault="005307DF">
      <w:pPr>
        <w:widowControl/>
        <w:spacing w:line="560" w:lineRule="exact"/>
        <w:jc w:val="center"/>
        <w:textAlignment w:val="baseline"/>
        <w:rPr>
          <w:rFonts w:ascii="仿宋_GB2312" w:hAnsi="宋体"/>
          <w:color w:val="000000"/>
          <w:kern w:val="0"/>
          <w:szCs w:val="32"/>
        </w:rPr>
      </w:pPr>
    </w:p>
    <w:p w:rsidR="005307DF" w:rsidRDefault="005307DF">
      <w:pPr>
        <w:widowControl/>
        <w:spacing w:line="560" w:lineRule="exact"/>
        <w:ind w:firstLine="22"/>
        <w:jc w:val="center"/>
        <w:textAlignment w:val="baseline"/>
        <w:rPr>
          <w:rFonts w:ascii="仿宋_GB2312" w:hAnsi="宋体"/>
          <w:color w:val="000000"/>
          <w:kern w:val="0"/>
          <w:szCs w:val="32"/>
        </w:rPr>
      </w:pPr>
      <w:r>
        <w:rPr>
          <w:rFonts w:ascii="仿宋_GB2312" w:hAnsi="宋体"/>
          <w:color w:val="000000"/>
          <w:kern w:val="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5.95pt;margin-top:140.65pt;width:424.6pt;height:72.7pt;z-index:251658240;mso-position-horizontal-relative:page;mso-position-vertical-relative:page" fillcolor="red" strokecolor="white">
            <v:stroke joinstyle="bevel"/>
            <v:textpath style="font-family:&quot;方正大标宋简体&quot;" trim="t" fitpath="t" string="南安统计信息"/>
            <o:lock v:ext="edit" text="f"/>
            <w10:wrap anchorx="page" anchory="page"/>
          </v:shape>
        </w:pict>
      </w:r>
    </w:p>
    <w:p w:rsidR="005307DF" w:rsidRDefault="005307DF">
      <w:pPr>
        <w:widowControl/>
        <w:spacing w:line="560" w:lineRule="exact"/>
        <w:textAlignment w:val="baseline"/>
        <w:rPr>
          <w:rFonts w:ascii="仿宋_GB2312" w:hAnsi="宋体"/>
          <w:color w:val="000000"/>
          <w:kern w:val="0"/>
          <w:szCs w:val="32"/>
        </w:rPr>
      </w:pPr>
    </w:p>
    <w:p w:rsidR="005307DF" w:rsidRDefault="005307DF">
      <w:pPr>
        <w:widowControl/>
        <w:spacing w:line="560" w:lineRule="exact"/>
        <w:ind w:firstLine="22"/>
        <w:jc w:val="center"/>
        <w:textAlignment w:val="baseline"/>
        <w:rPr>
          <w:rFonts w:ascii="仿宋_GB2312" w:hAnsi="宋体"/>
          <w:color w:val="000000"/>
          <w:kern w:val="0"/>
          <w:szCs w:val="32"/>
        </w:rPr>
      </w:pPr>
    </w:p>
    <w:p w:rsidR="005307DF" w:rsidRDefault="00BA47A2">
      <w:pPr>
        <w:widowControl/>
        <w:spacing w:line="560" w:lineRule="exact"/>
        <w:ind w:firstLine="22"/>
        <w:jc w:val="center"/>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第</w:t>
      </w:r>
      <w:r>
        <w:rPr>
          <w:rFonts w:ascii="Times New Roman" w:eastAsia="仿宋_GB2312" w:hAnsi="Times New Roman" w:hint="eastAsia"/>
          <w:color w:val="000000"/>
          <w:kern w:val="0"/>
          <w:sz w:val="32"/>
          <w:szCs w:val="32"/>
        </w:rPr>
        <w:t>7</w:t>
      </w:r>
      <w:r>
        <w:rPr>
          <w:rFonts w:ascii="Times New Roman" w:eastAsia="仿宋_GB2312" w:hAnsi="Times New Roman"/>
          <w:color w:val="000000"/>
          <w:kern w:val="0"/>
          <w:sz w:val="32"/>
          <w:szCs w:val="32"/>
        </w:rPr>
        <w:t>期</w:t>
      </w:r>
      <w:bookmarkStart w:id="0" w:name="_GoBack"/>
      <w:bookmarkEnd w:id="0"/>
    </w:p>
    <w:p w:rsidR="005307DF" w:rsidRDefault="00BA47A2">
      <w:pPr>
        <w:widowControl/>
        <w:spacing w:line="560" w:lineRule="exact"/>
        <w:ind w:firstLine="22"/>
        <w:jc w:val="center"/>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南安市统计局</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编</w:t>
      </w:r>
      <w:r>
        <w:rPr>
          <w:rFonts w:ascii="Times New Roman" w:eastAsia="仿宋_GB2312" w:hAnsi="Times New Roman"/>
          <w:color w:val="000000"/>
          <w:kern w:val="0"/>
          <w:sz w:val="32"/>
          <w:szCs w:val="32"/>
        </w:rPr>
        <w:t xml:space="preserve">                     20</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3</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8</w:t>
      </w:r>
      <w:r>
        <w:rPr>
          <w:rFonts w:ascii="Times New Roman" w:eastAsia="仿宋_GB2312" w:hAnsi="Times New Roman"/>
          <w:color w:val="000000"/>
          <w:kern w:val="0"/>
          <w:sz w:val="32"/>
          <w:szCs w:val="32"/>
        </w:rPr>
        <w:t>日</w:t>
      </w:r>
    </w:p>
    <w:p w:rsidR="005307DF" w:rsidRDefault="005307DF">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shapetype id="_x0000_t109" coordsize="21600,21600" o:spt="109" path="m,l,21600r21600,l21600,xe">
            <v:stroke joinstyle="miter"/>
            <v:path gradientshapeok="t" o:connecttype="rect"/>
          </v:shapetype>
          <v:shape id="_x0000_s1027" type="#_x0000_t109" style="position:absolute;left:0;text-align:left;margin-left:-15.3pt;margin-top:8.15pt;width:482.35pt;height:6pt;flip:y;z-index:251659264"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fillcolor="red" strokecolor="white" strokeweight="1.25pt"/>
        </w:pict>
      </w:r>
    </w:p>
    <w:p w:rsidR="005307DF" w:rsidRDefault="00BA47A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房地产业平稳发展，助力建设美丽家园</w:t>
      </w:r>
    </w:p>
    <w:p w:rsidR="005307DF" w:rsidRDefault="00BA47A2" w:rsidP="007952FF">
      <w:pPr>
        <w:spacing w:afterLines="50" w:line="600" w:lineRule="exact"/>
        <w:jc w:val="righ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第四次经济普查系列分析</w:t>
      </w:r>
    </w:p>
    <w:p w:rsidR="005307DF" w:rsidRDefault="00BA47A2">
      <w:pPr>
        <w:widowControl/>
        <w:wordWrap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根据国务院决定，我国于</w:t>
      </w:r>
      <w:r>
        <w:rPr>
          <w:rFonts w:ascii="Times New Roman" w:eastAsia="仿宋_GB2312" w:hAnsi="Times New Roman"/>
          <w:kern w:val="0"/>
          <w:sz w:val="32"/>
          <w:szCs w:val="32"/>
        </w:rPr>
        <w:t>2018</w:t>
      </w:r>
      <w:r>
        <w:rPr>
          <w:rFonts w:ascii="Times New Roman" w:eastAsia="仿宋_GB2312" w:hAnsi="Times New Roman"/>
          <w:kern w:val="0"/>
          <w:sz w:val="32"/>
          <w:szCs w:val="32"/>
        </w:rPr>
        <w:t>年开展了第四次全国经济普查，现已取得阶段性成果，经济普查时期资料为</w:t>
      </w:r>
      <w:r>
        <w:rPr>
          <w:rFonts w:ascii="Times New Roman" w:eastAsia="仿宋_GB2312" w:hAnsi="Times New Roman"/>
          <w:kern w:val="0"/>
          <w:sz w:val="32"/>
          <w:szCs w:val="32"/>
        </w:rPr>
        <w:t>2018</w:t>
      </w:r>
      <w:r>
        <w:rPr>
          <w:rFonts w:ascii="Times New Roman" w:eastAsia="仿宋_GB2312" w:hAnsi="Times New Roman"/>
          <w:kern w:val="0"/>
          <w:sz w:val="32"/>
          <w:szCs w:val="32"/>
        </w:rPr>
        <w:t>年度，普查时点为</w:t>
      </w:r>
      <w:r>
        <w:rPr>
          <w:rFonts w:ascii="Times New Roman" w:eastAsia="仿宋_GB2312" w:hAnsi="Times New Roman"/>
          <w:kern w:val="0"/>
          <w:sz w:val="32"/>
          <w:szCs w:val="32"/>
        </w:rPr>
        <w:t>2018</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rPr>
        <w:t>31</w:t>
      </w:r>
      <w:r>
        <w:rPr>
          <w:rFonts w:ascii="Times New Roman" w:eastAsia="仿宋_GB2312" w:hAnsi="Times New Roman"/>
          <w:kern w:val="0"/>
          <w:sz w:val="32"/>
          <w:szCs w:val="32"/>
        </w:rPr>
        <w:t>日，房地产业属于普查范围之一。</w:t>
      </w:r>
    </w:p>
    <w:p w:rsidR="005307DF" w:rsidRDefault="00BA47A2">
      <w:pPr>
        <w:widowControl/>
        <w:wordWrap w:val="0"/>
        <w:spacing w:line="560" w:lineRule="exact"/>
        <w:ind w:firstLineChars="200" w:firstLine="640"/>
        <w:rPr>
          <w:rFonts w:ascii="Times New Roman" w:eastAsia="仿宋_GB2312" w:hAnsi="Times New Roman"/>
          <w:color w:val="FF0000"/>
          <w:kern w:val="0"/>
          <w:sz w:val="32"/>
          <w:szCs w:val="32"/>
        </w:rPr>
      </w:pPr>
      <w:r>
        <w:rPr>
          <w:rFonts w:ascii="Times New Roman" w:eastAsia="仿宋_GB2312" w:hAnsi="Times New Roman"/>
          <w:sz w:val="32"/>
          <w:szCs w:val="32"/>
        </w:rPr>
        <w:t>普查结果表明，</w:t>
      </w:r>
      <w:r>
        <w:rPr>
          <w:rFonts w:ascii="Times New Roman" w:eastAsia="仿宋_GB2312" w:hAnsi="Times New Roman"/>
          <w:sz w:val="32"/>
          <w:szCs w:val="32"/>
        </w:rPr>
        <w:t>2013</w:t>
      </w:r>
      <w:r>
        <w:rPr>
          <w:rFonts w:ascii="Times New Roman" w:eastAsia="仿宋_GB2312" w:hAnsi="Times New Roman"/>
          <w:sz w:val="32"/>
          <w:szCs w:val="32"/>
        </w:rPr>
        <w:t>年以来，全市房地产开发投资总体增长，商品房建设规模逐步扩大，房地产开发企业规模实力不断壮大，房地产开发市场平稳发展，为推动全市经济社会发展</w:t>
      </w:r>
      <w:r>
        <w:rPr>
          <w:rFonts w:ascii="Times New Roman" w:eastAsia="仿宋_GB2312" w:hAnsi="Times New Roman"/>
          <w:sz w:val="32"/>
          <w:szCs w:val="32"/>
        </w:rPr>
        <w:t>作</w:t>
      </w:r>
      <w:r>
        <w:rPr>
          <w:rFonts w:ascii="Times New Roman" w:eastAsia="仿宋_GB2312" w:hAnsi="Times New Roman"/>
          <w:sz w:val="32"/>
          <w:szCs w:val="32"/>
        </w:rPr>
        <w:t>出了重要贡献。</w:t>
      </w:r>
    </w:p>
    <w:p w:rsidR="005307DF" w:rsidRDefault="00BA47A2">
      <w:pPr>
        <w:widowControl/>
        <w:numPr>
          <w:ilvl w:val="0"/>
          <w:numId w:val="1"/>
        </w:numPr>
        <w:wordWrap w:val="0"/>
        <w:spacing w:line="580" w:lineRule="exact"/>
        <w:ind w:firstLineChars="200" w:firstLine="640"/>
        <w:rPr>
          <w:rFonts w:ascii="Times New Roman" w:eastAsia="黑体" w:hAnsi="Times New Roman"/>
          <w:kern w:val="0"/>
          <w:sz w:val="32"/>
          <w:szCs w:val="32"/>
        </w:rPr>
      </w:pPr>
      <w:r>
        <w:rPr>
          <w:rFonts w:ascii="Times New Roman" w:eastAsia="黑体" w:hAnsi="Times New Roman"/>
          <w:bCs/>
          <w:kern w:val="0"/>
          <w:sz w:val="32"/>
          <w:szCs w:val="32"/>
        </w:rPr>
        <w:t>主要特点</w:t>
      </w:r>
    </w:p>
    <w:p w:rsidR="005307DF" w:rsidRDefault="00BA47A2">
      <w:pPr>
        <w:widowControl/>
        <w:wordWrap w:val="0"/>
        <w:spacing w:line="580" w:lineRule="exact"/>
        <w:ind w:firstLineChars="200" w:firstLine="640"/>
        <w:rPr>
          <w:rFonts w:ascii="Times New Roman" w:eastAsia="楷体" w:hAnsi="Times New Roman"/>
          <w:kern w:val="0"/>
          <w:sz w:val="32"/>
          <w:szCs w:val="32"/>
        </w:rPr>
      </w:pPr>
      <w:r>
        <w:rPr>
          <w:rFonts w:ascii="Times New Roman" w:eastAsia="楷体" w:hAnsi="Times New Roman"/>
          <w:kern w:val="0"/>
          <w:sz w:val="32"/>
          <w:szCs w:val="32"/>
        </w:rPr>
        <w:t>（一）企业法人单位个数增加</w:t>
      </w:r>
    </w:p>
    <w:p w:rsidR="005307DF" w:rsidRDefault="00BA47A2">
      <w:pPr>
        <w:widowControl/>
        <w:wordWrap w:val="0"/>
        <w:spacing w:line="580" w:lineRule="exact"/>
        <w:ind w:firstLineChars="200" w:firstLine="640"/>
        <w:rPr>
          <w:rFonts w:ascii="Times New Roman" w:eastAsia="仿宋_GB2312" w:hAnsi="Times New Roman"/>
          <w:kern w:val="0"/>
          <w:sz w:val="32"/>
          <w:szCs w:val="32"/>
        </w:rPr>
        <w:sectPr w:rsidR="005307DF">
          <w:footerReference w:type="default" r:id="rId8"/>
          <w:pgSz w:w="11906" w:h="16838"/>
          <w:pgMar w:top="2098" w:right="1474" w:bottom="1984" w:left="1587" w:header="851" w:footer="992" w:gutter="0"/>
          <w:pgNumType w:fmt="numberInDash"/>
          <w:cols w:space="0"/>
          <w:docGrid w:type="lines" w:linePitch="318"/>
        </w:sect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年末，全市共有房地产企业法人单位</w:t>
      </w:r>
      <w:r>
        <w:rPr>
          <w:rFonts w:ascii="Times New Roman" w:eastAsia="仿宋_GB2312" w:hAnsi="Times New Roman"/>
          <w:kern w:val="0"/>
          <w:sz w:val="32"/>
          <w:szCs w:val="32"/>
          <w:vertAlign w:val="superscript"/>
        </w:rPr>
        <w:t>*</w:t>
      </w:r>
      <w:r>
        <w:rPr>
          <w:rFonts w:ascii="Times New Roman" w:eastAsia="仿宋_GB2312" w:hAnsi="Times New Roman"/>
          <w:kern w:val="0"/>
          <w:sz w:val="32"/>
          <w:szCs w:val="32"/>
        </w:rPr>
        <w:t>359</w:t>
      </w:r>
      <w:r>
        <w:rPr>
          <w:rFonts w:ascii="Times New Roman" w:eastAsia="仿宋_GB2312" w:hAnsi="Times New Roman"/>
          <w:kern w:val="0"/>
          <w:sz w:val="32"/>
          <w:szCs w:val="32"/>
        </w:rPr>
        <w:t>个，比</w:t>
      </w:r>
      <w:r>
        <w:rPr>
          <w:rFonts w:ascii="Times New Roman" w:eastAsia="仿宋_GB2312" w:hAnsi="Times New Roman"/>
          <w:kern w:val="0"/>
          <w:sz w:val="32"/>
          <w:szCs w:val="32"/>
        </w:rPr>
        <w:t>2013</w:t>
      </w:r>
      <w:r>
        <w:rPr>
          <w:rFonts w:ascii="Times New Roman" w:eastAsia="仿宋_GB2312" w:hAnsi="Times New Roman"/>
          <w:kern w:val="0"/>
          <w:sz w:val="32"/>
          <w:szCs w:val="32"/>
        </w:rPr>
        <w:t>年末（第三次全国经济普查年份，下同）增加</w:t>
      </w:r>
      <w:r>
        <w:rPr>
          <w:rFonts w:ascii="Times New Roman" w:eastAsia="仿宋_GB2312" w:hAnsi="Times New Roman"/>
          <w:kern w:val="0"/>
          <w:sz w:val="32"/>
          <w:szCs w:val="32"/>
        </w:rPr>
        <w:t>187</w:t>
      </w:r>
      <w:r>
        <w:rPr>
          <w:rFonts w:ascii="Times New Roman" w:eastAsia="仿宋_GB2312" w:hAnsi="Times New Roman"/>
          <w:kern w:val="0"/>
          <w:sz w:val="32"/>
          <w:szCs w:val="32"/>
        </w:rPr>
        <w:t>个，年均增长</w:t>
      </w:r>
      <w:r>
        <w:rPr>
          <w:rFonts w:ascii="Times New Roman" w:eastAsia="仿宋_GB2312" w:hAnsi="Times New Roman"/>
          <w:kern w:val="0"/>
          <w:sz w:val="32"/>
          <w:szCs w:val="32"/>
        </w:rPr>
        <w:t>15.9%</w:t>
      </w:r>
      <w:r>
        <w:rPr>
          <w:rFonts w:ascii="Times New Roman" w:eastAsia="仿宋_GB2312" w:hAnsi="Times New Roman"/>
          <w:kern w:val="0"/>
          <w:sz w:val="32"/>
          <w:szCs w:val="32"/>
        </w:rPr>
        <w:t>，占全市企业法人单位个数的</w:t>
      </w:r>
      <w:r>
        <w:rPr>
          <w:rFonts w:ascii="Times New Roman" w:eastAsia="仿宋_GB2312" w:hAnsi="Times New Roman"/>
          <w:kern w:val="0"/>
          <w:sz w:val="32"/>
          <w:szCs w:val="32"/>
        </w:rPr>
        <w:t>1.62%</w:t>
      </w:r>
      <w:r>
        <w:rPr>
          <w:rFonts w:ascii="Times New Roman" w:eastAsia="仿宋_GB2312" w:hAnsi="Times New Roman"/>
          <w:kern w:val="0"/>
          <w:sz w:val="32"/>
          <w:szCs w:val="32"/>
        </w:rPr>
        <w:t>。其中房地产开发经</w:t>
      </w:r>
    </w:p>
    <w:p w:rsidR="005307DF" w:rsidRDefault="00BA47A2">
      <w:pPr>
        <w:widowControl/>
        <w:wordWrap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lastRenderedPageBreak/>
        <w:t>营企业</w:t>
      </w:r>
      <w:r>
        <w:rPr>
          <w:rFonts w:ascii="Times New Roman" w:eastAsia="仿宋_GB2312" w:hAnsi="Times New Roman"/>
          <w:kern w:val="0"/>
          <w:sz w:val="32"/>
          <w:szCs w:val="32"/>
        </w:rPr>
        <w:t>184</w:t>
      </w:r>
      <w:r>
        <w:rPr>
          <w:rFonts w:ascii="Times New Roman" w:eastAsia="仿宋_GB2312" w:hAnsi="Times New Roman"/>
          <w:kern w:val="0"/>
          <w:sz w:val="32"/>
          <w:szCs w:val="32"/>
        </w:rPr>
        <w:t>个，增加</w:t>
      </w:r>
      <w:r>
        <w:rPr>
          <w:rFonts w:ascii="Times New Roman" w:eastAsia="仿宋_GB2312" w:hAnsi="Times New Roman"/>
          <w:kern w:val="0"/>
          <w:sz w:val="32"/>
          <w:szCs w:val="32"/>
        </w:rPr>
        <w:t>85</w:t>
      </w:r>
      <w:r>
        <w:rPr>
          <w:rFonts w:ascii="Times New Roman" w:eastAsia="仿宋_GB2312" w:hAnsi="Times New Roman"/>
          <w:kern w:val="0"/>
          <w:sz w:val="32"/>
          <w:szCs w:val="32"/>
        </w:rPr>
        <w:t>个，增量最多，占总增加个数的</w:t>
      </w:r>
      <w:r>
        <w:rPr>
          <w:rFonts w:ascii="Times New Roman" w:eastAsia="仿宋_GB2312" w:hAnsi="Times New Roman"/>
          <w:kern w:val="0"/>
          <w:sz w:val="32"/>
          <w:szCs w:val="32"/>
        </w:rPr>
        <w:t>45.5%</w:t>
      </w:r>
      <w:r>
        <w:rPr>
          <w:rFonts w:ascii="Times New Roman" w:eastAsia="仿宋_GB2312" w:hAnsi="Times New Roman"/>
          <w:kern w:val="0"/>
          <w:sz w:val="32"/>
          <w:szCs w:val="32"/>
        </w:rPr>
        <w:t>（详见表</w:t>
      </w:r>
      <w:r>
        <w:rPr>
          <w:rFonts w:ascii="Times New Roman" w:eastAsia="仿宋_GB2312" w:hAnsi="Times New Roman"/>
          <w:kern w:val="0"/>
          <w:sz w:val="32"/>
          <w:szCs w:val="32"/>
        </w:rPr>
        <w:t>1</w:t>
      </w:r>
      <w:r>
        <w:rPr>
          <w:rFonts w:ascii="Times New Roman" w:eastAsia="仿宋_GB2312" w:hAnsi="Times New Roman"/>
          <w:kern w:val="0"/>
          <w:sz w:val="32"/>
          <w:szCs w:val="32"/>
        </w:rPr>
        <w:t>）。</w:t>
      </w:r>
    </w:p>
    <w:tbl>
      <w:tblPr>
        <w:tblW w:w="8779" w:type="dxa"/>
        <w:tblLayout w:type="fixed"/>
        <w:tblCellMar>
          <w:top w:w="15" w:type="dxa"/>
          <w:left w:w="15" w:type="dxa"/>
          <w:bottom w:w="15" w:type="dxa"/>
          <w:right w:w="15" w:type="dxa"/>
        </w:tblCellMar>
        <w:tblLook w:val="04A0"/>
      </w:tblPr>
      <w:tblGrid>
        <w:gridCol w:w="2466"/>
        <w:gridCol w:w="1561"/>
        <w:gridCol w:w="1572"/>
        <w:gridCol w:w="1584"/>
        <w:gridCol w:w="1596"/>
      </w:tblGrid>
      <w:tr w:rsidR="005307DF">
        <w:trPr>
          <w:trHeight w:val="90"/>
        </w:trPr>
        <w:tc>
          <w:tcPr>
            <w:tcW w:w="8779" w:type="dxa"/>
            <w:gridSpan w:val="5"/>
            <w:tcBorders>
              <w:bottom w:val="single" w:sz="12"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32"/>
                <w:szCs w:val="32"/>
              </w:rPr>
            </w:pPr>
            <w:r>
              <w:rPr>
                <w:rFonts w:ascii="楷体" w:eastAsia="楷体" w:hAnsi="楷体" w:cs="楷体" w:hint="eastAsia"/>
                <w:color w:val="000000"/>
                <w:kern w:val="0"/>
                <w:sz w:val="30"/>
                <w:szCs w:val="30"/>
              </w:rPr>
              <w:t>表</w:t>
            </w:r>
            <w:r>
              <w:rPr>
                <w:rFonts w:ascii="楷体" w:eastAsia="楷体" w:hAnsi="楷体" w:cs="楷体" w:hint="eastAsia"/>
                <w:color w:val="000000"/>
                <w:kern w:val="0"/>
                <w:sz w:val="30"/>
                <w:szCs w:val="30"/>
              </w:rPr>
              <w:t>1 2018</w:t>
            </w:r>
            <w:r>
              <w:rPr>
                <w:rFonts w:ascii="楷体" w:eastAsia="楷体" w:hAnsi="楷体" w:cs="楷体" w:hint="eastAsia"/>
                <w:color w:val="000000"/>
                <w:kern w:val="0"/>
                <w:sz w:val="30"/>
                <w:szCs w:val="30"/>
              </w:rPr>
              <w:t>年、</w:t>
            </w:r>
            <w:r>
              <w:rPr>
                <w:rFonts w:ascii="楷体" w:eastAsia="楷体" w:hAnsi="楷体" w:cs="楷体" w:hint="eastAsia"/>
                <w:color w:val="000000"/>
                <w:kern w:val="0"/>
                <w:sz w:val="30"/>
                <w:szCs w:val="30"/>
              </w:rPr>
              <w:t>2013</w:t>
            </w:r>
            <w:r>
              <w:rPr>
                <w:rFonts w:ascii="楷体" w:eastAsia="楷体" w:hAnsi="楷体" w:cs="楷体" w:hint="eastAsia"/>
                <w:color w:val="000000"/>
                <w:kern w:val="0"/>
                <w:sz w:val="30"/>
                <w:szCs w:val="30"/>
              </w:rPr>
              <w:t>年南安市房地产法人单位个数</w:t>
            </w:r>
          </w:p>
        </w:tc>
      </w:tr>
      <w:tr w:rsidR="005307DF">
        <w:trPr>
          <w:trHeight w:hRule="exact" w:val="567"/>
        </w:trPr>
        <w:tc>
          <w:tcPr>
            <w:tcW w:w="2466" w:type="dxa"/>
            <w:vMerge w:val="restart"/>
            <w:tcBorders>
              <w:top w:val="single" w:sz="12" w:space="0" w:color="000000"/>
              <w:left w:val="nil"/>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行业名称</w:t>
            </w:r>
          </w:p>
        </w:tc>
        <w:tc>
          <w:tcPr>
            <w:tcW w:w="3133"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2018</w:t>
            </w:r>
            <w:r>
              <w:rPr>
                <w:rFonts w:ascii="仿宋_GB2312" w:eastAsia="仿宋_GB2312" w:hAnsi="仿宋_GB2312" w:cs="仿宋_GB2312" w:hint="eastAsia"/>
                <w:b/>
                <w:bCs/>
                <w:color w:val="000000"/>
                <w:kern w:val="0"/>
                <w:sz w:val="28"/>
                <w:szCs w:val="28"/>
              </w:rPr>
              <w:t>年</w:t>
            </w:r>
          </w:p>
        </w:tc>
        <w:tc>
          <w:tcPr>
            <w:tcW w:w="3180" w:type="dxa"/>
            <w:gridSpan w:val="2"/>
            <w:tcBorders>
              <w:top w:val="single" w:sz="12" w:space="0" w:color="000000"/>
              <w:left w:val="single" w:sz="4" w:space="0" w:color="000000"/>
              <w:bottom w:val="single" w:sz="4" w:space="0" w:color="000000"/>
              <w:right w:val="nil"/>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2013</w:t>
            </w:r>
            <w:r>
              <w:rPr>
                <w:rFonts w:ascii="仿宋_GB2312" w:eastAsia="仿宋_GB2312" w:hAnsi="仿宋_GB2312" w:cs="仿宋_GB2312" w:hint="eastAsia"/>
                <w:b/>
                <w:bCs/>
                <w:color w:val="000000"/>
                <w:kern w:val="0"/>
                <w:sz w:val="28"/>
                <w:szCs w:val="28"/>
              </w:rPr>
              <w:t>年</w:t>
            </w:r>
          </w:p>
        </w:tc>
      </w:tr>
      <w:tr w:rsidR="005307DF">
        <w:trPr>
          <w:trHeight w:hRule="exact" w:val="567"/>
        </w:trPr>
        <w:tc>
          <w:tcPr>
            <w:tcW w:w="2466" w:type="dxa"/>
            <w:vMerge/>
            <w:tcBorders>
              <w:top w:val="single" w:sz="4" w:space="0" w:color="000000"/>
              <w:left w:val="nil"/>
              <w:bottom w:val="single" w:sz="12" w:space="0" w:color="000000"/>
              <w:right w:val="single" w:sz="4" w:space="0" w:color="000000"/>
            </w:tcBorders>
            <w:shd w:val="clear" w:color="auto" w:fill="auto"/>
            <w:vAlign w:val="center"/>
          </w:tcPr>
          <w:p w:rsidR="005307DF" w:rsidRDefault="005307DF">
            <w:pPr>
              <w:jc w:val="center"/>
              <w:rPr>
                <w:rFonts w:ascii="仿宋_GB2312" w:eastAsia="仿宋_GB2312" w:hAnsi="仿宋_GB2312" w:cs="仿宋_GB2312"/>
                <w:b/>
                <w:bCs/>
                <w:color w:val="000000"/>
                <w:sz w:val="28"/>
                <w:szCs w:val="28"/>
              </w:rPr>
            </w:pPr>
          </w:p>
        </w:tc>
        <w:tc>
          <w:tcPr>
            <w:tcW w:w="15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个数</w:t>
            </w:r>
          </w:p>
        </w:tc>
        <w:tc>
          <w:tcPr>
            <w:tcW w:w="15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占比</w:t>
            </w:r>
            <w:r>
              <w:rPr>
                <w:rFonts w:ascii="仿宋_GB2312" w:eastAsia="仿宋_GB2312" w:hAnsi="仿宋_GB2312" w:cs="仿宋_GB2312" w:hint="eastAsia"/>
                <w:b/>
                <w:bCs/>
                <w:color w:val="000000"/>
                <w:kern w:val="0"/>
                <w:sz w:val="28"/>
                <w:szCs w:val="28"/>
              </w:rPr>
              <w:t>%</w:t>
            </w:r>
          </w:p>
        </w:tc>
        <w:tc>
          <w:tcPr>
            <w:tcW w:w="15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个数</w:t>
            </w:r>
          </w:p>
        </w:tc>
        <w:tc>
          <w:tcPr>
            <w:tcW w:w="1596" w:type="dxa"/>
            <w:tcBorders>
              <w:top w:val="single" w:sz="4" w:space="0" w:color="000000"/>
              <w:left w:val="single" w:sz="4" w:space="0" w:color="000000"/>
              <w:bottom w:val="single" w:sz="12" w:space="0" w:color="000000"/>
              <w:right w:val="nil"/>
            </w:tcBorders>
            <w:shd w:val="clear" w:color="auto" w:fill="auto"/>
            <w:vAlign w:val="center"/>
          </w:tcPr>
          <w:p w:rsidR="005307DF" w:rsidRDefault="00BA47A2">
            <w:pPr>
              <w:widowControl/>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占比</w:t>
            </w:r>
            <w:r>
              <w:rPr>
                <w:rFonts w:ascii="仿宋_GB2312" w:eastAsia="仿宋_GB2312" w:hAnsi="仿宋_GB2312" w:cs="仿宋_GB2312" w:hint="eastAsia"/>
                <w:b/>
                <w:bCs/>
                <w:color w:val="000000"/>
                <w:kern w:val="0"/>
                <w:sz w:val="28"/>
                <w:szCs w:val="28"/>
              </w:rPr>
              <w:t>%</w:t>
            </w:r>
          </w:p>
        </w:tc>
      </w:tr>
      <w:tr w:rsidR="005307DF">
        <w:trPr>
          <w:trHeight w:hRule="exact" w:val="567"/>
        </w:trPr>
        <w:tc>
          <w:tcPr>
            <w:tcW w:w="2466" w:type="dxa"/>
            <w:tcBorders>
              <w:top w:val="single" w:sz="12"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合计</w:t>
            </w:r>
          </w:p>
        </w:tc>
        <w:tc>
          <w:tcPr>
            <w:tcW w:w="156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359</w:t>
            </w:r>
          </w:p>
        </w:tc>
        <w:tc>
          <w:tcPr>
            <w:tcW w:w="157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5307DF">
            <w:pPr>
              <w:jc w:val="center"/>
              <w:rPr>
                <w:rFonts w:ascii="Times New Roman" w:eastAsia="仿宋_GB2312" w:hAnsi="Times New Roman"/>
                <w:color w:val="000000"/>
                <w:sz w:val="28"/>
                <w:szCs w:val="28"/>
              </w:rPr>
            </w:pPr>
            <w:r w:rsidRPr="005307DF">
              <w:rPr>
                <w:sz w:val="28"/>
              </w:rPr>
              <w:pict>
                <v:line id="_x0000_s1029" style="position:absolute;left:0;text-align:left;z-index:251661312;mso-position-horizontal-relative:text;mso-position-vertical-relative:text" from="-.75pt,-.25pt" to="78.45pt,26.15pt" filled="t" strokeweight=".5pt"/>
              </w:pict>
            </w:r>
          </w:p>
        </w:tc>
        <w:tc>
          <w:tcPr>
            <w:tcW w:w="158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172</w:t>
            </w:r>
          </w:p>
        </w:tc>
        <w:tc>
          <w:tcPr>
            <w:tcW w:w="1596" w:type="dxa"/>
            <w:tcBorders>
              <w:top w:val="single" w:sz="12" w:space="0" w:color="000000"/>
              <w:left w:val="single" w:sz="4" w:space="0" w:color="000000"/>
              <w:bottom w:val="single" w:sz="4" w:space="0" w:color="000000"/>
            </w:tcBorders>
            <w:shd w:val="clear" w:color="auto" w:fill="auto"/>
            <w:vAlign w:val="center"/>
          </w:tcPr>
          <w:p w:rsidR="005307DF" w:rsidRDefault="005307DF">
            <w:pPr>
              <w:jc w:val="center"/>
              <w:rPr>
                <w:rFonts w:ascii="Times New Roman" w:eastAsia="仿宋_GB2312" w:hAnsi="Times New Roman"/>
                <w:color w:val="000000"/>
                <w:sz w:val="28"/>
                <w:szCs w:val="28"/>
              </w:rPr>
            </w:pPr>
            <w:r w:rsidRPr="005307DF">
              <w:rPr>
                <w:sz w:val="28"/>
              </w:rPr>
              <w:pict>
                <v:line id="_x0000_s1030" style="position:absolute;left:0;text-align:left;z-index:251662336;mso-position-horizontal-relative:text;mso-position-vertical-relative:text" from=".45pt,-.85pt" to="79.65pt,26.15pt" filled="t" strokeweight=".5pt"/>
              </w:pict>
            </w:r>
          </w:p>
        </w:tc>
      </w:tr>
      <w:tr w:rsidR="005307DF">
        <w:trPr>
          <w:trHeight w:hRule="exact" w:val="567"/>
        </w:trPr>
        <w:tc>
          <w:tcPr>
            <w:tcW w:w="2466"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房地产开发经营</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184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51.3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99</w:t>
            </w:r>
          </w:p>
        </w:tc>
        <w:tc>
          <w:tcPr>
            <w:tcW w:w="1596"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57.6 </w:t>
            </w:r>
          </w:p>
        </w:tc>
      </w:tr>
      <w:tr w:rsidR="005307DF">
        <w:trPr>
          <w:trHeight w:hRule="exact" w:val="567"/>
        </w:trPr>
        <w:tc>
          <w:tcPr>
            <w:tcW w:w="2466"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物业管理</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104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29.0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42</w:t>
            </w:r>
          </w:p>
        </w:tc>
        <w:tc>
          <w:tcPr>
            <w:tcW w:w="1596"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24.4 </w:t>
            </w:r>
          </w:p>
        </w:tc>
      </w:tr>
      <w:tr w:rsidR="005307DF">
        <w:trPr>
          <w:trHeight w:hRule="exact" w:val="567"/>
        </w:trPr>
        <w:tc>
          <w:tcPr>
            <w:tcW w:w="2466"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房地产中介服务</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44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12.3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7</w:t>
            </w:r>
          </w:p>
        </w:tc>
        <w:tc>
          <w:tcPr>
            <w:tcW w:w="1596"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4.1 </w:t>
            </w:r>
          </w:p>
        </w:tc>
      </w:tr>
      <w:tr w:rsidR="005307DF">
        <w:trPr>
          <w:trHeight w:hRule="exact" w:val="567"/>
        </w:trPr>
        <w:tc>
          <w:tcPr>
            <w:tcW w:w="2466"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房地产租赁经营</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27</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7.5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19</w:t>
            </w:r>
          </w:p>
        </w:tc>
        <w:tc>
          <w:tcPr>
            <w:tcW w:w="1596"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11.0 </w:t>
            </w:r>
          </w:p>
        </w:tc>
      </w:tr>
      <w:tr w:rsidR="005307DF">
        <w:trPr>
          <w:trHeight w:hRule="exact" w:val="567"/>
        </w:trPr>
        <w:tc>
          <w:tcPr>
            <w:tcW w:w="2466" w:type="dxa"/>
            <w:tcBorders>
              <w:top w:val="single" w:sz="4" w:space="0" w:color="000000"/>
              <w:left w:val="nil"/>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其他房地产业</w:t>
            </w:r>
          </w:p>
        </w:tc>
        <w:tc>
          <w:tcPr>
            <w:tcW w:w="15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0</w:t>
            </w:r>
          </w:p>
        </w:tc>
        <w:tc>
          <w:tcPr>
            <w:tcW w:w="157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0.0 </w:t>
            </w:r>
          </w:p>
        </w:tc>
        <w:tc>
          <w:tcPr>
            <w:tcW w:w="15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w:t>
            </w:r>
          </w:p>
        </w:tc>
        <w:tc>
          <w:tcPr>
            <w:tcW w:w="1596" w:type="dxa"/>
            <w:tcBorders>
              <w:top w:val="single" w:sz="4" w:space="0" w:color="000000"/>
              <w:left w:val="single" w:sz="4" w:space="0" w:color="000000"/>
              <w:bottom w:val="single" w:sz="12" w:space="0" w:color="000000"/>
              <w:right w:val="nil"/>
            </w:tcBorders>
            <w:shd w:val="clear" w:color="auto" w:fill="auto"/>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2.9 </w:t>
            </w:r>
          </w:p>
        </w:tc>
      </w:tr>
    </w:tbl>
    <w:p w:rsidR="005307DF" w:rsidRDefault="00BA47A2" w:rsidP="007952FF">
      <w:pPr>
        <w:widowControl/>
        <w:wordWrap w:val="0"/>
        <w:spacing w:beforeLines="50" w:line="580" w:lineRule="exact"/>
        <w:ind w:firstLineChars="200" w:firstLine="640"/>
        <w:jc w:val="left"/>
        <w:rPr>
          <w:rFonts w:ascii="楷体" w:eastAsia="楷体" w:hAnsi="楷体" w:cstheme="minorEastAsia"/>
          <w:kern w:val="0"/>
          <w:sz w:val="32"/>
          <w:szCs w:val="32"/>
        </w:rPr>
      </w:pPr>
      <w:r>
        <w:rPr>
          <w:rFonts w:ascii="楷体" w:eastAsia="楷体" w:hAnsi="楷体" w:cstheme="minorEastAsia" w:hint="eastAsia"/>
          <w:kern w:val="0"/>
          <w:sz w:val="32"/>
          <w:szCs w:val="32"/>
        </w:rPr>
        <w:t>（二）从业人员快速增长</w:t>
      </w:r>
    </w:p>
    <w:p w:rsidR="005307DF" w:rsidRDefault="00BA47A2" w:rsidP="007952FF">
      <w:pPr>
        <w:widowControl/>
        <w:wordWrap w:val="0"/>
        <w:spacing w:afterLines="50"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年末，全市房地产企业法人单位的从业人员</w:t>
      </w:r>
      <w:r>
        <w:rPr>
          <w:rFonts w:ascii="Times New Roman" w:eastAsia="仿宋_GB2312" w:hAnsi="Times New Roman"/>
          <w:kern w:val="0"/>
          <w:sz w:val="32"/>
          <w:szCs w:val="32"/>
          <w:vertAlign w:val="superscript"/>
        </w:rPr>
        <w:t>*</w:t>
      </w:r>
      <w:r>
        <w:rPr>
          <w:rFonts w:ascii="Times New Roman" w:eastAsia="仿宋_GB2312" w:hAnsi="Times New Roman"/>
          <w:kern w:val="0"/>
          <w:sz w:val="32"/>
          <w:szCs w:val="32"/>
        </w:rPr>
        <w:t>5966</w:t>
      </w:r>
      <w:r>
        <w:rPr>
          <w:rFonts w:ascii="Times New Roman" w:eastAsia="仿宋_GB2312" w:hAnsi="Times New Roman"/>
          <w:kern w:val="0"/>
          <w:sz w:val="32"/>
          <w:szCs w:val="32"/>
        </w:rPr>
        <w:t>人，比</w:t>
      </w:r>
      <w:r>
        <w:rPr>
          <w:rFonts w:ascii="Times New Roman" w:eastAsia="仿宋_GB2312" w:hAnsi="Times New Roman"/>
          <w:kern w:val="0"/>
          <w:sz w:val="32"/>
          <w:szCs w:val="32"/>
        </w:rPr>
        <w:t>2013</w:t>
      </w:r>
      <w:r>
        <w:rPr>
          <w:rFonts w:ascii="Times New Roman" w:eastAsia="仿宋_GB2312" w:hAnsi="Times New Roman"/>
          <w:kern w:val="0"/>
          <w:sz w:val="32"/>
          <w:szCs w:val="32"/>
        </w:rPr>
        <w:t>年末增长</w:t>
      </w:r>
      <w:r>
        <w:rPr>
          <w:rFonts w:ascii="Times New Roman" w:eastAsia="仿宋_GB2312" w:hAnsi="Times New Roman"/>
          <w:kern w:val="0"/>
          <w:sz w:val="32"/>
          <w:szCs w:val="32"/>
        </w:rPr>
        <w:t>51.7%</w:t>
      </w:r>
      <w:r>
        <w:rPr>
          <w:rFonts w:ascii="Times New Roman" w:eastAsia="仿宋_GB2312" w:hAnsi="Times New Roman"/>
          <w:kern w:val="0"/>
          <w:sz w:val="32"/>
          <w:szCs w:val="32"/>
        </w:rPr>
        <w:t>，年均增长</w:t>
      </w:r>
      <w:r>
        <w:rPr>
          <w:rFonts w:ascii="Times New Roman" w:eastAsia="仿宋_GB2312" w:hAnsi="Times New Roman"/>
          <w:kern w:val="0"/>
          <w:sz w:val="32"/>
          <w:szCs w:val="32"/>
        </w:rPr>
        <w:t>8.7%</w:t>
      </w:r>
      <w:r>
        <w:rPr>
          <w:rFonts w:ascii="Times New Roman" w:eastAsia="仿宋_GB2312" w:hAnsi="Times New Roman"/>
          <w:kern w:val="0"/>
          <w:sz w:val="32"/>
          <w:szCs w:val="32"/>
        </w:rPr>
        <w:t>，占全市企业法人单位从业人员的</w:t>
      </w:r>
      <w:r>
        <w:rPr>
          <w:rFonts w:ascii="Times New Roman" w:eastAsia="仿宋_GB2312" w:hAnsi="Times New Roman"/>
          <w:kern w:val="0"/>
          <w:sz w:val="32"/>
          <w:szCs w:val="32"/>
        </w:rPr>
        <w:t>1.17%</w:t>
      </w:r>
      <w:r>
        <w:rPr>
          <w:rFonts w:ascii="Times New Roman" w:eastAsia="仿宋_GB2312" w:hAnsi="Times New Roman"/>
          <w:kern w:val="0"/>
          <w:sz w:val="32"/>
          <w:szCs w:val="32"/>
        </w:rPr>
        <w:t>。其中房地产开发经营企业</w:t>
      </w:r>
      <w:r>
        <w:rPr>
          <w:rFonts w:ascii="Times New Roman" w:eastAsia="仿宋_GB2312" w:hAnsi="Times New Roman"/>
          <w:kern w:val="0"/>
          <w:sz w:val="32"/>
          <w:szCs w:val="32"/>
        </w:rPr>
        <w:t>3433</w:t>
      </w:r>
      <w:r>
        <w:rPr>
          <w:rFonts w:ascii="Times New Roman" w:eastAsia="仿宋_GB2312" w:hAnsi="Times New Roman"/>
          <w:kern w:val="0"/>
          <w:sz w:val="32"/>
          <w:szCs w:val="32"/>
        </w:rPr>
        <w:t>人，比</w:t>
      </w:r>
      <w:r>
        <w:rPr>
          <w:rFonts w:ascii="Times New Roman" w:eastAsia="仿宋_GB2312" w:hAnsi="Times New Roman"/>
          <w:kern w:val="0"/>
          <w:sz w:val="32"/>
          <w:szCs w:val="32"/>
        </w:rPr>
        <w:t>2013</w:t>
      </w:r>
      <w:r>
        <w:rPr>
          <w:rFonts w:ascii="Times New Roman" w:eastAsia="仿宋_GB2312" w:hAnsi="Times New Roman"/>
          <w:kern w:val="0"/>
          <w:sz w:val="32"/>
          <w:szCs w:val="32"/>
        </w:rPr>
        <w:t>年增加</w:t>
      </w:r>
      <w:r>
        <w:rPr>
          <w:rFonts w:ascii="Times New Roman" w:eastAsia="仿宋_GB2312" w:hAnsi="Times New Roman"/>
          <w:kern w:val="0"/>
          <w:sz w:val="32"/>
          <w:szCs w:val="32"/>
        </w:rPr>
        <w:t>571</w:t>
      </w:r>
      <w:r>
        <w:rPr>
          <w:rFonts w:ascii="Times New Roman" w:eastAsia="仿宋_GB2312" w:hAnsi="Times New Roman"/>
          <w:kern w:val="0"/>
          <w:sz w:val="32"/>
          <w:szCs w:val="32"/>
        </w:rPr>
        <w:t>人，占总增加人数的</w:t>
      </w:r>
      <w:r>
        <w:rPr>
          <w:rFonts w:ascii="Times New Roman" w:eastAsia="仿宋_GB2312" w:hAnsi="Times New Roman"/>
          <w:kern w:val="0"/>
          <w:sz w:val="32"/>
          <w:szCs w:val="32"/>
        </w:rPr>
        <w:t>40.8%</w:t>
      </w:r>
      <w:r>
        <w:rPr>
          <w:rFonts w:ascii="Times New Roman" w:eastAsia="仿宋_GB2312" w:hAnsi="Times New Roman"/>
          <w:kern w:val="0"/>
          <w:sz w:val="32"/>
          <w:szCs w:val="32"/>
        </w:rPr>
        <w:t>（详见表</w:t>
      </w:r>
      <w:r>
        <w:rPr>
          <w:rFonts w:ascii="Times New Roman" w:eastAsia="仿宋_GB2312" w:hAnsi="Times New Roman"/>
          <w:kern w:val="0"/>
          <w:sz w:val="32"/>
          <w:szCs w:val="32"/>
        </w:rPr>
        <w:t>2</w:t>
      </w:r>
      <w:r>
        <w:rPr>
          <w:rFonts w:ascii="Times New Roman" w:eastAsia="仿宋_GB2312" w:hAnsi="Times New Roman"/>
          <w:kern w:val="0"/>
          <w:sz w:val="32"/>
          <w:szCs w:val="32"/>
        </w:rPr>
        <w:t>）。</w:t>
      </w:r>
    </w:p>
    <w:tbl>
      <w:tblPr>
        <w:tblW w:w="8863" w:type="dxa"/>
        <w:tblLayout w:type="fixed"/>
        <w:tblCellMar>
          <w:top w:w="15" w:type="dxa"/>
          <w:left w:w="15" w:type="dxa"/>
          <w:bottom w:w="15" w:type="dxa"/>
          <w:right w:w="15" w:type="dxa"/>
        </w:tblCellMar>
        <w:tblLook w:val="04A0"/>
      </w:tblPr>
      <w:tblGrid>
        <w:gridCol w:w="2239"/>
        <w:gridCol w:w="2040"/>
        <w:gridCol w:w="1248"/>
        <w:gridCol w:w="2088"/>
        <w:gridCol w:w="1248"/>
      </w:tblGrid>
      <w:tr w:rsidR="005307DF">
        <w:trPr>
          <w:trHeight w:val="643"/>
        </w:trPr>
        <w:tc>
          <w:tcPr>
            <w:tcW w:w="8863" w:type="dxa"/>
            <w:gridSpan w:val="5"/>
            <w:tcBorders>
              <w:bottom w:val="single" w:sz="12" w:space="0" w:color="000000"/>
            </w:tcBorders>
            <w:shd w:val="clear" w:color="auto" w:fill="auto"/>
            <w:vAlign w:val="center"/>
          </w:tcPr>
          <w:p w:rsidR="005307DF" w:rsidRDefault="00BA47A2">
            <w:pPr>
              <w:widowControl/>
              <w:ind w:rightChars="17" w:right="36"/>
              <w:jc w:val="center"/>
              <w:textAlignment w:val="center"/>
              <w:rPr>
                <w:rFonts w:ascii="仿宋_GB2312" w:eastAsia="仿宋_GB2312" w:hAnsi="仿宋_GB2312" w:cs="仿宋_GB2312"/>
                <w:color w:val="000000"/>
                <w:sz w:val="32"/>
                <w:szCs w:val="32"/>
              </w:rPr>
            </w:pPr>
            <w:r>
              <w:rPr>
                <w:rFonts w:ascii="楷体" w:eastAsia="楷体" w:hAnsi="楷体" w:cs="楷体" w:hint="eastAsia"/>
                <w:color w:val="000000"/>
                <w:kern w:val="0"/>
                <w:sz w:val="30"/>
                <w:szCs w:val="30"/>
              </w:rPr>
              <w:t>表</w:t>
            </w:r>
            <w:r>
              <w:rPr>
                <w:rFonts w:ascii="楷体" w:eastAsia="楷体" w:hAnsi="楷体" w:cs="楷体" w:hint="eastAsia"/>
                <w:color w:val="000000"/>
                <w:kern w:val="0"/>
                <w:sz w:val="30"/>
                <w:szCs w:val="30"/>
              </w:rPr>
              <w:t>2 2018</w:t>
            </w:r>
            <w:r>
              <w:rPr>
                <w:rFonts w:ascii="楷体" w:eastAsia="楷体" w:hAnsi="楷体" w:cs="楷体" w:hint="eastAsia"/>
                <w:color w:val="000000"/>
                <w:kern w:val="0"/>
                <w:sz w:val="30"/>
                <w:szCs w:val="30"/>
              </w:rPr>
              <w:t>年、</w:t>
            </w:r>
            <w:r>
              <w:rPr>
                <w:rFonts w:ascii="楷体" w:eastAsia="楷体" w:hAnsi="楷体" w:cs="楷体" w:hint="eastAsia"/>
                <w:color w:val="000000"/>
                <w:kern w:val="0"/>
                <w:sz w:val="30"/>
                <w:szCs w:val="30"/>
              </w:rPr>
              <w:t>2013</w:t>
            </w:r>
            <w:r>
              <w:rPr>
                <w:rFonts w:ascii="楷体" w:eastAsia="楷体" w:hAnsi="楷体" w:cs="楷体" w:hint="eastAsia"/>
                <w:color w:val="000000"/>
                <w:kern w:val="0"/>
                <w:sz w:val="30"/>
                <w:szCs w:val="30"/>
              </w:rPr>
              <w:t>年南安市房地产法人单位从业人员</w:t>
            </w:r>
          </w:p>
        </w:tc>
      </w:tr>
      <w:tr w:rsidR="005307DF">
        <w:trPr>
          <w:trHeight w:hRule="exact" w:val="567"/>
        </w:trPr>
        <w:tc>
          <w:tcPr>
            <w:tcW w:w="2239" w:type="dxa"/>
            <w:vMerge w:val="restart"/>
            <w:tcBorders>
              <w:top w:val="single" w:sz="12" w:space="0" w:color="000000"/>
              <w:left w:val="nil"/>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行业名称</w:t>
            </w:r>
          </w:p>
        </w:tc>
        <w:tc>
          <w:tcPr>
            <w:tcW w:w="328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2018</w:t>
            </w:r>
            <w:r>
              <w:rPr>
                <w:rFonts w:ascii="仿宋_GB2312" w:eastAsia="仿宋_GB2312" w:hAnsi="仿宋_GB2312" w:cs="仿宋_GB2312" w:hint="eastAsia"/>
                <w:color w:val="000000"/>
                <w:kern w:val="0"/>
                <w:sz w:val="28"/>
                <w:szCs w:val="28"/>
              </w:rPr>
              <w:t>年</w:t>
            </w:r>
          </w:p>
        </w:tc>
        <w:tc>
          <w:tcPr>
            <w:tcW w:w="3336" w:type="dxa"/>
            <w:gridSpan w:val="2"/>
            <w:tcBorders>
              <w:top w:val="single" w:sz="12" w:space="0" w:color="000000"/>
              <w:left w:val="single" w:sz="4" w:space="0" w:color="000000"/>
              <w:bottom w:val="single" w:sz="4" w:space="0" w:color="000000"/>
              <w:right w:val="nil"/>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2013</w:t>
            </w:r>
            <w:r>
              <w:rPr>
                <w:rFonts w:ascii="仿宋_GB2312" w:eastAsia="仿宋_GB2312" w:hAnsi="仿宋_GB2312" w:cs="仿宋_GB2312" w:hint="eastAsia"/>
                <w:color w:val="000000"/>
                <w:kern w:val="0"/>
                <w:sz w:val="28"/>
                <w:szCs w:val="28"/>
              </w:rPr>
              <w:t>年</w:t>
            </w:r>
          </w:p>
        </w:tc>
      </w:tr>
      <w:tr w:rsidR="005307DF">
        <w:trPr>
          <w:trHeight w:hRule="exact" w:val="567"/>
        </w:trPr>
        <w:tc>
          <w:tcPr>
            <w:tcW w:w="2239" w:type="dxa"/>
            <w:vMerge/>
            <w:tcBorders>
              <w:top w:val="single" w:sz="4" w:space="0" w:color="000000"/>
              <w:left w:val="nil"/>
              <w:bottom w:val="single" w:sz="12" w:space="0" w:color="000000"/>
              <w:right w:val="single" w:sz="4" w:space="0" w:color="000000"/>
            </w:tcBorders>
            <w:shd w:val="clear" w:color="auto" w:fill="auto"/>
            <w:vAlign w:val="center"/>
          </w:tcPr>
          <w:p w:rsidR="005307DF" w:rsidRDefault="005307DF">
            <w:pPr>
              <w:jc w:val="center"/>
              <w:rPr>
                <w:rFonts w:ascii="仿宋_GB2312" w:eastAsia="仿宋_GB2312" w:hAnsi="仿宋_GB2312" w:cs="仿宋_GB2312"/>
                <w:color w:val="000000"/>
                <w:sz w:val="28"/>
                <w:szCs w:val="28"/>
              </w:rPr>
            </w:pPr>
          </w:p>
        </w:tc>
        <w:tc>
          <w:tcPr>
            <w:tcW w:w="20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从业人员（人）</w:t>
            </w:r>
          </w:p>
        </w:tc>
        <w:tc>
          <w:tcPr>
            <w:tcW w:w="12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占比</w:t>
            </w:r>
            <w:r>
              <w:rPr>
                <w:rFonts w:ascii="仿宋_GB2312" w:eastAsia="仿宋_GB2312" w:hAnsi="仿宋_GB2312" w:cs="仿宋_GB2312" w:hint="eastAsia"/>
                <w:color w:val="000000"/>
                <w:kern w:val="0"/>
                <w:sz w:val="28"/>
                <w:szCs w:val="28"/>
              </w:rPr>
              <w:t>%</w:t>
            </w:r>
          </w:p>
        </w:tc>
        <w:tc>
          <w:tcPr>
            <w:tcW w:w="20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从业人员（人）</w:t>
            </w:r>
          </w:p>
        </w:tc>
        <w:tc>
          <w:tcPr>
            <w:tcW w:w="1248" w:type="dxa"/>
            <w:tcBorders>
              <w:top w:val="single" w:sz="4" w:space="0" w:color="000000"/>
              <w:left w:val="single" w:sz="4" w:space="0" w:color="000000"/>
              <w:bottom w:val="single" w:sz="12" w:space="0" w:color="000000"/>
              <w:right w:val="nil"/>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占比</w:t>
            </w:r>
            <w:r>
              <w:rPr>
                <w:rFonts w:ascii="仿宋_GB2312" w:eastAsia="仿宋_GB2312" w:hAnsi="仿宋_GB2312" w:cs="仿宋_GB2312" w:hint="eastAsia"/>
                <w:color w:val="000000"/>
                <w:kern w:val="0"/>
                <w:sz w:val="28"/>
                <w:szCs w:val="28"/>
              </w:rPr>
              <w:t>%</w:t>
            </w:r>
          </w:p>
        </w:tc>
      </w:tr>
      <w:tr w:rsidR="005307DF">
        <w:trPr>
          <w:trHeight w:hRule="exact" w:val="567"/>
        </w:trPr>
        <w:tc>
          <w:tcPr>
            <w:tcW w:w="2239" w:type="dxa"/>
            <w:tcBorders>
              <w:top w:val="single" w:sz="12"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合计</w:t>
            </w:r>
          </w:p>
        </w:tc>
        <w:tc>
          <w:tcPr>
            <w:tcW w:w="204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5966</w:t>
            </w:r>
          </w:p>
        </w:tc>
        <w:tc>
          <w:tcPr>
            <w:tcW w:w="124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5307DF">
            <w:pPr>
              <w:jc w:val="center"/>
              <w:rPr>
                <w:rFonts w:ascii="Times New Roman" w:eastAsia="方正小标宋简体" w:hAnsi="Times New Roman"/>
                <w:color w:val="000000"/>
                <w:sz w:val="28"/>
                <w:szCs w:val="28"/>
              </w:rPr>
            </w:pPr>
            <w:r w:rsidRPr="005307DF">
              <w:rPr>
                <w:sz w:val="28"/>
              </w:rPr>
              <w:pict>
                <v:line id="_x0000_s1031" style="position:absolute;left:0;text-align:left;z-index:251663360;mso-position-horizontal-relative:text;mso-position-vertical-relative:text" from="-.75pt,-.3pt" to="61.05pt,27.3pt" filled="t"/>
              </w:pict>
            </w:r>
          </w:p>
        </w:tc>
        <w:tc>
          <w:tcPr>
            <w:tcW w:w="208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3932</w:t>
            </w:r>
          </w:p>
        </w:tc>
        <w:tc>
          <w:tcPr>
            <w:tcW w:w="1248" w:type="dxa"/>
            <w:tcBorders>
              <w:top w:val="single" w:sz="12" w:space="0" w:color="000000"/>
              <w:left w:val="single" w:sz="4" w:space="0" w:color="000000"/>
              <w:bottom w:val="single" w:sz="4" w:space="0" w:color="000000"/>
            </w:tcBorders>
            <w:shd w:val="clear" w:color="auto" w:fill="auto"/>
            <w:vAlign w:val="center"/>
          </w:tcPr>
          <w:p w:rsidR="005307DF" w:rsidRDefault="005307DF">
            <w:pPr>
              <w:jc w:val="center"/>
              <w:rPr>
                <w:rFonts w:ascii="Times New Roman" w:eastAsia="方正小标宋简体" w:hAnsi="Times New Roman"/>
                <w:color w:val="000000"/>
                <w:sz w:val="28"/>
                <w:szCs w:val="28"/>
              </w:rPr>
            </w:pPr>
            <w:r w:rsidRPr="005307DF">
              <w:rPr>
                <w:sz w:val="28"/>
              </w:rPr>
              <w:pict>
                <v:line id="_x0000_s1032" style="position:absolute;left:0;text-align:left;z-index:251664384;mso-position-horizontal-relative:text;mso-position-vertical-relative:text" from="1.05pt,.3pt" to="61.65pt,27.3pt" filled="t"/>
              </w:pict>
            </w:r>
          </w:p>
        </w:tc>
      </w:tr>
      <w:tr w:rsidR="005307DF">
        <w:trPr>
          <w:trHeight w:hRule="exact" w:val="567"/>
        </w:trPr>
        <w:tc>
          <w:tcPr>
            <w:tcW w:w="2239" w:type="dxa"/>
            <w:tcBorders>
              <w:top w:val="single" w:sz="4" w:space="0" w:color="000000"/>
              <w:left w:val="nil"/>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房地产开发经营</w:t>
            </w:r>
          </w:p>
        </w:tc>
        <w:tc>
          <w:tcPr>
            <w:tcW w:w="20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3433</w:t>
            </w:r>
          </w:p>
        </w:tc>
        <w:tc>
          <w:tcPr>
            <w:tcW w:w="12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57.5</w:t>
            </w:r>
          </w:p>
        </w:tc>
        <w:tc>
          <w:tcPr>
            <w:tcW w:w="20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2634</w:t>
            </w:r>
          </w:p>
        </w:tc>
        <w:tc>
          <w:tcPr>
            <w:tcW w:w="1248" w:type="dxa"/>
            <w:tcBorders>
              <w:top w:val="single" w:sz="4" w:space="0" w:color="000000"/>
              <w:left w:val="single" w:sz="4" w:space="0" w:color="000000"/>
              <w:bottom w:val="single" w:sz="12" w:space="0" w:color="000000"/>
              <w:right w:val="nil"/>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67.0</w:t>
            </w:r>
          </w:p>
        </w:tc>
      </w:tr>
      <w:tr w:rsidR="005307DF">
        <w:trPr>
          <w:trHeight w:hRule="exact" w:val="567"/>
        </w:trPr>
        <w:tc>
          <w:tcPr>
            <w:tcW w:w="2239" w:type="dxa"/>
            <w:tcBorders>
              <w:top w:val="single" w:sz="12"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lastRenderedPageBreak/>
              <w:t>物业管理</w:t>
            </w:r>
          </w:p>
        </w:tc>
        <w:tc>
          <w:tcPr>
            <w:tcW w:w="204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sz w:val="28"/>
                <w:szCs w:val="28"/>
              </w:rPr>
              <w:t>1595</w:t>
            </w:r>
          </w:p>
        </w:tc>
        <w:tc>
          <w:tcPr>
            <w:tcW w:w="124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26.7</w:t>
            </w:r>
          </w:p>
        </w:tc>
        <w:tc>
          <w:tcPr>
            <w:tcW w:w="208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900</w:t>
            </w:r>
          </w:p>
        </w:tc>
        <w:tc>
          <w:tcPr>
            <w:tcW w:w="1248" w:type="dxa"/>
            <w:tcBorders>
              <w:top w:val="single" w:sz="12"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22.9</w:t>
            </w:r>
          </w:p>
        </w:tc>
      </w:tr>
      <w:tr w:rsidR="005307DF">
        <w:trPr>
          <w:trHeight w:hRule="exact" w:val="567"/>
        </w:trPr>
        <w:tc>
          <w:tcPr>
            <w:tcW w:w="2239"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房地产中介服务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sz w:val="28"/>
                <w:szCs w:val="28"/>
              </w:rPr>
              <w:t>646</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10.8</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53</w:t>
            </w:r>
          </w:p>
        </w:tc>
        <w:tc>
          <w:tcPr>
            <w:tcW w:w="1248"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1.3</w:t>
            </w:r>
          </w:p>
        </w:tc>
      </w:tr>
      <w:tr w:rsidR="005307DF">
        <w:trPr>
          <w:trHeight w:hRule="exact" w:val="567"/>
        </w:trPr>
        <w:tc>
          <w:tcPr>
            <w:tcW w:w="2239" w:type="dxa"/>
            <w:tcBorders>
              <w:top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房地产租赁经营</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292</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4.9</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307</w:t>
            </w:r>
          </w:p>
        </w:tc>
        <w:tc>
          <w:tcPr>
            <w:tcW w:w="1248" w:type="dxa"/>
            <w:tcBorders>
              <w:top w:val="single" w:sz="4" w:space="0" w:color="000000"/>
              <w:left w:val="single" w:sz="4" w:space="0" w:color="000000"/>
              <w:bottom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7.8</w:t>
            </w:r>
          </w:p>
        </w:tc>
      </w:tr>
      <w:tr w:rsidR="005307DF">
        <w:trPr>
          <w:trHeight w:hRule="exact" w:val="567"/>
        </w:trPr>
        <w:tc>
          <w:tcPr>
            <w:tcW w:w="2239" w:type="dxa"/>
            <w:tcBorders>
              <w:top w:val="single" w:sz="4" w:space="0" w:color="000000"/>
              <w:left w:val="nil"/>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其他房地产业</w:t>
            </w:r>
          </w:p>
        </w:tc>
        <w:tc>
          <w:tcPr>
            <w:tcW w:w="20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0</w:t>
            </w:r>
          </w:p>
        </w:tc>
        <w:tc>
          <w:tcPr>
            <w:tcW w:w="12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0.0</w:t>
            </w:r>
          </w:p>
        </w:tc>
        <w:tc>
          <w:tcPr>
            <w:tcW w:w="20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sz w:val="28"/>
                <w:szCs w:val="28"/>
              </w:rPr>
            </w:pPr>
            <w:r>
              <w:rPr>
                <w:rFonts w:ascii="Times New Roman" w:eastAsia="方正小标宋简体" w:hAnsi="Times New Roman"/>
                <w:color w:val="000000"/>
                <w:kern w:val="0"/>
                <w:sz w:val="28"/>
                <w:szCs w:val="28"/>
              </w:rPr>
              <w:t>38</w:t>
            </w:r>
          </w:p>
        </w:tc>
        <w:tc>
          <w:tcPr>
            <w:tcW w:w="1248" w:type="dxa"/>
            <w:tcBorders>
              <w:top w:val="single" w:sz="4" w:space="0" w:color="000000"/>
              <w:left w:val="single" w:sz="4" w:space="0" w:color="000000"/>
              <w:bottom w:val="single" w:sz="12" w:space="0" w:color="000000"/>
              <w:right w:val="nil"/>
            </w:tcBorders>
            <w:shd w:val="clear" w:color="auto" w:fill="auto"/>
            <w:vAlign w:val="center"/>
          </w:tcPr>
          <w:p w:rsidR="005307DF" w:rsidRDefault="00BA47A2">
            <w:pPr>
              <w:widowControl/>
              <w:jc w:val="center"/>
              <w:textAlignment w:val="center"/>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1.0</w:t>
            </w:r>
          </w:p>
        </w:tc>
      </w:tr>
    </w:tbl>
    <w:p w:rsidR="005307DF" w:rsidRDefault="00BA47A2">
      <w:pPr>
        <w:widowControl/>
        <w:wordWrap w:val="0"/>
        <w:spacing w:line="580" w:lineRule="exact"/>
        <w:ind w:firstLineChars="200" w:firstLine="640"/>
        <w:rPr>
          <w:rFonts w:ascii="楷体" w:eastAsia="楷体" w:hAnsi="楷体" w:cstheme="minorEastAsia"/>
          <w:kern w:val="0"/>
          <w:sz w:val="32"/>
          <w:szCs w:val="32"/>
        </w:rPr>
      </w:pPr>
      <w:r>
        <w:rPr>
          <w:rFonts w:ascii="楷体" w:eastAsia="楷体" w:hAnsi="楷体" w:cstheme="minorEastAsia" w:hint="eastAsia"/>
          <w:kern w:val="0"/>
          <w:sz w:val="32"/>
          <w:szCs w:val="32"/>
        </w:rPr>
        <w:t>（三）资产近似翻番</w:t>
      </w:r>
    </w:p>
    <w:p w:rsidR="005307DF" w:rsidRDefault="00BA47A2" w:rsidP="007952FF">
      <w:pPr>
        <w:widowControl/>
        <w:wordWrap w:val="0"/>
        <w:spacing w:afterLines="50" w:line="580" w:lineRule="exact"/>
        <w:ind w:firstLineChars="200" w:firstLine="640"/>
        <w:rPr>
          <w:rFonts w:ascii="仿宋_GB2312" w:eastAsia="仿宋_GB2312" w:hAnsiTheme="minorEastAsia" w:cstheme="minorEastAsia"/>
          <w:color w:val="C00000"/>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年末，全市房地产企业法人单位的资产总计</w:t>
      </w:r>
      <w:r>
        <w:rPr>
          <w:rFonts w:ascii="Times New Roman" w:eastAsia="仿宋_GB2312" w:hAnsi="Times New Roman"/>
          <w:kern w:val="0"/>
          <w:sz w:val="32"/>
          <w:szCs w:val="32"/>
          <w:vertAlign w:val="superscript"/>
        </w:rPr>
        <w:t>*</w:t>
      </w:r>
      <w:r>
        <w:rPr>
          <w:rFonts w:ascii="Times New Roman" w:eastAsia="仿宋_GB2312" w:hAnsi="Times New Roman"/>
          <w:kern w:val="0"/>
          <w:sz w:val="32"/>
          <w:szCs w:val="32"/>
        </w:rPr>
        <w:t>515.54</w:t>
      </w:r>
      <w:r>
        <w:rPr>
          <w:rFonts w:ascii="Times New Roman" w:eastAsia="仿宋_GB2312" w:hAnsi="Times New Roman"/>
          <w:kern w:val="0"/>
          <w:sz w:val="32"/>
          <w:szCs w:val="32"/>
        </w:rPr>
        <w:t>亿元，比</w:t>
      </w:r>
      <w:r>
        <w:rPr>
          <w:rFonts w:ascii="Times New Roman" w:eastAsia="仿宋_GB2312" w:hAnsi="Times New Roman"/>
          <w:kern w:val="0"/>
          <w:sz w:val="32"/>
          <w:szCs w:val="32"/>
        </w:rPr>
        <w:t>2013</w:t>
      </w:r>
      <w:r>
        <w:rPr>
          <w:rFonts w:ascii="Times New Roman" w:eastAsia="仿宋_GB2312" w:hAnsi="Times New Roman"/>
          <w:kern w:val="0"/>
          <w:sz w:val="32"/>
          <w:szCs w:val="32"/>
        </w:rPr>
        <w:t>年末增长</w:t>
      </w:r>
      <w:r>
        <w:rPr>
          <w:rFonts w:ascii="Times New Roman" w:eastAsia="仿宋_GB2312" w:hAnsi="Times New Roman"/>
          <w:kern w:val="0"/>
          <w:sz w:val="32"/>
          <w:szCs w:val="32"/>
        </w:rPr>
        <w:t>94.0%</w:t>
      </w:r>
      <w:r>
        <w:rPr>
          <w:rFonts w:ascii="Times New Roman" w:eastAsia="仿宋_GB2312" w:hAnsi="Times New Roman"/>
          <w:kern w:val="0"/>
          <w:sz w:val="32"/>
          <w:szCs w:val="32"/>
        </w:rPr>
        <w:t>。其中，房地产开发经营企业</w:t>
      </w:r>
      <w:r>
        <w:rPr>
          <w:rFonts w:ascii="Times New Roman" w:eastAsia="仿宋_GB2312" w:hAnsi="Times New Roman"/>
          <w:kern w:val="0"/>
          <w:sz w:val="32"/>
          <w:szCs w:val="32"/>
        </w:rPr>
        <w:t>500.87</w:t>
      </w:r>
      <w:r>
        <w:rPr>
          <w:rFonts w:ascii="Times New Roman" w:eastAsia="仿宋_GB2312" w:hAnsi="Times New Roman"/>
          <w:kern w:val="0"/>
          <w:sz w:val="32"/>
          <w:szCs w:val="32"/>
        </w:rPr>
        <w:t>亿元，增量最多，增加</w:t>
      </w:r>
      <w:r>
        <w:rPr>
          <w:rFonts w:ascii="Times New Roman" w:eastAsia="仿宋_GB2312" w:hAnsi="Times New Roman"/>
          <w:kern w:val="0"/>
          <w:sz w:val="32"/>
          <w:szCs w:val="32"/>
        </w:rPr>
        <w:t>246.57</w:t>
      </w:r>
      <w:r>
        <w:rPr>
          <w:rFonts w:ascii="Times New Roman" w:eastAsia="仿宋_GB2312" w:hAnsi="Times New Roman"/>
          <w:kern w:val="0"/>
          <w:sz w:val="32"/>
          <w:szCs w:val="32"/>
        </w:rPr>
        <w:t>亿元（详见表</w:t>
      </w:r>
      <w:r>
        <w:rPr>
          <w:rFonts w:ascii="Times New Roman" w:eastAsia="仿宋_GB2312" w:hAnsi="Times New Roman"/>
          <w:kern w:val="0"/>
          <w:sz w:val="32"/>
          <w:szCs w:val="32"/>
        </w:rPr>
        <w:t>3</w:t>
      </w:r>
      <w:r>
        <w:rPr>
          <w:rFonts w:ascii="Times New Roman" w:eastAsia="仿宋_GB2312" w:hAnsi="Times New Roman"/>
          <w:kern w:val="0"/>
          <w:sz w:val="32"/>
          <w:szCs w:val="32"/>
        </w:rPr>
        <w:t>）</w:t>
      </w:r>
      <w:r>
        <w:rPr>
          <w:rFonts w:ascii="仿宋_GB2312" w:eastAsia="仿宋_GB2312" w:hAnsiTheme="minorEastAsia" w:cstheme="minorEastAsia" w:hint="eastAsia"/>
          <w:kern w:val="0"/>
          <w:sz w:val="32"/>
          <w:szCs w:val="32"/>
        </w:rPr>
        <w:t>。</w:t>
      </w:r>
    </w:p>
    <w:tbl>
      <w:tblPr>
        <w:tblW w:w="8628" w:type="dxa"/>
        <w:tblInd w:w="28" w:type="dxa"/>
        <w:tblLayout w:type="fixed"/>
        <w:tblCellMar>
          <w:left w:w="0" w:type="dxa"/>
          <w:right w:w="0" w:type="dxa"/>
        </w:tblCellMar>
        <w:tblLook w:val="04A0"/>
      </w:tblPr>
      <w:tblGrid>
        <w:gridCol w:w="2088"/>
        <w:gridCol w:w="1637"/>
        <w:gridCol w:w="1627"/>
        <w:gridCol w:w="1092"/>
        <w:gridCol w:w="1104"/>
        <w:gridCol w:w="1080"/>
      </w:tblGrid>
      <w:tr w:rsidR="005307DF">
        <w:trPr>
          <w:trHeight w:val="405"/>
        </w:trPr>
        <w:tc>
          <w:tcPr>
            <w:tcW w:w="8628" w:type="dxa"/>
            <w:gridSpan w:val="6"/>
            <w:tcBorders>
              <w:top w:val="nil"/>
              <w:left w:val="nil"/>
              <w:bottom w:val="single" w:sz="12"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32"/>
                <w:szCs w:val="32"/>
              </w:rPr>
            </w:pPr>
            <w:r>
              <w:rPr>
                <w:rFonts w:ascii="楷体" w:eastAsia="楷体" w:hAnsi="楷体" w:cs="楷体" w:hint="eastAsia"/>
                <w:color w:val="000000"/>
                <w:kern w:val="0"/>
                <w:sz w:val="30"/>
                <w:szCs w:val="30"/>
              </w:rPr>
              <w:t>表</w:t>
            </w:r>
            <w:r>
              <w:rPr>
                <w:rFonts w:ascii="楷体" w:eastAsia="楷体" w:hAnsi="楷体" w:cs="楷体" w:hint="eastAsia"/>
                <w:color w:val="000000"/>
                <w:kern w:val="0"/>
                <w:sz w:val="30"/>
                <w:szCs w:val="30"/>
              </w:rPr>
              <w:t>3 2018</w:t>
            </w:r>
            <w:r>
              <w:rPr>
                <w:rFonts w:ascii="楷体" w:eastAsia="楷体" w:hAnsi="楷体" w:cs="楷体" w:hint="eastAsia"/>
                <w:color w:val="000000"/>
                <w:kern w:val="0"/>
                <w:sz w:val="30"/>
                <w:szCs w:val="30"/>
              </w:rPr>
              <w:t>年、</w:t>
            </w:r>
            <w:r>
              <w:rPr>
                <w:rFonts w:ascii="楷体" w:eastAsia="楷体" w:hAnsi="楷体" w:cs="楷体" w:hint="eastAsia"/>
                <w:color w:val="000000"/>
                <w:kern w:val="0"/>
                <w:sz w:val="30"/>
                <w:szCs w:val="30"/>
              </w:rPr>
              <w:t>2013</w:t>
            </w:r>
            <w:r>
              <w:rPr>
                <w:rFonts w:ascii="楷体" w:eastAsia="楷体" w:hAnsi="楷体" w:cs="楷体" w:hint="eastAsia"/>
                <w:color w:val="000000"/>
                <w:kern w:val="0"/>
                <w:sz w:val="30"/>
                <w:szCs w:val="30"/>
              </w:rPr>
              <w:t>年南安市房地产企业法人资产总计</w:t>
            </w:r>
          </w:p>
        </w:tc>
      </w:tr>
      <w:tr w:rsidR="005307DF">
        <w:trPr>
          <w:trHeight w:hRule="exact" w:val="1131"/>
        </w:trPr>
        <w:tc>
          <w:tcPr>
            <w:tcW w:w="2088" w:type="dxa"/>
            <w:tcBorders>
              <w:top w:val="single" w:sz="12" w:space="0" w:color="000000"/>
              <w:left w:val="nil"/>
              <w:bottom w:val="single" w:sz="12" w:space="0" w:color="000000"/>
              <w:right w:val="single" w:sz="4" w:space="0" w:color="000000"/>
            </w:tcBorders>
            <w:shd w:val="clear" w:color="auto" w:fill="auto"/>
            <w:tcMar>
              <w:top w:w="15" w:type="dxa"/>
              <w:left w:w="15" w:type="dxa"/>
              <w:right w:w="15" w:type="dxa"/>
            </w:tcMar>
            <w:vAlign w:val="center"/>
          </w:tcPr>
          <w:p w:rsidR="005307DF" w:rsidRDefault="005307DF">
            <w:pPr>
              <w:jc w:val="center"/>
              <w:rPr>
                <w:rFonts w:ascii="仿宋_GB2312" w:eastAsia="仿宋_GB2312" w:hAnsi="仿宋_GB2312" w:cs="仿宋_GB2312"/>
                <w:color w:val="000000"/>
                <w:sz w:val="28"/>
                <w:szCs w:val="28"/>
              </w:rPr>
            </w:pPr>
            <w:r w:rsidRPr="005307DF">
              <w:rPr>
                <w:sz w:val="28"/>
              </w:rPr>
              <w:pict>
                <v:line id="_x0000_s1028" style="position:absolute;left:0;text-align:left;z-index:251660288;mso-position-horizontal-relative:text;mso-position-vertical-relative:text" from=".45pt,.15pt" to="103.65pt,55.4pt" filled="t" strokeweight=".5pt"/>
              </w:pict>
            </w:r>
          </w:p>
        </w:tc>
        <w:tc>
          <w:tcPr>
            <w:tcW w:w="1637" w:type="dxa"/>
            <w:tcBorders>
              <w:top w:val="single" w:sz="12"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spacing w:line="4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2018</w:t>
            </w:r>
            <w:r>
              <w:rPr>
                <w:rFonts w:ascii="仿宋_GB2312" w:eastAsia="仿宋_GB2312" w:hAnsi="仿宋_GB2312" w:cs="仿宋_GB2312" w:hint="eastAsia"/>
                <w:b/>
                <w:bCs/>
                <w:color w:val="000000"/>
                <w:kern w:val="0"/>
                <w:sz w:val="28"/>
                <w:szCs w:val="28"/>
              </w:rPr>
              <w:t>年资产总计（亿元）</w:t>
            </w:r>
          </w:p>
        </w:tc>
        <w:tc>
          <w:tcPr>
            <w:tcW w:w="1627" w:type="dxa"/>
            <w:tcBorders>
              <w:top w:val="single" w:sz="12"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spacing w:line="4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2013</w:t>
            </w:r>
            <w:r>
              <w:rPr>
                <w:rFonts w:ascii="仿宋_GB2312" w:eastAsia="仿宋_GB2312" w:hAnsi="仿宋_GB2312" w:cs="仿宋_GB2312" w:hint="eastAsia"/>
                <w:b/>
                <w:bCs/>
                <w:color w:val="000000"/>
                <w:kern w:val="0"/>
                <w:sz w:val="28"/>
                <w:szCs w:val="28"/>
              </w:rPr>
              <w:t>年资产总计（亿元）</w:t>
            </w:r>
          </w:p>
        </w:tc>
        <w:tc>
          <w:tcPr>
            <w:tcW w:w="1092" w:type="dxa"/>
            <w:tcBorders>
              <w:top w:val="single" w:sz="12"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spacing w:line="4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增长</w:t>
            </w:r>
            <w:r>
              <w:rPr>
                <w:rFonts w:ascii="仿宋_GB2312" w:eastAsia="仿宋_GB2312" w:hAnsi="仿宋_GB2312" w:cs="仿宋_GB2312" w:hint="eastAsia"/>
                <w:b/>
                <w:bCs/>
                <w:color w:val="000000"/>
                <w:kern w:val="0"/>
                <w:sz w:val="28"/>
                <w:szCs w:val="28"/>
              </w:rPr>
              <w:t>%</w:t>
            </w:r>
          </w:p>
        </w:tc>
        <w:tc>
          <w:tcPr>
            <w:tcW w:w="1104" w:type="dxa"/>
            <w:tcBorders>
              <w:top w:val="single" w:sz="12"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rsidP="007952FF">
            <w:pPr>
              <w:widowControl/>
              <w:spacing w:line="460" w:lineRule="exact"/>
              <w:ind w:firstLineChars="62" w:firstLine="174"/>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2018</w:t>
            </w:r>
            <w:r>
              <w:rPr>
                <w:rFonts w:ascii="仿宋_GB2312" w:eastAsia="仿宋_GB2312" w:hAnsi="仿宋_GB2312" w:cs="仿宋_GB2312" w:hint="eastAsia"/>
                <w:b/>
                <w:bCs/>
                <w:color w:val="000000"/>
                <w:kern w:val="0"/>
                <w:sz w:val="28"/>
                <w:szCs w:val="28"/>
              </w:rPr>
              <w:t>年占比</w:t>
            </w:r>
            <w:r>
              <w:rPr>
                <w:rFonts w:ascii="仿宋_GB2312" w:eastAsia="仿宋_GB2312" w:hAnsi="仿宋_GB2312" w:cs="仿宋_GB2312" w:hint="eastAsia"/>
                <w:b/>
                <w:bCs/>
                <w:color w:val="000000"/>
                <w:kern w:val="0"/>
                <w:sz w:val="28"/>
                <w:szCs w:val="28"/>
              </w:rPr>
              <w:t>%</w:t>
            </w:r>
          </w:p>
        </w:tc>
        <w:tc>
          <w:tcPr>
            <w:tcW w:w="1080" w:type="dxa"/>
            <w:tcBorders>
              <w:top w:val="single" w:sz="12" w:space="0" w:color="000000"/>
              <w:left w:val="single" w:sz="4" w:space="0" w:color="000000"/>
              <w:bottom w:val="single" w:sz="12" w:space="0" w:color="000000"/>
              <w:right w:val="nil"/>
            </w:tcBorders>
            <w:shd w:val="clear" w:color="auto" w:fill="auto"/>
            <w:tcMar>
              <w:top w:w="15" w:type="dxa"/>
              <w:left w:w="15" w:type="dxa"/>
              <w:right w:w="15" w:type="dxa"/>
            </w:tcMar>
            <w:vAlign w:val="center"/>
          </w:tcPr>
          <w:p w:rsidR="005307DF" w:rsidRDefault="00BA47A2">
            <w:pPr>
              <w:widowControl/>
              <w:spacing w:line="4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2013</w:t>
            </w:r>
            <w:r>
              <w:rPr>
                <w:rFonts w:ascii="仿宋_GB2312" w:eastAsia="仿宋_GB2312" w:hAnsi="仿宋_GB2312" w:cs="仿宋_GB2312" w:hint="eastAsia"/>
                <w:b/>
                <w:bCs/>
                <w:color w:val="000000"/>
                <w:kern w:val="0"/>
                <w:sz w:val="28"/>
                <w:szCs w:val="28"/>
              </w:rPr>
              <w:t>年占比</w:t>
            </w:r>
            <w:r>
              <w:rPr>
                <w:rFonts w:ascii="仿宋_GB2312" w:eastAsia="仿宋_GB2312" w:hAnsi="仿宋_GB2312" w:cs="仿宋_GB2312" w:hint="eastAsia"/>
                <w:b/>
                <w:bCs/>
                <w:color w:val="000000"/>
                <w:kern w:val="0"/>
                <w:sz w:val="28"/>
                <w:szCs w:val="28"/>
              </w:rPr>
              <w:t>%</w:t>
            </w:r>
          </w:p>
        </w:tc>
      </w:tr>
      <w:tr w:rsidR="005307DF">
        <w:trPr>
          <w:trHeight w:hRule="exact" w:val="567"/>
        </w:trPr>
        <w:tc>
          <w:tcPr>
            <w:tcW w:w="2088" w:type="dxa"/>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合计</w:t>
            </w:r>
          </w:p>
        </w:tc>
        <w:tc>
          <w:tcPr>
            <w:tcW w:w="1637"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515.54</w:t>
            </w:r>
          </w:p>
        </w:tc>
        <w:tc>
          <w:tcPr>
            <w:tcW w:w="1627"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265.73</w:t>
            </w:r>
          </w:p>
        </w:tc>
        <w:tc>
          <w:tcPr>
            <w:tcW w:w="1092"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94.0 </w:t>
            </w:r>
          </w:p>
        </w:tc>
        <w:tc>
          <w:tcPr>
            <w:tcW w:w="1104"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100.0 </w:t>
            </w:r>
          </w:p>
        </w:tc>
        <w:tc>
          <w:tcPr>
            <w:tcW w:w="1080" w:type="dxa"/>
            <w:tcBorders>
              <w:top w:val="single" w:sz="12"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100.0 </w:t>
            </w:r>
          </w:p>
        </w:tc>
      </w:tr>
      <w:tr w:rsidR="005307DF">
        <w:trPr>
          <w:trHeight w:hRule="exact" w:val="567"/>
        </w:trPr>
        <w:tc>
          <w:tcPr>
            <w:tcW w:w="208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房地产开发经营</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500.87</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254.30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97.0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97.2 </w:t>
            </w:r>
          </w:p>
        </w:tc>
        <w:tc>
          <w:tcPr>
            <w:tcW w:w="108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95.7 </w:t>
            </w:r>
          </w:p>
        </w:tc>
      </w:tr>
      <w:tr w:rsidR="005307DF">
        <w:trPr>
          <w:trHeight w:hRule="exact" w:val="567"/>
        </w:trPr>
        <w:tc>
          <w:tcPr>
            <w:tcW w:w="208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物业管理</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8.35</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3.34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150.0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1.6 </w:t>
            </w:r>
          </w:p>
        </w:tc>
        <w:tc>
          <w:tcPr>
            <w:tcW w:w="108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1.3 </w:t>
            </w:r>
          </w:p>
        </w:tc>
      </w:tr>
      <w:tr w:rsidR="005307DF">
        <w:trPr>
          <w:trHeight w:hRule="exact" w:val="567"/>
        </w:trPr>
        <w:tc>
          <w:tcPr>
            <w:tcW w:w="208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房地产中介服务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0.26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561.5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0.3 </w:t>
            </w:r>
          </w:p>
        </w:tc>
        <w:tc>
          <w:tcPr>
            <w:tcW w:w="108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0.1 </w:t>
            </w:r>
          </w:p>
        </w:tc>
      </w:tr>
      <w:tr w:rsidR="005307DF">
        <w:trPr>
          <w:trHeight w:hRule="exact" w:val="567"/>
        </w:trPr>
        <w:tc>
          <w:tcPr>
            <w:tcW w:w="2088"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房地产租赁经营</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4.60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3.84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19.8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0.9 </w:t>
            </w:r>
          </w:p>
        </w:tc>
        <w:tc>
          <w:tcPr>
            <w:tcW w:w="108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1.4 </w:t>
            </w:r>
          </w:p>
        </w:tc>
      </w:tr>
      <w:tr w:rsidR="005307DF">
        <w:trPr>
          <w:trHeight w:hRule="exact" w:val="567"/>
        </w:trPr>
        <w:tc>
          <w:tcPr>
            <w:tcW w:w="2088" w:type="dxa"/>
            <w:tcBorders>
              <w:top w:val="single" w:sz="4" w:space="0" w:color="000000"/>
              <w:left w:val="nil"/>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其他房地产业</w:t>
            </w:r>
          </w:p>
        </w:tc>
        <w:tc>
          <w:tcPr>
            <w:tcW w:w="1637"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0.00 </w:t>
            </w:r>
          </w:p>
        </w:tc>
        <w:tc>
          <w:tcPr>
            <w:tcW w:w="1627"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3.99</w:t>
            </w:r>
          </w:p>
        </w:tc>
        <w:tc>
          <w:tcPr>
            <w:tcW w:w="1092"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-100.0 </w:t>
            </w:r>
          </w:p>
        </w:tc>
        <w:tc>
          <w:tcPr>
            <w:tcW w:w="1104"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0.0 </w:t>
            </w:r>
          </w:p>
        </w:tc>
        <w:tc>
          <w:tcPr>
            <w:tcW w:w="1080" w:type="dxa"/>
            <w:tcBorders>
              <w:top w:val="single" w:sz="4" w:space="0" w:color="000000"/>
              <w:left w:val="single" w:sz="4" w:space="0" w:color="000000"/>
              <w:bottom w:val="single" w:sz="12" w:space="0" w:color="000000"/>
              <w:right w:val="nil"/>
            </w:tcBorders>
            <w:shd w:val="clear" w:color="auto" w:fill="auto"/>
            <w:tcMar>
              <w:top w:w="15" w:type="dxa"/>
              <w:left w:w="15" w:type="dxa"/>
              <w:right w:w="15" w:type="dxa"/>
            </w:tcMar>
            <w:vAlign w:val="center"/>
          </w:tcPr>
          <w:p w:rsidR="005307DF" w:rsidRDefault="00BA47A2">
            <w:pPr>
              <w:widowControl/>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1.5 </w:t>
            </w:r>
          </w:p>
        </w:tc>
      </w:tr>
    </w:tbl>
    <w:p w:rsidR="005307DF" w:rsidRDefault="00BA47A2" w:rsidP="007952FF">
      <w:pPr>
        <w:wordWrap w:val="0"/>
        <w:spacing w:beforeLines="50" w:line="580" w:lineRule="exact"/>
        <w:ind w:firstLineChars="200" w:firstLine="640"/>
        <w:rPr>
          <w:rFonts w:ascii="楷体" w:eastAsia="楷体" w:hAnsi="楷体" w:cstheme="minorEastAsia"/>
          <w:kern w:val="0"/>
          <w:sz w:val="32"/>
          <w:szCs w:val="32"/>
        </w:rPr>
      </w:pPr>
      <w:r>
        <w:rPr>
          <w:rFonts w:ascii="楷体" w:eastAsia="楷体" w:hAnsi="楷体" w:cstheme="minorEastAsia" w:hint="eastAsia"/>
          <w:kern w:val="0"/>
          <w:sz w:val="32"/>
          <w:szCs w:val="32"/>
        </w:rPr>
        <w:t>（四）营业收入高速增长</w:t>
      </w:r>
    </w:p>
    <w:p w:rsidR="005307DF" w:rsidRDefault="00BA47A2">
      <w:pPr>
        <w:wordWrap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年末，全市房地产企业法人单位的营业收入</w:t>
      </w:r>
      <w:r>
        <w:rPr>
          <w:rFonts w:ascii="Times New Roman" w:eastAsia="仿宋_GB2312" w:hAnsi="Times New Roman"/>
          <w:kern w:val="0"/>
          <w:sz w:val="32"/>
          <w:szCs w:val="32"/>
          <w:vertAlign w:val="superscript"/>
        </w:rPr>
        <w:t>*</w:t>
      </w:r>
      <w:r>
        <w:rPr>
          <w:rFonts w:ascii="Times New Roman" w:eastAsia="仿宋_GB2312" w:hAnsi="Times New Roman"/>
          <w:kern w:val="0"/>
          <w:sz w:val="32"/>
          <w:szCs w:val="32"/>
        </w:rPr>
        <w:t>91.97</w:t>
      </w:r>
      <w:r>
        <w:rPr>
          <w:rFonts w:ascii="Times New Roman" w:eastAsia="仿宋_GB2312" w:hAnsi="Times New Roman"/>
          <w:kern w:val="0"/>
          <w:sz w:val="32"/>
          <w:szCs w:val="32"/>
        </w:rPr>
        <w:t>亿元，比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146.8%</w:t>
      </w:r>
      <w:r>
        <w:rPr>
          <w:rFonts w:ascii="Times New Roman" w:eastAsia="仿宋_GB2312" w:hAnsi="Times New Roman"/>
          <w:kern w:val="0"/>
          <w:sz w:val="32"/>
          <w:szCs w:val="32"/>
        </w:rPr>
        <w:t>。其中房地产开发经营企业</w:t>
      </w:r>
      <w:r>
        <w:rPr>
          <w:rFonts w:ascii="Times New Roman" w:eastAsia="仿宋_GB2312" w:hAnsi="Times New Roman"/>
          <w:kern w:val="0"/>
          <w:sz w:val="32"/>
          <w:szCs w:val="32"/>
        </w:rPr>
        <w:t>81.53</w:t>
      </w:r>
      <w:r>
        <w:rPr>
          <w:rFonts w:ascii="Times New Roman" w:eastAsia="仿宋_GB2312" w:hAnsi="Times New Roman"/>
          <w:kern w:val="0"/>
          <w:sz w:val="32"/>
          <w:szCs w:val="32"/>
        </w:rPr>
        <w:t>亿元，占</w:t>
      </w:r>
      <w:r>
        <w:rPr>
          <w:rFonts w:ascii="Times New Roman" w:eastAsia="仿宋_GB2312" w:hAnsi="Times New Roman"/>
          <w:kern w:val="0"/>
          <w:sz w:val="32"/>
          <w:szCs w:val="32"/>
        </w:rPr>
        <w:t>88.6%</w:t>
      </w:r>
      <w:r>
        <w:rPr>
          <w:rFonts w:ascii="Times New Roman" w:eastAsia="仿宋_GB2312" w:hAnsi="Times New Roman"/>
          <w:kern w:val="0"/>
          <w:sz w:val="32"/>
          <w:szCs w:val="32"/>
        </w:rPr>
        <w:t>（详见图</w:t>
      </w:r>
      <w:r>
        <w:rPr>
          <w:rFonts w:ascii="Times New Roman" w:eastAsia="仿宋_GB2312" w:hAnsi="Times New Roman"/>
          <w:kern w:val="0"/>
          <w:sz w:val="32"/>
          <w:szCs w:val="32"/>
        </w:rPr>
        <w:t>1</w:t>
      </w:r>
      <w:r>
        <w:rPr>
          <w:rFonts w:ascii="Times New Roman" w:eastAsia="仿宋_GB2312" w:hAnsi="Times New Roman"/>
          <w:kern w:val="0"/>
          <w:sz w:val="32"/>
          <w:szCs w:val="32"/>
        </w:rPr>
        <w:t>）。</w:t>
      </w:r>
    </w:p>
    <w:p w:rsidR="005307DF" w:rsidRDefault="00BA47A2">
      <w:pPr>
        <w:widowControl/>
        <w:wordWrap w:val="0"/>
        <w:jc w:val="center"/>
      </w:pPr>
      <w:r>
        <w:rPr>
          <w:noProof/>
        </w:rPr>
        <w:lastRenderedPageBreak/>
        <w:drawing>
          <wp:inline distT="0" distB="0" distL="114300" distR="114300">
            <wp:extent cx="4686935" cy="2752725"/>
            <wp:effectExtent l="4445" t="5080" r="1778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07DF" w:rsidRDefault="00BA47A2">
      <w:pPr>
        <w:widowControl/>
        <w:wordWrap w:val="0"/>
        <w:jc w:val="center"/>
        <w:rPr>
          <w:rFonts w:ascii="楷体" w:eastAsia="楷体" w:hAnsi="楷体" w:cs="楷体"/>
          <w:sz w:val="30"/>
          <w:szCs w:val="30"/>
        </w:rPr>
      </w:pPr>
      <w:r>
        <w:rPr>
          <w:rFonts w:ascii="楷体" w:eastAsia="楷体" w:hAnsi="楷体" w:cs="楷体" w:hint="eastAsia"/>
          <w:sz w:val="30"/>
          <w:szCs w:val="30"/>
        </w:rPr>
        <w:t>图</w:t>
      </w:r>
      <w:r>
        <w:rPr>
          <w:rFonts w:ascii="楷体" w:eastAsia="楷体" w:hAnsi="楷体" w:cs="楷体" w:hint="eastAsia"/>
          <w:sz w:val="30"/>
          <w:szCs w:val="30"/>
        </w:rPr>
        <w:t>1 2018</w:t>
      </w:r>
      <w:r>
        <w:rPr>
          <w:rFonts w:ascii="楷体" w:eastAsia="楷体" w:hAnsi="楷体" w:cs="楷体" w:hint="eastAsia"/>
          <w:sz w:val="30"/>
          <w:szCs w:val="30"/>
        </w:rPr>
        <w:t>年房地产企业法人单位营业收入分布情况</w:t>
      </w:r>
    </w:p>
    <w:p w:rsidR="005307DF" w:rsidRDefault="00BA47A2">
      <w:pPr>
        <w:wordWrap w:val="0"/>
        <w:spacing w:line="58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五</w:t>
      </w:r>
      <w:r>
        <w:rPr>
          <w:rFonts w:ascii="楷体" w:eastAsia="楷体" w:hAnsi="楷体" w:cs="楷体" w:hint="eastAsia"/>
          <w:kern w:val="0"/>
          <w:sz w:val="32"/>
          <w:szCs w:val="32"/>
        </w:rPr>
        <w:t>）</w:t>
      </w:r>
      <w:r>
        <w:rPr>
          <w:rFonts w:ascii="楷体" w:eastAsia="楷体" w:hAnsi="楷体" w:cs="楷体" w:hint="eastAsia"/>
          <w:kern w:val="0"/>
          <w:sz w:val="32"/>
          <w:szCs w:val="32"/>
        </w:rPr>
        <w:t>房地产税收占比增加</w:t>
      </w:r>
    </w:p>
    <w:p w:rsidR="005307DF" w:rsidRDefault="00BA47A2" w:rsidP="007952FF">
      <w:pPr>
        <w:wordWrap w:val="0"/>
        <w:spacing w:afterLines="30" w:line="560" w:lineRule="exact"/>
        <w:ind w:firstLineChars="200" w:firstLine="640"/>
        <w:rPr>
          <w:rFonts w:ascii="楷体" w:eastAsia="楷体" w:hAnsi="楷体" w:cstheme="minorEastAsia"/>
          <w:b/>
          <w:bCs/>
          <w:color w:val="0000FF"/>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年，全市房地产企业法人单位缴纳税收</w:t>
      </w:r>
      <w:r>
        <w:rPr>
          <w:rFonts w:ascii="Times New Roman" w:eastAsia="仿宋_GB2312" w:hAnsi="Times New Roman"/>
          <w:kern w:val="0"/>
          <w:sz w:val="32"/>
          <w:szCs w:val="32"/>
          <w:vertAlign w:val="superscript"/>
        </w:rPr>
        <w:t>*</w:t>
      </w:r>
      <w:r>
        <w:rPr>
          <w:rFonts w:ascii="Times New Roman" w:eastAsia="仿宋_GB2312" w:hAnsi="Times New Roman"/>
          <w:kern w:val="0"/>
          <w:sz w:val="32"/>
          <w:szCs w:val="32"/>
        </w:rPr>
        <w:t>11.00</w:t>
      </w:r>
      <w:r>
        <w:rPr>
          <w:rFonts w:ascii="Times New Roman" w:eastAsia="仿宋_GB2312" w:hAnsi="Times New Roman"/>
          <w:kern w:val="0"/>
          <w:sz w:val="32"/>
          <w:szCs w:val="32"/>
        </w:rPr>
        <w:t>亿元，比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45.7%</w:t>
      </w:r>
      <w:r>
        <w:rPr>
          <w:rFonts w:ascii="Times New Roman" w:eastAsia="仿宋_GB2312" w:hAnsi="Times New Roman"/>
          <w:kern w:val="0"/>
          <w:sz w:val="32"/>
          <w:szCs w:val="32"/>
        </w:rPr>
        <w:t>，年均增长</w:t>
      </w:r>
      <w:r>
        <w:rPr>
          <w:rFonts w:ascii="Times New Roman" w:eastAsia="仿宋_GB2312" w:hAnsi="Times New Roman"/>
          <w:kern w:val="0"/>
          <w:sz w:val="32"/>
          <w:szCs w:val="32"/>
        </w:rPr>
        <w:t>7.8%</w:t>
      </w:r>
      <w:r>
        <w:rPr>
          <w:rFonts w:ascii="Times New Roman" w:eastAsia="仿宋_GB2312" w:hAnsi="Times New Roman"/>
          <w:kern w:val="0"/>
          <w:sz w:val="32"/>
          <w:szCs w:val="32"/>
        </w:rPr>
        <w:t>，占全市税收收入</w:t>
      </w:r>
      <w:r>
        <w:rPr>
          <w:rFonts w:ascii="Times New Roman" w:eastAsia="仿宋_GB2312" w:hAnsi="Times New Roman"/>
          <w:kern w:val="0"/>
          <w:sz w:val="32"/>
          <w:szCs w:val="32"/>
        </w:rPr>
        <w:t>15.3%</w:t>
      </w:r>
      <w:r>
        <w:rPr>
          <w:rFonts w:ascii="Times New Roman" w:eastAsia="仿宋_GB2312" w:hAnsi="Times New Roman"/>
          <w:kern w:val="0"/>
          <w:sz w:val="32"/>
          <w:szCs w:val="32"/>
        </w:rPr>
        <w:t>，比</w:t>
      </w:r>
      <w:r>
        <w:rPr>
          <w:rFonts w:ascii="Times New Roman" w:eastAsia="仿宋_GB2312" w:hAnsi="Times New Roman"/>
          <w:kern w:val="0"/>
          <w:sz w:val="32"/>
          <w:szCs w:val="32"/>
        </w:rPr>
        <w:t>2013</w:t>
      </w:r>
      <w:r>
        <w:rPr>
          <w:rFonts w:ascii="Times New Roman" w:eastAsia="仿宋_GB2312" w:hAnsi="Times New Roman"/>
          <w:kern w:val="0"/>
          <w:sz w:val="32"/>
          <w:szCs w:val="32"/>
        </w:rPr>
        <w:t>年增加</w:t>
      </w:r>
      <w:r>
        <w:rPr>
          <w:rFonts w:ascii="Times New Roman" w:eastAsia="仿宋_GB2312" w:hAnsi="Times New Roman"/>
          <w:kern w:val="0"/>
          <w:sz w:val="32"/>
          <w:szCs w:val="32"/>
        </w:rPr>
        <w:t>3.9</w:t>
      </w:r>
      <w:r>
        <w:rPr>
          <w:rFonts w:ascii="Times New Roman" w:eastAsia="仿宋_GB2312" w:hAnsi="Times New Roman"/>
          <w:kern w:val="0"/>
          <w:sz w:val="32"/>
          <w:szCs w:val="32"/>
        </w:rPr>
        <w:t>个百分点，有效拉动全市税收收入增长。</w:t>
      </w:r>
    </w:p>
    <w:p w:rsidR="005307DF" w:rsidRDefault="00BA47A2">
      <w:pPr>
        <w:widowControl/>
        <w:wordWrap w:val="0"/>
        <w:jc w:val="center"/>
        <w:rPr>
          <w:rFonts w:ascii="楷体" w:eastAsia="楷体" w:hAnsi="楷体" w:cstheme="minorEastAsia"/>
          <w:b/>
          <w:bCs/>
          <w:kern w:val="0"/>
          <w:sz w:val="32"/>
          <w:szCs w:val="32"/>
        </w:rPr>
      </w:pPr>
      <w:r>
        <w:rPr>
          <w:noProof/>
        </w:rPr>
        <w:drawing>
          <wp:inline distT="0" distB="0" distL="114300" distR="114300">
            <wp:extent cx="4975225" cy="2933065"/>
            <wp:effectExtent l="4445" t="4445" r="19050"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07DF" w:rsidRDefault="00BA47A2">
      <w:pPr>
        <w:widowControl/>
        <w:wordWrap w:val="0"/>
        <w:jc w:val="center"/>
        <w:rPr>
          <w:rFonts w:ascii="楷体" w:eastAsia="楷体" w:hAnsi="楷体" w:cstheme="minorEastAsia"/>
          <w:b/>
          <w:bCs/>
          <w:kern w:val="0"/>
          <w:sz w:val="32"/>
          <w:szCs w:val="32"/>
        </w:rPr>
      </w:pPr>
      <w:r>
        <w:rPr>
          <w:rFonts w:ascii="楷体" w:eastAsia="楷体" w:hAnsi="楷体" w:cs="楷体" w:hint="eastAsia"/>
          <w:sz w:val="30"/>
          <w:szCs w:val="30"/>
        </w:rPr>
        <w:t>图</w:t>
      </w:r>
      <w:r>
        <w:rPr>
          <w:rFonts w:ascii="楷体" w:eastAsia="楷体" w:hAnsi="楷体" w:cs="楷体" w:hint="eastAsia"/>
          <w:sz w:val="30"/>
          <w:szCs w:val="30"/>
        </w:rPr>
        <w:t>2</w:t>
      </w:r>
      <w:r w:rsidR="007952FF">
        <w:rPr>
          <w:rFonts w:ascii="楷体" w:eastAsia="楷体" w:hAnsi="楷体" w:cs="楷体" w:hint="eastAsia"/>
          <w:sz w:val="30"/>
          <w:szCs w:val="30"/>
        </w:rPr>
        <w:t xml:space="preserve"> </w:t>
      </w:r>
      <w:r>
        <w:rPr>
          <w:rFonts w:ascii="楷体" w:eastAsia="楷体" w:hAnsi="楷体" w:cs="楷体" w:hint="eastAsia"/>
          <w:sz w:val="30"/>
          <w:szCs w:val="30"/>
        </w:rPr>
        <w:t>2013-2018</w:t>
      </w:r>
      <w:r>
        <w:rPr>
          <w:rFonts w:ascii="楷体" w:eastAsia="楷体" w:hAnsi="楷体" w:cs="楷体" w:hint="eastAsia"/>
          <w:sz w:val="30"/>
          <w:szCs w:val="30"/>
        </w:rPr>
        <w:t>年</w:t>
      </w:r>
      <w:r>
        <w:rPr>
          <w:rFonts w:ascii="楷体" w:eastAsia="楷体" w:hAnsi="楷体" w:cs="楷体" w:hint="eastAsia"/>
          <w:sz w:val="30"/>
          <w:szCs w:val="30"/>
        </w:rPr>
        <w:t>房地产企业法人单位税收</w:t>
      </w:r>
      <w:r>
        <w:rPr>
          <w:rFonts w:ascii="楷体" w:eastAsia="楷体" w:hAnsi="楷体" w:cs="楷体" w:hint="eastAsia"/>
          <w:sz w:val="30"/>
          <w:szCs w:val="30"/>
        </w:rPr>
        <w:t>情况</w:t>
      </w:r>
    </w:p>
    <w:p w:rsidR="005307DF" w:rsidRDefault="00BA47A2">
      <w:pPr>
        <w:widowControl/>
        <w:wordWrap w:val="0"/>
        <w:spacing w:line="540" w:lineRule="exact"/>
        <w:ind w:firstLineChars="200" w:firstLine="640"/>
        <w:rPr>
          <w:rFonts w:ascii="楷体" w:eastAsia="楷体" w:hAnsi="楷体" w:cstheme="minorEastAsia"/>
          <w:kern w:val="0"/>
          <w:sz w:val="32"/>
          <w:szCs w:val="32"/>
        </w:rPr>
      </w:pPr>
      <w:r>
        <w:rPr>
          <w:rFonts w:ascii="楷体" w:eastAsia="楷体" w:hAnsi="楷体" w:cstheme="minorEastAsia" w:hint="eastAsia"/>
          <w:kern w:val="0"/>
          <w:sz w:val="32"/>
          <w:szCs w:val="32"/>
        </w:rPr>
        <w:lastRenderedPageBreak/>
        <w:t>（</w:t>
      </w:r>
      <w:r>
        <w:rPr>
          <w:rFonts w:ascii="楷体" w:eastAsia="楷体" w:hAnsi="楷体" w:cstheme="minorEastAsia" w:hint="eastAsia"/>
          <w:kern w:val="0"/>
          <w:sz w:val="32"/>
          <w:szCs w:val="32"/>
        </w:rPr>
        <w:t>六</w:t>
      </w:r>
      <w:r>
        <w:rPr>
          <w:rFonts w:ascii="楷体" w:eastAsia="楷体" w:hAnsi="楷体" w:cstheme="minorEastAsia" w:hint="eastAsia"/>
          <w:kern w:val="0"/>
          <w:sz w:val="32"/>
          <w:szCs w:val="32"/>
        </w:rPr>
        <w:t>）商品房销售面积较快增长</w:t>
      </w:r>
    </w:p>
    <w:p w:rsidR="005307DF" w:rsidRDefault="00BA47A2">
      <w:pPr>
        <w:widowControl/>
        <w:wordWrap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年，全市商品房销售面积</w:t>
      </w:r>
      <w:r>
        <w:rPr>
          <w:rFonts w:ascii="Times New Roman" w:eastAsia="仿宋_GB2312" w:hAnsi="Times New Roman"/>
          <w:kern w:val="0"/>
          <w:sz w:val="32"/>
          <w:szCs w:val="32"/>
          <w:vertAlign w:val="superscript"/>
        </w:rPr>
        <w:t>[1]</w:t>
      </w:r>
      <w:r>
        <w:rPr>
          <w:rFonts w:ascii="Times New Roman" w:eastAsia="仿宋_GB2312" w:hAnsi="Times New Roman"/>
          <w:kern w:val="0"/>
          <w:sz w:val="32"/>
          <w:szCs w:val="32"/>
        </w:rPr>
        <w:t>139.94</w:t>
      </w:r>
      <w:r>
        <w:rPr>
          <w:rFonts w:ascii="Times New Roman" w:eastAsia="仿宋_GB2312" w:hAnsi="Times New Roman"/>
          <w:kern w:val="0"/>
          <w:sz w:val="32"/>
          <w:szCs w:val="32"/>
        </w:rPr>
        <w:t>万平方米，比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42.0%</w:t>
      </w:r>
      <w:r>
        <w:rPr>
          <w:rFonts w:ascii="Times New Roman" w:eastAsia="仿宋_GB2312" w:hAnsi="Times New Roman"/>
          <w:kern w:val="0"/>
          <w:sz w:val="32"/>
          <w:szCs w:val="32"/>
        </w:rPr>
        <w:t>，其中，住宅销售面积</w:t>
      </w:r>
      <w:r>
        <w:rPr>
          <w:rFonts w:ascii="Times New Roman" w:eastAsia="仿宋_GB2312" w:hAnsi="Times New Roman"/>
          <w:kern w:val="0"/>
          <w:sz w:val="32"/>
          <w:szCs w:val="32"/>
        </w:rPr>
        <w:t>124.92</w:t>
      </w:r>
      <w:r>
        <w:rPr>
          <w:rFonts w:ascii="Times New Roman" w:eastAsia="仿宋_GB2312" w:hAnsi="Times New Roman"/>
          <w:kern w:val="0"/>
          <w:sz w:val="32"/>
          <w:szCs w:val="32"/>
        </w:rPr>
        <w:t>万平方米，占商品房销售面积的比重为</w:t>
      </w:r>
      <w:r>
        <w:rPr>
          <w:rFonts w:ascii="Times New Roman" w:eastAsia="仿宋_GB2312" w:hAnsi="Times New Roman"/>
          <w:kern w:val="0"/>
          <w:sz w:val="32"/>
          <w:szCs w:val="32"/>
        </w:rPr>
        <w:t>89.3%</w:t>
      </w:r>
      <w:r>
        <w:rPr>
          <w:rFonts w:ascii="Times New Roman" w:eastAsia="仿宋_GB2312" w:hAnsi="Times New Roman"/>
          <w:kern w:val="0"/>
          <w:sz w:val="32"/>
          <w:szCs w:val="32"/>
        </w:rPr>
        <w:t>。四经普期间共销售商品房</w:t>
      </w:r>
      <w:r>
        <w:rPr>
          <w:rFonts w:ascii="Times New Roman" w:eastAsia="仿宋_GB2312" w:hAnsi="Times New Roman"/>
          <w:kern w:val="0"/>
          <w:sz w:val="32"/>
          <w:szCs w:val="32"/>
        </w:rPr>
        <w:t>510.09</w:t>
      </w:r>
      <w:r>
        <w:rPr>
          <w:rFonts w:ascii="Times New Roman" w:eastAsia="仿宋_GB2312" w:hAnsi="Times New Roman"/>
          <w:kern w:val="0"/>
          <w:sz w:val="32"/>
          <w:szCs w:val="32"/>
        </w:rPr>
        <w:t>万平方米，比三经普期间商品房总销售面积增加</w:t>
      </w:r>
      <w:r>
        <w:rPr>
          <w:rFonts w:ascii="Times New Roman" w:eastAsia="仿宋_GB2312" w:hAnsi="Times New Roman"/>
          <w:kern w:val="0"/>
          <w:sz w:val="32"/>
          <w:szCs w:val="32"/>
        </w:rPr>
        <w:t>165.54</w:t>
      </w:r>
      <w:r>
        <w:rPr>
          <w:rFonts w:ascii="Times New Roman" w:eastAsia="仿宋_GB2312" w:hAnsi="Times New Roman"/>
          <w:kern w:val="0"/>
          <w:sz w:val="32"/>
          <w:szCs w:val="32"/>
        </w:rPr>
        <w:t>万平方米，增长</w:t>
      </w:r>
      <w:r>
        <w:rPr>
          <w:rFonts w:ascii="Times New Roman" w:eastAsia="仿宋_GB2312" w:hAnsi="Times New Roman"/>
          <w:kern w:val="0"/>
          <w:sz w:val="32"/>
          <w:szCs w:val="32"/>
        </w:rPr>
        <w:t>47.9%</w:t>
      </w:r>
      <w:r>
        <w:rPr>
          <w:rFonts w:ascii="Times New Roman" w:eastAsia="仿宋_GB2312" w:hAnsi="Times New Roman"/>
          <w:kern w:val="0"/>
          <w:sz w:val="32"/>
          <w:szCs w:val="32"/>
        </w:rPr>
        <w:t>。</w:t>
      </w:r>
    </w:p>
    <w:p w:rsidR="005307DF" w:rsidRDefault="00BA47A2">
      <w:pPr>
        <w:widowControl/>
        <w:wordWrap w:val="0"/>
        <w:jc w:val="center"/>
      </w:pPr>
      <w:r>
        <w:rPr>
          <w:noProof/>
        </w:rPr>
        <w:drawing>
          <wp:inline distT="0" distB="0" distL="114300" distR="114300">
            <wp:extent cx="5385435" cy="2986405"/>
            <wp:effectExtent l="4445" t="4445" r="5080" b="1143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07DF" w:rsidRDefault="00BA47A2">
      <w:pPr>
        <w:widowControl/>
        <w:wordWrap w:val="0"/>
        <w:spacing w:line="600" w:lineRule="exact"/>
        <w:jc w:val="center"/>
        <w:rPr>
          <w:rFonts w:ascii="楷体" w:eastAsia="楷体" w:hAnsi="楷体" w:cs="楷体"/>
          <w:sz w:val="30"/>
          <w:szCs w:val="30"/>
        </w:rPr>
      </w:pPr>
      <w:r>
        <w:rPr>
          <w:rFonts w:ascii="楷体" w:eastAsia="楷体" w:hAnsi="楷体" w:cs="楷体" w:hint="eastAsia"/>
          <w:sz w:val="30"/>
          <w:szCs w:val="30"/>
        </w:rPr>
        <w:t>图</w:t>
      </w:r>
      <w:r>
        <w:rPr>
          <w:rFonts w:ascii="楷体" w:eastAsia="楷体" w:hAnsi="楷体" w:cs="楷体" w:hint="eastAsia"/>
          <w:sz w:val="30"/>
          <w:szCs w:val="30"/>
        </w:rPr>
        <w:t xml:space="preserve">3 </w:t>
      </w:r>
      <w:r>
        <w:rPr>
          <w:rFonts w:ascii="楷体" w:eastAsia="楷体" w:hAnsi="楷体" w:cs="楷体" w:hint="eastAsia"/>
          <w:sz w:val="30"/>
          <w:szCs w:val="30"/>
        </w:rPr>
        <w:t>2013-2018</w:t>
      </w:r>
      <w:r>
        <w:rPr>
          <w:rFonts w:ascii="楷体" w:eastAsia="楷体" w:hAnsi="楷体" w:cs="楷体" w:hint="eastAsia"/>
          <w:sz w:val="30"/>
          <w:szCs w:val="30"/>
        </w:rPr>
        <w:t>年房地产开发企业商品房销售面积变化情况</w:t>
      </w:r>
    </w:p>
    <w:p w:rsidR="005307DF" w:rsidRDefault="00BA47A2" w:rsidP="007952FF">
      <w:pPr>
        <w:widowControl/>
        <w:wordWrap w:val="0"/>
        <w:spacing w:beforeLines="50" w:line="600" w:lineRule="exact"/>
        <w:ind w:firstLineChars="200" w:firstLine="643"/>
        <w:rPr>
          <w:rFonts w:ascii="楷体" w:eastAsia="楷体" w:hAnsi="楷体" w:cstheme="minorEastAsia"/>
          <w:b/>
          <w:bCs/>
          <w:kern w:val="0"/>
          <w:sz w:val="32"/>
          <w:szCs w:val="32"/>
        </w:rPr>
      </w:pPr>
      <w:r>
        <w:rPr>
          <w:rFonts w:ascii="楷体" w:eastAsia="楷体" w:hAnsi="楷体" w:cstheme="minorEastAsia" w:hint="eastAsia"/>
          <w:b/>
          <w:bCs/>
          <w:kern w:val="0"/>
          <w:sz w:val="32"/>
          <w:szCs w:val="32"/>
        </w:rPr>
        <w:t>（</w:t>
      </w:r>
      <w:r>
        <w:rPr>
          <w:rFonts w:ascii="楷体" w:eastAsia="楷体" w:hAnsi="楷体" w:cstheme="minorEastAsia" w:hint="eastAsia"/>
          <w:b/>
          <w:bCs/>
          <w:kern w:val="0"/>
          <w:sz w:val="32"/>
          <w:szCs w:val="32"/>
        </w:rPr>
        <w:t>七</w:t>
      </w:r>
      <w:r>
        <w:rPr>
          <w:rFonts w:ascii="楷体" w:eastAsia="楷体" w:hAnsi="楷体" w:cstheme="minorEastAsia" w:hint="eastAsia"/>
          <w:b/>
          <w:bCs/>
          <w:kern w:val="0"/>
          <w:sz w:val="32"/>
          <w:szCs w:val="32"/>
        </w:rPr>
        <w:t>）房地产施工规模总体扩大。</w:t>
      </w:r>
    </w:p>
    <w:p w:rsidR="005307DF" w:rsidRDefault="00BA47A2">
      <w:pPr>
        <w:widowControl/>
        <w:wordWrap w:val="0"/>
        <w:spacing w:line="600" w:lineRule="exact"/>
        <w:ind w:firstLineChars="200" w:firstLine="640"/>
        <w:rPr>
          <w:rFonts w:ascii="仿宋_GB2312" w:eastAsia="仿宋_GB2312" w:hAnsiTheme="minorEastAsia" w:cstheme="minorEastAsia"/>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年，房地产开发企业房屋施工面积</w:t>
      </w:r>
      <w:r>
        <w:rPr>
          <w:rFonts w:ascii="Times New Roman" w:eastAsia="仿宋_GB2312" w:hAnsi="Times New Roman"/>
          <w:kern w:val="0"/>
          <w:sz w:val="32"/>
          <w:szCs w:val="32"/>
        </w:rPr>
        <w:t>844.08</w:t>
      </w:r>
      <w:r>
        <w:rPr>
          <w:rFonts w:ascii="Times New Roman" w:eastAsia="仿宋_GB2312" w:hAnsi="Times New Roman"/>
          <w:kern w:val="0"/>
          <w:sz w:val="32"/>
          <w:szCs w:val="32"/>
        </w:rPr>
        <w:t>万平方米，比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13.7%</w:t>
      </w:r>
      <w:r>
        <w:rPr>
          <w:rFonts w:ascii="Times New Roman" w:eastAsia="仿宋_GB2312" w:hAnsi="Times New Roman"/>
          <w:kern w:val="0"/>
          <w:sz w:val="32"/>
          <w:szCs w:val="32"/>
        </w:rPr>
        <w:t>，其中，住宅施工面积</w:t>
      </w:r>
      <w:r>
        <w:rPr>
          <w:rFonts w:ascii="Times New Roman" w:eastAsia="仿宋_GB2312" w:hAnsi="Times New Roman"/>
          <w:kern w:val="0"/>
          <w:sz w:val="32"/>
          <w:szCs w:val="32"/>
        </w:rPr>
        <w:t>533.89</w:t>
      </w:r>
      <w:r>
        <w:rPr>
          <w:rFonts w:ascii="Times New Roman" w:eastAsia="仿宋_GB2312" w:hAnsi="Times New Roman"/>
          <w:kern w:val="0"/>
          <w:sz w:val="32"/>
          <w:szCs w:val="32"/>
        </w:rPr>
        <w:t>万平方米。房屋新开工面积</w:t>
      </w:r>
      <w:r>
        <w:rPr>
          <w:rFonts w:ascii="Times New Roman" w:eastAsia="仿宋_GB2312" w:hAnsi="Times New Roman"/>
          <w:kern w:val="0"/>
          <w:sz w:val="32"/>
          <w:szCs w:val="32"/>
        </w:rPr>
        <w:t>258.30</w:t>
      </w:r>
      <w:r>
        <w:rPr>
          <w:rFonts w:ascii="Times New Roman" w:eastAsia="仿宋_GB2312" w:hAnsi="Times New Roman"/>
          <w:kern w:val="0"/>
          <w:sz w:val="32"/>
          <w:szCs w:val="32"/>
        </w:rPr>
        <w:t>万平方米，比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29.5%</w:t>
      </w:r>
      <w:r>
        <w:rPr>
          <w:rFonts w:ascii="Times New Roman" w:eastAsia="仿宋_GB2312" w:hAnsi="Times New Roman"/>
          <w:kern w:val="0"/>
          <w:sz w:val="32"/>
          <w:szCs w:val="32"/>
        </w:rPr>
        <w:t>，其中，住宅新开工面积</w:t>
      </w:r>
      <w:r>
        <w:rPr>
          <w:rFonts w:ascii="Times New Roman" w:eastAsia="仿宋_GB2312" w:hAnsi="Times New Roman"/>
          <w:kern w:val="0"/>
          <w:sz w:val="32"/>
          <w:szCs w:val="32"/>
        </w:rPr>
        <w:t>214.22</w:t>
      </w:r>
      <w:r>
        <w:rPr>
          <w:rFonts w:ascii="Times New Roman" w:eastAsia="仿宋_GB2312" w:hAnsi="Times New Roman"/>
          <w:kern w:val="0"/>
          <w:sz w:val="32"/>
          <w:szCs w:val="32"/>
        </w:rPr>
        <w:t>万平方米。房屋竣工面积</w:t>
      </w:r>
      <w:r>
        <w:rPr>
          <w:rFonts w:ascii="Times New Roman" w:eastAsia="仿宋_GB2312" w:hAnsi="Times New Roman"/>
          <w:kern w:val="0"/>
          <w:sz w:val="32"/>
          <w:szCs w:val="32"/>
        </w:rPr>
        <w:t>110.46</w:t>
      </w:r>
      <w:r>
        <w:rPr>
          <w:rFonts w:ascii="Times New Roman" w:eastAsia="仿宋_GB2312" w:hAnsi="Times New Roman"/>
          <w:kern w:val="0"/>
          <w:sz w:val="32"/>
          <w:szCs w:val="32"/>
        </w:rPr>
        <w:t>万平方米，比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1.9%</w:t>
      </w:r>
      <w:r>
        <w:rPr>
          <w:rFonts w:ascii="Times New Roman" w:eastAsia="仿宋_GB2312" w:hAnsi="Times New Roman"/>
          <w:kern w:val="0"/>
          <w:sz w:val="32"/>
          <w:szCs w:val="32"/>
        </w:rPr>
        <w:t>，其中，住宅竣工面积</w:t>
      </w:r>
      <w:r>
        <w:rPr>
          <w:rFonts w:ascii="Times New Roman" w:eastAsia="仿宋_GB2312" w:hAnsi="Times New Roman"/>
          <w:kern w:val="0"/>
          <w:sz w:val="32"/>
          <w:szCs w:val="32"/>
        </w:rPr>
        <w:t>85.70</w:t>
      </w:r>
      <w:r>
        <w:rPr>
          <w:rFonts w:ascii="Times New Roman" w:eastAsia="仿宋_GB2312" w:hAnsi="Times New Roman"/>
          <w:kern w:val="0"/>
          <w:sz w:val="32"/>
          <w:szCs w:val="32"/>
        </w:rPr>
        <w:t>万平方米。</w:t>
      </w:r>
    </w:p>
    <w:p w:rsidR="005307DF" w:rsidRDefault="00BA47A2">
      <w:pPr>
        <w:widowControl/>
        <w:wordWrap w:val="0"/>
        <w:jc w:val="center"/>
      </w:pPr>
      <w:r>
        <w:rPr>
          <w:noProof/>
        </w:rPr>
        <w:lastRenderedPageBreak/>
        <w:drawing>
          <wp:inline distT="0" distB="0" distL="114300" distR="114300">
            <wp:extent cx="4845050" cy="2600325"/>
            <wp:effectExtent l="4445" t="4445" r="12065" b="1651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07DF" w:rsidRDefault="00BA47A2">
      <w:pPr>
        <w:widowControl/>
        <w:wordWrap w:val="0"/>
        <w:spacing w:line="540" w:lineRule="exact"/>
        <w:jc w:val="center"/>
        <w:rPr>
          <w:rFonts w:ascii="楷体" w:eastAsia="楷体" w:hAnsi="楷体" w:cs="楷体"/>
          <w:sz w:val="30"/>
          <w:szCs w:val="30"/>
        </w:rPr>
      </w:pPr>
      <w:r>
        <w:rPr>
          <w:rFonts w:ascii="楷体" w:eastAsia="楷体" w:hAnsi="楷体" w:cs="楷体" w:hint="eastAsia"/>
          <w:sz w:val="30"/>
          <w:szCs w:val="30"/>
        </w:rPr>
        <w:t>图</w:t>
      </w:r>
      <w:r>
        <w:rPr>
          <w:rFonts w:ascii="楷体" w:eastAsia="楷体" w:hAnsi="楷体" w:cs="楷体" w:hint="eastAsia"/>
          <w:sz w:val="30"/>
          <w:szCs w:val="30"/>
        </w:rPr>
        <w:t xml:space="preserve">4 </w:t>
      </w:r>
      <w:r>
        <w:rPr>
          <w:rFonts w:ascii="楷体" w:eastAsia="楷体" w:hAnsi="楷体" w:cs="楷体" w:hint="eastAsia"/>
          <w:sz w:val="30"/>
          <w:szCs w:val="30"/>
        </w:rPr>
        <w:t>2013-2018</w:t>
      </w:r>
      <w:r>
        <w:rPr>
          <w:rFonts w:ascii="楷体" w:eastAsia="楷体" w:hAnsi="楷体" w:cs="楷体" w:hint="eastAsia"/>
          <w:sz w:val="30"/>
          <w:szCs w:val="30"/>
        </w:rPr>
        <w:t>年房地产开发企业施工规模变化情况</w:t>
      </w:r>
    </w:p>
    <w:p w:rsidR="005307DF" w:rsidRDefault="00BA47A2">
      <w:pPr>
        <w:widowControl/>
        <w:wordWrap w:val="0"/>
        <w:spacing w:line="60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八</w:t>
      </w:r>
      <w:r>
        <w:rPr>
          <w:rFonts w:ascii="楷体" w:eastAsia="楷体" w:hAnsi="楷体" w:cs="楷体" w:hint="eastAsia"/>
          <w:kern w:val="0"/>
          <w:sz w:val="32"/>
          <w:szCs w:val="32"/>
        </w:rPr>
        <w:t>）私营企业总量超过七成</w:t>
      </w:r>
    </w:p>
    <w:p w:rsidR="005307DF" w:rsidRDefault="00BA47A2" w:rsidP="007952FF">
      <w:pPr>
        <w:widowControl/>
        <w:wordWrap w:val="0"/>
        <w:spacing w:afterLines="50"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w:t>
      </w:r>
      <w:r>
        <w:rPr>
          <w:rFonts w:ascii="Times New Roman" w:eastAsia="仿宋_GB2312" w:hAnsi="Times New Roman"/>
          <w:kern w:val="0"/>
          <w:sz w:val="32"/>
          <w:szCs w:val="32"/>
        </w:rPr>
        <w:t>91</w:t>
      </w:r>
      <w:r>
        <w:rPr>
          <w:rFonts w:ascii="Times New Roman" w:eastAsia="仿宋_GB2312" w:hAnsi="Times New Roman"/>
          <w:kern w:val="0"/>
          <w:sz w:val="32"/>
          <w:szCs w:val="32"/>
        </w:rPr>
        <w:t>家房地产开发法人企业中内资企业</w:t>
      </w:r>
      <w:r>
        <w:rPr>
          <w:rFonts w:ascii="Times New Roman" w:eastAsia="仿宋_GB2312" w:hAnsi="Times New Roman"/>
          <w:kern w:val="0"/>
          <w:sz w:val="32"/>
          <w:szCs w:val="32"/>
        </w:rPr>
        <w:t>88</w:t>
      </w:r>
      <w:r>
        <w:rPr>
          <w:rFonts w:ascii="Times New Roman" w:eastAsia="仿宋_GB2312" w:hAnsi="Times New Roman"/>
          <w:kern w:val="0"/>
          <w:sz w:val="32"/>
          <w:szCs w:val="32"/>
        </w:rPr>
        <w:t>个，港、澳、台商投资企业</w:t>
      </w:r>
      <w:r>
        <w:rPr>
          <w:rFonts w:ascii="Times New Roman" w:eastAsia="仿宋_GB2312" w:hAnsi="Times New Roman"/>
          <w:kern w:val="0"/>
          <w:sz w:val="32"/>
          <w:szCs w:val="32"/>
        </w:rPr>
        <w:t>2</w:t>
      </w:r>
      <w:r>
        <w:rPr>
          <w:rFonts w:ascii="Times New Roman" w:eastAsia="仿宋_GB2312" w:hAnsi="Times New Roman"/>
          <w:kern w:val="0"/>
          <w:sz w:val="32"/>
          <w:szCs w:val="32"/>
        </w:rPr>
        <w:t>个，外商投资企业</w:t>
      </w:r>
      <w:r>
        <w:rPr>
          <w:rFonts w:ascii="Times New Roman" w:eastAsia="仿宋_GB2312" w:hAnsi="Times New Roman"/>
          <w:kern w:val="0"/>
          <w:sz w:val="32"/>
          <w:szCs w:val="32"/>
        </w:rPr>
        <w:t>1</w:t>
      </w:r>
      <w:r>
        <w:rPr>
          <w:rFonts w:ascii="Times New Roman" w:eastAsia="仿宋_GB2312" w:hAnsi="Times New Roman"/>
          <w:kern w:val="0"/>
          <w:sz w:val="32"/>
          <w:szCs w:val="32"/>
        </w:rPr>
        <w:t>个。内资企业中：集体企业</w:t>
      </w:r>
      <w:r>
        <w:rPr>
          <w:rFonts w:ascii="Times New Roman" w:eastAsia="仿宋_GB2312" w:hAnsi="Times New Roman"/>
          <w:kern w:val="0"/>
          <w:sz w:val="32"/>
          <w:szCs w:val="32"/>
        </w:rPr>
        <w:t>1</w:t>
      </w:r>
      <w:r>
        <w:rPr>
          <w:rFonts w:ascii="Times New Roman" w:eastAsia="仿宋_GB2312" w:hAnsi="Times New Roman"/>
          <w:kern w:val="0"/>
          <w:sz w:val="32"/>
          <w:szCs w:val="32"/>
        </w:rPr>
        <w:t>个，占</w:t>
      </w:r>
      <w:r>
        <w:rPr>
          <w:rFonts w:ascii="Times New Roman" w:eastAsia="仿宋_GB2312" w:hAnsi="Times New Roman"/>
          <w:kern w:val="0"/>
          <w:sz w:val="32"/>
          <w:szCs w:val="32"/>
        </w:rPr>
        <w:t>1.1%</w:t>
      </w:r>
      <w:r>
        <w:rPr>
          <w:rFonts w:ascii="Times New Roman" w:eastAsia="仿宋_GB2312" w:hAnsi="Times New Roman"/>
          <w:kern w:val="0"/>
          <w:sz w:val="32"/>
          <w:szCs w:val="32"/>
        </w:rPr>
        <w:t>；国有独资企业</w:t>
      </w:r>
      <w:r>
        <w:rPr>
          <w:rFonts w:ascii="Times New Roman" w:eastAsia="仿宋_GB2312" w:hAnsi="Times New Roman"/>
          <w:kern w:val="0"/>
          <w:sz w:val="32"/>
          <w:szCs w:val="32"/>
        </w:rPr>
        <w:t>1</w:t>
      </w:r>
      <w:r>
        <w:rPr>
          <w:rFonts w:ascii="Times New Roman" w:eastAsia="仿宋_GB2312" w:hAnsi="Times New Roman"/>
          <w:kern w:val="0"/>
          <w:sz w:val="32"/>
          <w:szCs w:val="32"/>
        </w:rPr>
        <w:t>个，占</w:t>
      </w:r>
      <w:r>
        <w:rPr>
          <w:rFonts w:ascii="Times New Roman" w:eastAsia="仿宋_GB2312" w:hAnsi="Times New Roman"/>
          <w:kern w:val="0"/>
          <w:sz w:val="32"/>
          <w:szCs w:val="32"/>
        </w:rPr>
        <w:t>1.1%</w:t>
      </w:r>
      <w:r>
        <w:rPr>
          <w:rFonts w:ascii="Times New Roman" w:eastAsia="仿宋_GB2312" w:hAnsi="Times New Roman"/>
          <w:kern w:val="0"/>
          <w:sz w:val="32"/>
          <w:szCs w:val="32"/>
        </w:rPr>
        <w:t>；其他有限责任公司</w:t>
      </w:r>
      <w:r>
        <w:rPr>
          <w:rFonts w:ascii="Times New Roman" w:eastAsia="仿宋_GB2312" w:hAnsi="Times New Roman"/>
          <w:kern w:val="0"/>
          <w:sz w:val="32"/>
          <w:szCs w:val="32"/>
        </w:rPr>
        <w:t>20</w:t>
      </w:r>
      <w:r>
        <w:rPr>
          <w:rFonts w:ascii="Times New Roman" w:eastAsia="仿宋_GB2312" w:hAnsi="Times New Roman"/>
          <w:kern w:val="0"/>
          <w:sz w:val="32"/>
          <w:szCs w:val="32"/>
        </w:rPr>
        <w:t>个，占</w:t>
      </w:r>
      <w:r>
        <w:rPr>
          <w:rFonts w:ascii="Times New Roman" w:eastAsia="仿宋_GB2312" w:hAnsi="Times New Roman"/>
          <w:kern w:val="0"/>
          <w:sz w:val="32"/>
          <w:szCs w:val="32"/>
        </w:rPr>
        <w:t>22.7%</w:t>
      </w:r>
      <w:r>
        <w:rPr>
          <w:rFonts w:ascii="Times New Roman" w:eastAsia="仿宋_GB2312" w:hAnsi="Times New Roman"/>
          <w:kern w:val="0"/>
          <w:sz w:val="32"/>
          <w:szCs w:val="32"/>
        </w:rPr>
        <w:t>；私营企业</w:t>
      </w:r>
      <w:r>
        <w:rPr>
          <w:rFonts w:ascii="Times New Roman" w:eastAsia="仿宋_GB2312" w:hAnsi="Times New Roman"/>
          <w:kern w:val="0"/>
          <w:sz w:val="32"/>
          <w:szCs w:val="32"/>
        </w:rPr>
        <w:t>66</w:t>
      </w:r>
      <w:r>
        <w:rPr>
          <w:rFonts w:ascii="Times New Roman" w:eastAsia="仿宋_GB2312" w:hAnsi="Times New Roman"/>
          <w:kern w:val="0"/>
          <w:sz w:val="32"/>
          <w:szCs w:val="32"/>
        </w:rPr>
        <w:t>个，占</w:t>
      </w:r>
      <w:r>
        <w:rPr>
          <w:rFonts w:ascii="Times New Roman" w:eastAsia="仿宋_GB2312" w:hAnsi="Times New Roman"/>
          <w:kern w:val="0"/>
          <w:sz w:val="32"/>
          <w:szCs w:val="32"/>
        </w:rPr>
        <w:t>75.0%</w:t>
      </w:r>
      <w:r>
        <w:rPr>
          <w:rFonts w:ascii="Times New Roman" w:eastAsia="仿宋_GB2312" w:hAnsi="Times New Roman"/>
          <w:kern w:val="0"/>
          <w:sz w:val="32"/>
          <w:szCs w:val="32"/>
        </w:rPr>
        <w:t>。内资企业从业人员中，集体企业占</w:t>
      </w:r>
      <w:r>
        <w:rPr>
          <w:rFonts w:ascii="Times New Roman" w:eastAsia="仿宋_GB2312" w:hAnsi="Times New Roman"/>
          <w:kern w:val="0"/>
          <w:sz w:val="32"/>
          <w:szCs w:val="32"/>
        </w:rPr>
        <w:t>5.0%</w:t>
      </w:r>
      <w:r>
        <w:rPr>
          <w:rFonts w:ascii="Times New Roman" w:eastAsia="仿宋_GB2312" w:hAnsi="Times New Roman"/>
          <w:kern w:val="0"/>
          <w:sz w:val="32"/>
          <w:szCs w:val="32"/>
        </w:rPr>
        <w:t>；国有独资企业占</w:t>
      </w:r>
      <w:r>
        <w:rPr>
          <w:rFonts w:ascii="Times New Roman" w:eastAsia="仿宋_GB2312" w:hAnsi="Times New Roman"/>
          <w:kern w:val="0"/>
          <w:sz w:val="32"/>
          <w:szCs w:val="32"/>
        </w:rPr>
        <w:t>1.5%</w:t>
      </w:r>
      <w:r>
        <w:rPr>
          <w:rFonts w:ascii="Times New Roman" w:eastAsia="仿宋_GB2312" w:hAnsi="Times New Roman"/>
          <w:kern w:val="0"/>
          <w:sz w:val="32"/>
          <w:szCs w:val="32"/>
        </w:rPr>
        <w:t>；其他有限责任公司占</w:t>
      </w:r>
      <w:r>
        <w:rPr>
          <w:rFonts w:ascii="Times New Roman" w:eastAsia="仿宋_GB2312" w:hAnsi="Times New Roman"/>
          <w:kern w:val="0"/>
          <w:sz w:val="32"/>
          <w:szCs w:val="32"/>
        </w:rPr>
        <w:t>28.3%</w:t>
      </w:r>
      <w:r>
        <w:rPr>
          <w:rFonts w:ascii="Times New Roman" w:eastAsia="仿宋_GB2312" w:hAnsi="Times New Roman"/>
          <w:kern w:val="0"/>
          <w:sz w:val="32"/>
          <w:szCs w:val="32"/>
        </w:rPr>
        <w:t>；私营企业</w:t>
      </w:r>
      <w:r>
        <w:rPr>
          <w:rFonts w:ascii="Times New Roman" w:eastAsia="仿宋_GB2312" w:hAnsi="Times New Roman"/>
          <w:kern w:val="0"/>
          <w:sz w:val="32"/>
          <w:szCs w:val="32"/>
        </w:rPr>
        <w:t>66</w:t>
      </w:r>
      <w:r>
        <w:rPr>
          <w:rFonts w:ascii="Times New Roman" w:eastAsia="仿宋_GB2312" w:hAnsi="Times New Roman"/>
          <w:kern w:val="0"/>
          <w:sz w:val="32"/>
          <w:szCs w:val="32"/>
        </w:rPr>
        <w:t>个，占</w:t>
      </w:r>
      <w:r>
        <w:rPr>
          <w:rFonts w:ascii="Times New Roman" w:eastAsia="仿宋_GB2312" w:hAnsi="Times New Roman"/>
          <w:kern w:val="0"/>
          <w:sz w:val="32"/>
          <w:szCs w:val="32"/>
        </w:rPr>
        <w:t>65.3%</w:t>
      </w:r>
      <w:r>
        <w:rPr>
          <w:rFonts w:ascii="Times New Roman" w:eastAsia="仿宋_GB2312" w:hAnsi="Times New Roman"/>
          <w:kern w:val="0"/>
          <w:sz w:val="32"/>
          <w:szCs w:val="32"/>
        </w:rPr>
        <w:t>。</w:t>
      </w:r>
    </w:p>
    <w:p w:rsidR="005307DF" w:rsidRDefault="00BA47A2">
      <w:pPr>
        <w:widowControl/>
        <w:wordWrap w:val="0"/>
        <w:jc w:val="center"/>
      </w:pPr>
      <w:r>
        <w:rPr>
          <w:noProof/>
        </w:rPr>
        <w:drawing>
          <wp:inline distT="0" distB="0" distL="114300" distR="114300">
            <wp:extent cx="4562475" cy="2186305"/>
            <wp:effectExtent l="4445" t="4445" r="5080" b="190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07DF" w:rsidRDefault="00BA47A2">
      <w:pPr>
        <w:widowControl/>
        <w:wordWrap w:val="0"/>
        <w:spacing w:line="540" w:lineRule="exact"/>
        <w:jc w:val="center"/>
        <w:rPr>
          <w:rFonts w:ascii="楷体" w:eastAsia="楷体" w:hAnsi="楷体" w:cs="楷体"/>
          <w:sz w:val="30"/>
          <w:szCs w:val="30"/>
        </w:rPr>
      </w:pPr>
      <w:r>
        <w:rPr>
          <w:rFonts w:ascii="楷体" w:eastAsia="楷体" w:hAnsi="楷体" w:cs="楷体" w:hint="eastAsia"/>
          <w:sz w:val="30"/>
          <w:szCs w:val="30"/>
        </w:rPr>
        <w:t>图</w:t>
      </w:r>
      <w:r>
        <w:rPr>
          <w:rFonts w:ascii="楷体" w:eastAsia="楷体" w:hAnsi="楷体" w:cs="楷体" w:hint="eastAsia"/>
          <w:sz w:val="30"/>
          <w:szCs w:val="30"/>
        </w:rPr>
        <w:t>5</w:t>
      </w:r>
      <w:r>
        <w:rPr>
          <w:rFonts w:ascii="楷体" w:eastAsia="楷体" w:hAnsi="楷体" w:cs="楷体" w:hint="eastAsia"/>
          <w:sz w:val="30"/>
          <w:szCs w:val="30"/>
        </w:rPr>
        <w:t xml:space="preserve"> 2018</w:t>
      </w:r>
      <w:r>
        <w:rPr>
          <w:rFonts w:ascii="楷体" w:eastAsia="楷体" w:hAnsi="楷体" w:cs="楷体" w:hint="eastAsia"/>
          <w:sz w:val="30"/>
          <w:szCs w:val="30"/>
        </w:rPr>
        <w:t>年房地产开发法人内资企业从业人员分布情况</w:t>
      </w:r>
    </w:p>
    <w:p w:rsidR="005307DF" w:rsidRDefault="00BA47A2">
      <w:pPr>
        <w:numPr>
          <w:ilvl w:val="0"/>
          <w:numId w:val="1"/>
        </w:numPr>
        <w:wordWrap w:val="0"/>
        <w:spacing w:line="560" w:lineRule="exact"/>
        <w:ind w:firstLineChars="200" w:firstLine="640"/>
        <w:rPr>
          <w:rFonts w:ascii="黑体" w:eastAsia="黑体" w:hAnsi="黑体" w:cstheme="minorEastAsia"/>
          <w:kern w:val="0"/>
          <w:sz w:val="32"/>
          <w:szCs w:val="32"/>
        </w:rPr>
      </w:pPr>
      <w:r>
        <w:rPr>
          <w:rFonts w:ascii="黑体" w:eastAsia="黑体" w:hAnsi="黑体" w:cstheme="minorEastAsia" w:hint="eastAsia"/>
          <w:bCs/>
          <w:kern w:val="0"/>
          <w:sz w:val="32"/>
          <w:szCs w:val="32"/>
        </w:rPr>
        <w:lastRenderedPageBreak/>
        <w:t>存在问题</w:t>
      </w:r>
    </w:p>
    <w:p w:rsidR="005307DF" w:rsidRDefault="00BA47A2">
      <w:pPr>
        <w:numPr>
          <w:ilvl w:val="0"/>
          <w:numId w:val="2"/>
        </w:numPr>
        <w:wordWrap w:val="0"/>
        <w:spacing w:line="560" w:lineRule="exact"/>
        <w:ind w:firstLineChars="200" w:firstLine="640"/>
        <w:rPr>
          <w:rFonts w:ascii="楷体" w:eastAsia="楷体" w:hAnsi="楷体" w:cstheme="minorEastAsia"/>
          <w:kern w:val="0"/>
          <w:sz w:val="32"/>
          <w:szCs w:val="32"/>
        </w:rPr>
      </w:pPr>
      <w:r>
        <w:rPr>
          <w:rFonts w:ascii="楷体" w:eastAsia="楷体" w:hAnsi="楷体" w:cstheme="minorEastAsia" w:hint="eastAsia"/>
          <w:kern w:val="0"/>
          <w:sz w:val="32"/>
          <w:szCs w:val="32"/>
        </w:rPr>
        <w:t>房产均价持续上涨，居民购买乏力</w:t>
      </w:r>
    </w:p>
    <w:p w:rsidR="005307DF" w:rsidRDefault="00BA47A2" w:rsidP="007952FF">
      <w:pPr>
        <w:wordWrap w:val="0"/>
        <w:spacing w:afterLines="100" w:line="580" w:lineRule="exact"/>
        <w:ind w:firstLineChars="200" w:firstLine="640"/>
        <w:rPr>
          <w:rFonts w:ascii="Times New Roman" w:eastAsia="楷体" w:hAnsi="Times New Roman"/>
          <w:b/>
          <w:bCs/>
          <w:color w:val="FF0000"/>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年，房地产开发企业商品房销售均价为</w:t>
      </w:r>
      <w:r>
        <w:rPr>
          <w:rFonts w:ascii="Times New Roman" w:eastAsia="仿宋_GB2312" w:hAnsi="Times New Roman"/>
          <w:kern w:val="0"/>
          <w:sz w:val="32"/>
          <w:szCs w:val="32"/>
        </w:rPr>
        <w:t>7623</w:t>
      </w:r>
      <w:r>
        <w:rPr>
          <w:rFonts w:ascii="Times New Roman" w:eastAsia="仿宋_GB2312" w:hAnsi="Times New Roman"/>
          <w:kern w:val="0"/>
          <w:sz w:val="32"/>
          <w:szCs w:val="32"/>
        </w:rPr>
        <w:t>元</w:t>
      </w:r>
      <w:r>
        <w:rPr>
          <w:rFonts w:ascii="Times New Roman" w:eastAsia="仿宋_GB2312" w:hAnsi="Times New Roman"/>
          <w:kern w:val="0"/>
          <w:sz w:val="32"/>
          <w:szCs w:val="32"/>
        </w:rPr>
        <w:t>/</w:t>
      </w:r>
      <w:r>
        <w:rPr>
          <w:rFonts w:ascii="Times New Roman" w:eastAsia="仿宋_GB2312" w:hAnsi="Times New Roman"/>
          <w:kern w:val="0"/>
          <w:sz w:val="32"/>
          <w:szCs w:val="32"/>
        </w:rPr>
        <w:t>平方米，比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47.8%</w:t>
      </w:r>
      <w:r>
        <w:rPr>
          <w:rFonts w:ascii="Times New Roman" w:eastAsia="仿宋_GB2312" w:hAnsi="Times New Roman"/>
          <w:kern w:val="0"/>
          <w:sz w:val="32"/>
          <w:szCs w:val="32"/>
        </w:rPr>
        <w:t>，年均增长</w:t>
      </w:r>
      <w:r>
        <w:rPr>
          <w:rFonts w:ascii="Times New Roman" w:eastAsia="仿宋_GB2312" w:hAnsi="Times New Roman"/>
          <w:kern w:val="0"/>
          <w:sz w:val="32"/>
          <w:szCs w:val="32"/>
        </w:rPr>
        <w:t>8.1%</w:t>
      </w:r>
      <w:r>
        <w:rPr>
          <w:rFonts w:ascii="Times New Roman" w:eastAsia="仿宋_GB2312" w:hAnsi="Times New Roman"/>
          <w:kern w:val="0"/>
          <w:sz w:val="32"/>
          <w:szCs w:val="32"/>
        </w:rPr>
        <w:t>。住房既是普通商品又是投资品，房价上涨对不同居民户的财富存量会产生不同的影响。对无住房的家庭而言，房价上涨增加了租房支出和购买自有住房的难度，使这部分人买房的希望变得越来越渺茫；对有自有住房家庭而言，房价上涨会增加抵押贷款消费；对于有房且用来投资的家庭而言，房价上涨不仅能获取出租和出售收益，而且还可以获得更多的抵押贷款，是房价上涨最大的受益者。总的来看，房价过快上涨会导致收入差距的进一步扩大。</w:t>
      </w:r>
    </w:p>
    <w:p w:rsidR="005307DF" w:rsidRDefault="00BA47A2">
      <w:pPr>
        <w:widowControl/>
        <w:wordWrap w:val="0"/>
        <w:jc w:val="center"/>
      </w:pPr>
      <w:r>
        <w:rPr>
          <w:noProof/>
        </w:rPr>
        <w:drawing>
          <wp:inline distT="0" distB="0" distL="114300" distR="114300">
            <wp:extent cx="5349240" cy="2947035"/>
            <wp:effectExtent l="4445" t="4445" r="1079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07DF" w:rsidRDefault="00BA47A2">
      <w:pPr>
        <w:widowControl/>
        <w:wordWrap w:val="0"/>
        <w:jc w:val="center"/>
        <w:rPr>
          <w:rFonts w:ascii="楷体" w:eastAsia="楷体" w:hAnsi="楷体" w:cs="楷体"/>
          <w:sz w:val="30"/>
          <w:szCs w:val="30"/>
        </w:rPr>
      </w:pPr>
      <w:r>
        <w:rPr>
          <w:rFonts w:ascii="楷体" w:eastAsia="楷体" w:hAnsi="楷体" w:cs="楷体" w:hint="eastAsia"/>
          <w:sz w:val="30"/>
          <w:szCs w:val="30"/>
        </w:rPr>
        <w:t>图</w:t>
      </w:r>
      <w:r>
        <w:rPr>
          <w:rFonts w:ascii="楷体" w:eastAsia="楷体" w:hAnsi="楷体" w:cs="楷体" w:hint="eastAsia"/>
          <w:sz w:val="30"/>
          <w:szCs w:val="30"/>
        </w:rPr>
        <w:t>6</w:t>
      </w:r>
      <w:r>
        <w:rPr>
          <w:rFonts w:ascii="楷体" w:eastAsia="楷体" w:hAnsi="楷体" w:cs="楷体" w:hint="eastAsia"/>
          <w:sz w:val="30"/>
          <w:szCs w:val="30"/>
        </w:rPr>
        <w:t xml:space="preserve"> 2013-2018</w:t>
      </w:r>
      <w:r>
        <w:rPr>
          <w:rFonts w:ascii="楷体" w:eastAsia="楷体" w:hAnsi="楷体" w:cs="楷体" w:hint="eastAsia"/>
          <w:sz w:val="30"/>
          <w:szCs w:val="30"/>
        </w:rPr>
        <w:t>年房地产开发法人商品房销售情况</w:t>
      </w:r>
    </w:p>
    <w:p w:rsidR="005307DF" w:rsidRDefault="005307DF">
      <w:pPr>
        <w:widowControl/>
        <w:wordWrap w:val="0"/>
        <w:jc w:val="left"/>
        <w:rPr>
          <w:rFonts w:ascii="楷体" w:eastAsia="楷体" w:hAnsi="楷体" w:cstheme="minorEastAsia"/>
          <w:kern w:val="0"/>
          <w:sz w:val="32"/>
          <w:szCs w:val="32"/>
        </w:rPr>
      </w:pPr>
    </w:p>
    <w:p w:rsidR="005307DF" w:rsidRDefault="00BA47A2">
      <w:pPr>
        <w:wordWrap w:val="0"/>
        <w:spacing w:line="540" w:lineRule="exact"/>
        <w:ind w:firstLineChars="200" w:firstLine="640"/>
        <w:rPr>
          <w:rFonts w:ascii="Times New Roman" w:eastAsia="楷体" w:hAnsi="Times New Roman"/>
          <w:kern w:val="0"/>
          <w:sz w:val="32"/>
          <w:szCs w:val="32"/>
        </w:rPr>
      </w:pPr>
      <w:r>
        <w:rPr>
          <w:rFonts w:ascii="Times New Roman" w:eastAsia="楷体" w:hAnsi="Times New Roman"/>
          <w:kern w:val="0"/>
          <w:sz w:val="32"/>
          <w:szCs w:val="32"/>
        </w:rPr>
        <w:lastRenderedPageBreak/>
        <w:t>（二）</w:t>
      </w:r>
      <w:r>
        <w:rPr>
          <w:rFonts w:ascii="Times New Roman" w:eastAsia="楷体" w:hAnsi="Times New Roman"/>
          <w:kern w:val="0"/>
          <w:sz w:val="32"/>
          <w:szCs w:val="32"/>
        </w:rPr>
        <w:t>投资区域分化突出，各地发展失衡</w:t>
      </w:r>
    </w:p>
    <w:p w:rsidR="005307DF" w:rsidRDefault="00BA47A2">
      <w:pPr>
        <w:wordWrap w:val="0"/>
        <w:spacing w:line="540" w:lineRule="exact"/>
        <w:ind w:firstLineChars="200" w:firstLine="640"/>
        <w:rPr>
          <w:rFonts w:ascii="Times New Roman" w:eastAsia="楷体" w:hAnsi="Times New Roman"/>
          <w:b/>
          <w:bCs/>
          <w:kern w:val="0"/>
          <w:sz w:val="32"/>
          <w:szCs w:val="32"/>
        </w:rPr>
      </w:pPr>
      <w:r>
        <w:rPr>
          <w:rFonts w:ascii="Times New Roman" w:eastAsia="仿宋_GB2312" w:hAnsi="Times New Roman"/>
          <w:kern w:val="0"/>
          <w:sz w:val="32"/>
          <w:szCs w:val="32"/>
        </w:rPr>
        <w:t>分乡镇看，房地产投资主要集中在溪美街道、美林街道、柳城街道和水头镇，四个乡镇（街道）开发投资达到</w:t>
      </w:r>
      <w:r>
        <w:rPr>
          <w:rFonts w:ascii="Times New Roman" w:eastAsia="仿宋_GB2312" w:hAnsi="Times New Roman"/>
          <w:kern w:val="0"/>
          <w:sz w:val="32"/>
          <w:szCs w:val="32"/>
        </w:rPr>
        <w:t>36.87</w:t>
      </w:r>
      <w:r>
        <w:rPr>
          <w:rFonts w:ascii="Times New Roman" w:eastAsia="仿宋_GB2312" w:hAnsi="Times New Roman"/>
          <w:kern w:val="0"/>
          <w:sz w:val="32"/>
          <w:szCs w:val="32"/>
        </w:rPr>
        <w:t>亿元，完成销售</w:t>
      </w:r>
      <w:r>
        <w:rPr>
          <w:rFonts w:ascii="Times New Roman" w:eastAsia="仿宋_GB2312" w:hAnsi="Times New Roman"/>
          <w:kern w:val="0"/>
          <w:sz w:val="32"/>
          <w:szCs w:val="32"/>
        </w:rPr>
        <w:t>79.08</w:t>
      </w:r>
      <w:r>
        <w:rPr>
          <w:rFonts w:ascii="Times New Roman" w:eastAsia="仿宋_GB2312" w:hAnsi="Times New Roman"/>
          <w:kern w:val="0"/>
          <w:sz w:val="32"/>
          <w:szCs w:val="32"/>
        </w:rPr>
        <w:t>万平米。镇区房地产开发发展极不均衡，投资和销售呈现出不均衡、起伏大、发展不协调等现象。</w:t>
      </w:r>
    </w:p>
    <w:p w:rsidR="005307DF" w:rsidRDefault="00BA47A2">
      <w:pPr>
        <w:wordWrap w:val="0"/>
        <w:spacing w:line="540" w:lineRule="exact"/>
        <w:ind w:firstLineChars="200" w:firstLine="640"/>
        <w:rPr>
          <w:rFonts w:ascii="Times New Roman" w:eastAsia="楷体" w:hAnsi="Times New Roman"/>
          <w:kern w:val="0"/>
          <w:sz w:val="32"/>
          <w:szCs w:val="32"/>
        </w:rPr>
      </w:pPr>
      <w:r>
        <w:rPr>
          <w:rFonts w:ascii="Times New Roman" w:eastAsia="楷体" w:hAnsi="Times New Roman"/>
          <w:kern w:val="0"/>
          <w:sz w:val="32"/>
          <w:szCs w:val="32"/>
        </w:rPr>
        <w:t>（三）</w:t>
      </w:r>
      <w:r>
        <w:rPr>
          <w:rFonts w:ascii="Times New Roman" w:eastAsia="楷体" w:hAnsi="Times New Roman"/>
          <w:kern w:val="0"/>
          <w:sz w:val="32"/>
          <w:szCs w:val="32"/>
        </w:rPr>
        <w:t>库存项目老化严重，投资增速放缓</w:t>
      </w:r>
    </w:p>
    <w:p w:rsidR="005307DF" w:rsidRDefault="00BA47A2">
      <w:pPr>
        <w:wordWrap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年末，全市在库项目</w:t>
      </w:r>
      <w:r>
        <w:rPr>
          <w:rFonts w:ascii="Times New Roman" w:eastAsia="仿宋_GB2312" w:hAnsi="Times New Roman"/>
          <w:kern w:val="0"/>
          <w:sz w:val="32"/>
          <w:szCs w:val="32"/>
        </w:rPr>
        <w:t>115</w:t>
      </w:r>
      <w:r>
        <w:rPr>
          <w:rFonts w:ascii="Times New Roman" w:eastAsia="仿宋_GB2312" w:hAnsi="Times New Roman"/>
          <w:kern w:val="0"/>
          <w:sz w:val="32"/>
          <w:szCs w:val="32"/>
        </w:rPr>
        <w:t>个，较去年同期仅增长</w:t>
      </w:r>
      <w:r>
        <w:rPr>
          <w:rFonts w:ascii="Times New Roman" w:eastAsia="仿宋_GB2312" w:hAnsi="Times New Roman"/>
          <w:kern w:val="0"/>
          <w:sz w:val="32"/>
          <w:szCs w:val="32"/>
        </w:rPr>
        <w:t>1</w:t>
      </w:r>
      <w:r>
        <w:rPr>
          <w:rFonts w:ascii="Times New Roman" w:eastAsia="仿宋_GB2312" w:hAnsi="Times New Roman"/>
          <w:kern w:val="0"/>
          <w:sz w:val="32"/>
          <w:szCs w:val="32"/>
        </w:rPr>
        <w:t>个，其中开发投资进度完成</w:t>
      </w:r>
      <w:r>
        <w:rPr>
          <w:rFonts w:ascii="Times New Roman" w:eastAsia="仿宋_GB2312" w:hAnsi="Times New Roman"/>
          <w:kern w:val="0"/>
          <w:sz w:val="32"/>
          <w:szCs w:val="32"/>
        </w:rPr>
        <w:t>70%</w:t>
      </w:r>
      <w:r>
        <w:rPr>
          <w:rFonts w:ascii="Times New Roman" w:eastAsia="仿宋_GB2312" w:hAnsi="Times New Roman"/>
          <w:kern w:val="0"/>
          <w:sz w:val="32"/>
          <w:szCs w:val="32"/>
        </w:rPr>
        <w:t>以上项目</w:t>
      </w:r>
      <w:r>
        <w:rPr>
          <w:rFonts w:ascii="Times New Roman" w:eastAsia="仿宋_GB2312" w:hAnsi="Times New Roman"/>
          <w:kern w:val="0"/>
          <w:sz w:val="32"/>
          <w:szCs w:val="32"/>
        </w:rPr>
        <w:t>79</w:t>
      </w:r>
      <w:r>
        <w:rPr>
          <w:rFonts w:ascii="Times New Roman" w:eastAsia="仿宋_GB2312" w:hAnsi="Times New Roman"/>
          <w:kern w:val="0"/>
          <w:sz w:val="32"/>
          <w:szCs w:val="32"/>
        </w:rPr>
        <w:t>个，占总项目个数</w:t>
      </w:r>
      <w:r>
        <w:rPr>
          <w:rFonts w:ascii="Times New Roman" w:eastAsia="仿宋_GB2312" w:hAnsi="Times New Roman"/>
          <w:kern w:val="0"/>
          <w:sz w:val="32"/>
          <w:szCs w:val="32"/>
        </w:rPr>
        <w:t>68.7%</w:t>
      </w:r>
      <w:r>
        <w:rPr>
          <w:rFonts w:ascii="Times New Roman" w:eastAsia="仿宋_GB2312" w:hAnsi="Times New Roman"/>
          <w:kern w:val="0"/>
          <w:sz w:val="32"/>
          <w:szCs w:val="32"/>
        </w:rPr>
        <w:t>，绝大部分项目开发投资已进入收尾阶段，在库项目老化严重，势必影响全市房地产开发投资和销售。</w:t>
      </w:r>
    </w:p>
    <w:p w:rsidR="005307DF" w:rsidRDefault="00BA47A2">
      <w:pPr>
        <w:wordWrap w:val="0"/>
        <w:spacing w:line="54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kern w:val="0"/>
          <w:sz w:val="32"/>
          <w:szCs w:val="32"/>
        </w:rPr>
        <w:t>年，全市房地产开发投资</w:t>
      </w:r>
      <w:r>
        <w:rPr>
          <w:rFonts w:ascii="Times New Roman" w:eastAsia="仿宋_GB2312" w:hAnsi="Times New Roman"/>
          <w:kern w:val="0"/>
          <w:sz w:val="32"/>
          <w:szCs w:val="32"/>
        </w:rPr>
        <w:t>62.10</w:t>
      </w:r>
      <w:r>
        <w:rPr>
          <w:rFonts w:ascii="Times New Roman" w:eastAsia="仿宋_GB2312" w:hAnsi="Times New Roman"/>
          <w:kern w:val="0"/>
          <w:sz w:val="32"/>
          <w:szCs w:val="32"/>
        </w:rPr>
        <w:t>亿元，比</w:t>
      </w:r>
      <w:r>
        <w:rPr>
          <w:rFonts w:ascii="Times New Roman" w:eastAsia="仿宋_GB2312" w:hAnsi="Times New Roman"/>
          <w:kern w:val="0"/>
          <w:sz w:val="32"/>
          <w:szCs w:val="32"/>
        </w:rPr>
        <w:t>2013</w:t>
      </w:r>
      <w:r>
        <w:rPr>
          <w:rFonts w:ascii="Times New Roman" w:eastAsia="仿宋_GB2312" w:hAnsi="Times New Roman"/>
          <w:kern w:val="0"/>
          <w:sz w:val="32"/>
          <w:szCs w:val="32"/>
        </w:rPr>
        <w:t>年增长</w:t>
      </w:r>
      <w:r>
        <w:rPr>
          <w:rFonts w:ascii="Times New Roman" w:eastAsia="仿宋_GB2312" w:hAnsi="Times New Roman"/>
          <w:kern w:val="0"/>
          <w:sz w:val="32"/>
          <w:szCs w:val="32"/>
        </w:rPr>
        <w:t>1.22%</w:t>
      </w:r>
      <w:r>
        <w:rPr>
          <w:rFonts w:ascii="Times New Roman" w:eastAsia="仿宋_GB2312" w:hAnsi="Times New Roman"/>
          <w:kern w:val="0"/>
          <w:sz w:val="32"/>
          <w:szCs w:val="32"/>
        </w:rPr>
        <w:t>（当年价），其中，住宅投资</w:t>
      </w:r>
      <w:r>
        <w:rPr>
          <w:rFonts w:ascii="Times New Roman" w:eastAsia="仿宋_GB2312" w:hAnsi="Times New Roman"/>
          <w:kern w:val="0"/>
          <w:sz w:val="32"/>
          <w:szCs w:val="32"/>
        </w:rPr>
        <w:t>49.83</w:t>
      </w:r>
      <w:r>
        <w:rPr>
          <w:rFonts w:ascii="Times New Roman" w:eastAsia="仿宋_GB2312" w:hAnsi="Times New Roman"/>
          <w:kern w:val="0"/>
          <w:sz w:val="32"/>
          <w:szCs w:val="32"/>
        </w:rPr>
        <w:t>亿元，占房地产开发投资的比重为</w:t>
      </w:r>
      <w:r>
        <w:rPr>
          <w:rFonts w:ascii="Times New Roman" w:eastAsia="仿宋_GB2312" w:hAnsi="Times New Roman"/>
          <w:kern w:val="0"/>
          <w:sz w:val="32"/>
          <w:szCs w:val="32"/>
        </w:rPr>
        <w:t>80.2%</w:t>
      </w:r>
      <w:r>
        <w:rPr>
          <w:rFonts w:ascii="Times New Roman" w:eastAsia="仿宋_GB2312" w:hAnsi="Times New Roman"/>
          <w:kern w:val="0"/>
          <w:sz w:val="32"/>
          <w:szCs w:val="32"/>
        </w:rPr>
        <w:t>。四经普期间共投资</w:t>
      </w:r>
      <w:r>
        <w:rPr>
          <w:rFonts w:ascii="Times New Roman" w:eastAsia="仿宋_GB2312" w:hAnsi="Times New Roman"/>
          <w:kern w:val="0"/>
          <w:sz w:val="32"/>
          <w:szCs w:val="32"/>
        </w:rPr>
        <w:t>255.69</w:t>
      </w:r>
      <w:r>
        <w:rPr>
          <w:rFonts w:ascii="Times New Roman" w:eastAsia="仿宋_GB2312" w:hAnsi="Times New Roman"/>
          <w:kern w:val="0"/>
          <w:sz w:val="32"/>
          <w:szCs w:val="32"/>
        </w:rPr>
        <w:t>亿元，比三经普期间总投资增加</w:t>
      </w:r>
      <w:r>
        <w:rPr>
          <w:rFonts w:ascii="Times New Roman" w:eastAsia="仿宋_GB2312" w:hAnsi="Times New Roman"/>
          <w:kern w:val="0"/>
          <w:sz w:val="32"/>
          <w:szCs w:val="32"/>
        </w:rPr>
        <w:t>47.88</w:t>
      </w:r>
      <w:r>
        <w:rPr>
          <w:rFonts w:ascii="Times New Roman" w:eastAsia="仿宋_GB2312" w:hAnsi="Times New Roman"/>
          <w:kern w:val="0"/>
          <w:sz w:val="32"/>
          <w:szCs w:val="32"/>
        </w:rPr>
        <w:t>亿元，增长</w:t>
      </w:r>
      <w:r>
        <w:rPr>
          <w:rFonts w:ascii="Times New Roman" w:eastAsia="仿宋_GB2312" w:hAnsi="Times New Roman"/>
          <w:kern w:val="0"/>
          <w:sz w:val="32"/>
          <w:szCs w:val="32"/>
        </w:rPr>
        <w:t>23.0%</w:t>
      </w:r>
      <w:r>
        <w:rPr>
          <w:rFonts w:ascii="Times New Roman" w:eastAsia="仿宋_GB2312" w:hAnsi="Times New Roman"/>
          <w:kern w:val="0"/>
          <w:sz w:val="32"/>
          <w:szCs w:val="32"/>
        </w:rPr>
        <w:t>。四经普期间五年年均增长</w:t>
      </w:r>
      <w:r>
        <w:rPr>
          <w:rFonts w:ascii="Times New Roman" w:eastAsia="仿宋_GB2312" w:hAnsi="Times New Roman"/>
          <w:kern w:val="0"/>
          <w:sz w:val="32"/>
          <w:szCs w:val="32"/>
        </w:rPr>
        <w:t>0.24%</w:t>
      </w:r>
      <w:r>
        <w:rPr>
          <w:rFonts w:ascii="Times New Roman" w:eastAsia="仿宋_GB2312" w:hAnsi="Times New Roman"/>
          <w:kern w:val="0"/>
          <w:sz w:val="32"/>
          <w:szCs w:val="32"/>
        </w:rPr>
        <w:t>，比三经普五年年均增速下降</w:t>
      </w:r>
      <w:r>
        <w:rPr>
          <w:rFonts w:ascii="Times New Roman" w:eastAsia="仿宋_GB2312" w:hAnsi="Times New Roman"/>
          <w:kern w:val="0"/>
          <w:sz w:val="32"/>
          <w:szCs w:val="32"/>
        </w:rPr>
        <w:t>3</w:t>
      </w:r>
      <w:r>
        <w:rPr>
          <w:rFonts w:ascii="Times New Roman" w:eastAsia="仿宋_GB2312" w:hAnsi="Times New Roman"/>
          <w:kern w:val="0"/>
          <w:sz w:val="32"/>
          <w:szCs w:val="32"/>
        </w:rPr>
        <w:t>1.1</w:t>
      </w:r>
      <w:r>
        <w:rPr>
          <w:rFonts w:ascii="Times New Roman" w:eastAsia="仿宋_GB2312" w:hAnsi="Times New Roman"/>
          <w:kern w:val="0"/>
          <w:sz w:val="32"/>
          <w:szCs w:val="32"/>
        </w:rPr>
        <w:t>个百分点，其中，</w:t>
      </w:r>
      <w:r>
        <w:rPr>
          <w:rFonts w:ascii="Times New Roman" w:eastAsia="仿宋_GB2312" w:hAnsi="Times New Roman"/>
          <w:kern w:val="0"/>
          <w:sz w:val="32"/>
          <w:szCs w:val="32"/>
        </w:rPr>
        <w:t>2015</w:t>
      </w:r>
      <w:r>
        <w:rPr>
          <w:rFonts w:ascii="Times New Roman" w:eastAsia="仿宋_GB2312" w:hAnsi="Times New Roman"/>
          <w:kern w:val="0"/>
          <w:sz w:val="32"/>
          <w:szCs w:val="32"/>
        </w:rPr>
        <w:t>年房地产开发投资出现倒退，同比下降</w:t>
      </w:r>
      <w:r>
        <w:rPr>
          <w:rFonts w:ascii="Times New Roman" w:eastAsia="仿宋_GB2312" w:hAnsi="Times New Roman"/>
          <w:kern w:val="0"/>
          <w:sz w:val="32"/>
          <w:szCs w:val="32"/>
        </w:rPr>
        <w:t>40.5%</w:t>
      </w:r>
      <w:r>
        <w:rPr>
          <w:rFonts w:ascii="Times New Roman" w:eastAsia="仿宋_GB2312" w:hAnsi="Times New Roman"/>
          <w:kern w:val="0"/>
          <w:sz w:val="32"/>
          <w:szCs w:val="32"/>
        </w:rPr>
        <w:t>，拉低了年均增长速度。</w:t>
      </w:r>
    </w:p>
    <w:p w:rsidR="005307DF" w:rsidRDefault="00BA47A2">
      <w:pPr>
        <w:wordWrap w:val="0"/>
        <w:spacing w:line="540" w:lineRule="exact"/>
        <w:ind w:firstLineChars="200" w:firstLine="640"/>
        <w:rPr>
          <w:rFonts w:ascii="Times New Roman" w:eastAsia="楷体" w:hAnsi="Times New Roman"/>
          <w:kern w:val="0"/>
          <w:sz w:val="32"/>
          <w:szCs w:val="32"/>
        </w:rPr>
      </w:pPr>
      <w:r>
        <w:rPr>
          <w:rFonts w:ascii="Times New Roman" w:eastAsia="楷体" w:hAnsi="Times New Roman"/>
          <w:kern w:val="0"/>
          <w:sz w:val="32"/>
          <w:szCs w:val="32"/>
        </w:rPr>
        <w:t>（四）</w:t>
      </w:r>
      <w:r>
        <w:rPr>
          <w:rFonts w:ascii="Times New Roman" w:eastAsia="楷体" w:hAnsi="Times New Roman"/>
          <w:kern w:val="0"/>
          <w:sz w:val="32"/>
          <w:szCs w:val="32"/>
        </w:rPr>
        <w:t>资金结构有所调整，应付款压力大</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从资金来源渠道看，</w:t>
      </w:r>
      <w:r>
        <w:rPr>
          <w:rFonts w:ascii="Times New Roman" w:eastAsia="仿宋_GB2312" w:hAnsi="Times New Roman"/>
          <w:sz w:val="32"/>
          <w:szCs w:val="32"/>
        </w:rPr>
        <w:t>2018</w:t>
      </w:r>
      <w:r>
        <w:rPr>
          <w:rFonts w:ascii="Times New Roman" w:eastAsia="仿宋_GB2312" w:hAnsi="Times New Roman"/>
          <w:sz w:val="32"/>
          <w:szCs w:val="32"/>
        </w:rPr>
        <w:t>年房地产开发企业资金结构较</w:t>
      </w:r>
      <w:r>
        <w:rPr>
          <w:rFonts w:ascii="Times New Roman" w:eastAsia="仿宋_GB2312" w:hAnsi="Times New Roman"/>
          <w:sz w:val="32"/>
          <w:szCs w:val="32"/>
        </w:rPr>
        <w:t>2013</w:t>
      </w:r>
      <w:r>
        <w:rPr>
          <w:rFonts w:ascii="Times New Roman" w:eastAsia="仿宋_GB2312" w:hAnsi="Times New Roman"/>
          <w:sz w:val="32"/>
          <w:szCs w:val="32"/>
        </w:rPr>
        <w:t>年有所调整，上年结余资金比重提升，本年到位资金比重小幅下降。</w:t>
      </w:r>
      <w:r>
        <w:rPr>
          <w:rFonts w:ascii="Times New Roman" w:eastAsia="仿宋_GB2312" w:hAnsi="Times New Roman"/>
          <w:sz w:val="32"/>
          <w:szCs w:val="32"/>
        </w:rPr>
        <w:t>2018</w:t>
      </w:r>
      <w:r>
        <w:rPr>
          <w:rFonts w:ascii="Times New Roman" w:eastAsia="仿宋_GB2312" w:hAnsi="Times New Roman"/>
          <w:sz w:val="32"/>
          <w:szCs w:val="32"/>
        </w:rPr>
        <w:t>年开发企业本年到位资金</w:t>
      </w:r>
      <w:r>
        <w:rPr>
          <w:rFonts w:ascii="Times New Roman" w:eastAsia="仿宋_GB2312" w:hAnsi="Times New Roman"/>
          <w:sz w:val="32"/>
          <w:szCs w:val="32"/>
        </w:rPr>
        <w:t>108.51</w:t>
      </w:r>
      <w:r>
        <w:rPr>
          <w:rFonts w:ascii="Times New Roman" w:eastAsia="仿宋_GB2312" w:hAnsi="Times New Roman"/>
          <w:sz w:val="32"/>
          <w:szCs w:val="32"/>
        </w:rPr>
        <w:t>亿元，占全部企业资金来源比重</w:t>
      </w:r>
      <w:r>
        <w:rPr>
          <w:rFonts w:ascii="Times New Roman" w:eastAsia="仿宋_GB2312" w:hAnsi="Times New Roman"/>
          <w:sz w:val="32"/>
          <w:szCs w:val="32"/>
        </w:rPr>
        <w:t>77.4%</w:t>
      </w:r>
      <w:r>
        <w:rPr>
          <w:rFonts w:ascii="Times New Roman" w:eastAsia="仿宋_GB2312" w:hAnsi="Times New Roman"/>
          <w:sz w:val="32"/>
          <w:szCs w:val="32"/>
        </w:rPr>
        <w:t>，比</w:t>
      </w:r>
      <w:r>
        <w:rPr>
          <w:rFonts w:ascii="Times New Roman" w:eastAsia="仿宋_GB2312" w:hAnsi="Times New Roman"/>
          <w:sz w:val="32"/>
          <w:szCs w:val="32"/>
        </w:rPr>
        <w:t>2013</w:t>
      </w:r>
      <w:r>
        <w:rPr>
          <w:rFonts w:ascii="Times New Roman" w:eastAsia="仿宋_GB2312" w:hAnsi="Times New Roman"/>
          <w:sz w:val="32"/>
          <w:szCs w:val="32"/>
        </w:rPr>
        <w:t>年下降</w:t>
      </w:r>
      <w:r>
        <w:rPr>
          <w:rFonts w:ascii="Times New Roman" w:eastAsia="仿宋_GB2312" w:hAnsi="Times New Roman"/>
          <w:sz w:val="32"/>
          <w:szCs w:val="32"/>
        </w:rPr>
        <w:t>9.9</w:t>
      </w:r>
      <w:r>
        <w:rPr>
          <w:rFonts w:ascii="Times New Roman" w:eastAsia="仿宋_GB2312" w:hAnsi="Times New Roman"/>
          <w:sz w:val="32"/>
          <w:szCs w:val="32"/>
        </w:rPr>
        <w:t>个百分点，其中自筹资金为</w:t>
      </w:r>
      <w:r>
        <w:rPr>
          <w:rFonts w:ascii="Times New Roman" w:eastAsia="仿宋_GB2312" w:hAnsi="Times New Roman"/>
          <w:sz w:val="32"/>
          <w:szCs w:val="32"/>
        </w:rPr>
        <w:t>23.94</w:t>
      </w:r>
      <w:r>
        <w:rPr>
          <w:rFonts w:ascii="Times New Roman" w:eastAsia="仿宋_GB2312" w:hAnsi="Times New Roman"/>
          <w:sz w:val="32"/>
          <w:szCs w:val="32"/>
        </w:rPr>
        <w:t>亿元，占本年到位资金比重</w:t>
      </w:r>
      <w:r>
        <w:rPr>
          <w:rFonts w:ascii="Times New Roman" w:eastAsia="仿宋_GB2312" w:hAnsi="Times New Roman"/>
          <w:sz w:val="32"/>
          <w:szCs w:val="32"/>
        </w:rPr>
        <w:t>22.1%</w:t>
      </w:r>
      <w:r>
        <w:rPr>
          <w:rFonts w:ascii="Times New Roman" w:eastAsia="仿宋_GB2312" w:hAnsi="Times New Roman"/>
          <w:sz w:val="32"/>
          <w:szCs w:val="32"/>
        </w:rPr>
        <w:t>，比</w:t>
      </w:r>
      <w:r>
        <w:rPr>
          <w:rFonts w:ascii="Times New Roman" w:eastAsia="仿宋_GB2312" w:hAnsi="Times New Roman"/>
          <w:sz w:val="32"/>
          <w:szCs w:val="32"/>
        </w:rPr>
        <w:t>2013</w:t>
      </w:r>
      <w:r>
        <w:rPr>
          <w:rFonts w:ascii="Times New Roman" w:eastAsia="仿宋_GB2312" w:hAnsi="Times New Roman"/>
          <w:sz w:val="32"/>
          <w:szCs w:val="32"/>
        </w:rPr>
        <w:t>年回</w:t>
      </w:r>
      <w:r>
        <w:rPr>
          <w:rFonts w:ascii="Times New Roman" w:eastAsia="仿宋_GB2312" w:hAnsi="Times New Roman"/>
          <w:sz w:val="32"/>
          <w:szCs w:val="32"/>
        </w:rPr>
        <w:lastRenderedPageBreak/>
        <w:t>落</w:t>
      </w:r>
      <w:r>
        <w:rPr>
          <w:rFonts w:ascii="Times New Roman" w:eastAsia="仿宋_GB2312" w:hAnsi="Times New Roman"/>
          <w:sz w:val="32"/>
          <w:szCs w:val="32"/>
        </w:rPr>
        <w:t>36.5</w:t>
      </w:r>
      <w:r>
        <w:rPr>
          <w:rFonts w:ascii="Times New Roman" w:eastAsia="仿宋_GB2312" w:hAnsi="Times New Roman"/>
          <w:sz w:val="32"/>
          <w:szCs w:val="32"/>
        </w:rPr>
        <w:t>个百分点。同时企业各项应付工程款和企业到位资金的比例由</w:t>
      </w:r>
      <w:r>
        <w:rPr>
          <w:rFonts w:ascii="Times New Roman" w:eastAsia="仿宋_GB2312" w:hAnsi="Times New Roman"/>
          <w:sz w:val="32"/>
          <w:szCs w:val="32"/>
        </w:rPr>
        <w:t>2013</w:t>
      </w:r>
      <w:r>
        <w:rPr>
          <w:rFonts w:ascii="Times New Roman" w:eastAsia="仿宋_GB2312" w:hAnsi="Times New Roman"/>
          <w:sz w:val="32"/>
          <w:szCs w:val="32"/>
        </w:rPr>
        <w:t>年的</w:t>
      </w:r>
      <w:r>
        <w:rPr>
          <w:rFonts w:ascii="Times New Roman" w:eastAsia="仿宋_GB2312" w:hAnsi="Times New Roman"/>
          <w:sz w:val="32"/>
          <w:szCs w:val="32"/>
        </w:rPr>
        <w:t>1:8.0</w:t>
      </w:r>
      <w:r>
        <w:rPr>
          <w:rFonts w:ascii="Times New Roman" w:eastAsia="仿宋_GB2312" w:hAnsi="Times New Roman"/>
          <w:sz w:val="32"/>
          <w:szCs w:val="32"/>
        </w:rPr>
        <w:t>提高到</w:t>
      </w:r>
      <w:r>
        <w:rPr>
          <w:rFonts w:ascii="Times New Roman" w:eastAsia="仿宋_GB2312" w:hAnsi="Times New Roman"/>
          <w:sz w:val="32"/>
          <w:szCs w:val="32"/>
        </w:rPr>
        <w:t>1:4.5</w:t>
      </w:r>
      <w:r>
        <w:rPr>
          <w:rFonts w:ascii="Times New Roman" w:eastAsia="仿宋_GB2312" w:hAnsi="Times New Roman"/>
          <w:sz w:val="32"/>
          <w:szCs w:val="32"/>
        </w:rPr>
        <w:t>，说明企业工程欠款比例有所提高，偿债压力进一步加大。</w:t>
      </w:r>
    </w:p>
    <w:p w:rsidR="005307DF" w:rsidRDefault="00BA47A2">
      <w:pPr>
        <w:spacing w:line="540" w:lineRule="exact"/>
        <w:ind w:firstLineChars="200" w:firstLine="640"/>
        <w:rPr>
          <w:rFonts w:ascii="Times New Roman" w:eastAsia="楷体" w:hAnsi="Times New Roman"/>
          <w:bCs/>
          <w:sz w:val="32"/>
          <w:szCs w:val="32"/>
        </w:rPr>
      </w:pPr>
      <w:r>
        <w:rPr>
          <w:rFonts w:ascii="Times New Roman" w:eastAsia="楷体" w:hAnsi="Times New Roman"/>
          <w:bCs/>
          <w:sz w:val="32"/>
          <w:szCs w:val="32"/>
        </w:rPr>
        <w:t>（五）</w:t>
      </w:r>
      <w:r>
        <w:rPr>
          <w:rFonts w:ascii="Times New Roman" w:eastAsia="楷体" w:hAnsi="Times New Roman"/>
          <w:bCs/>
          <w:sz w:val="32"/>
          <w:szCs w:val="32"/>
        </w:rPr>
        <w:t>区域</w:t>
      </w:r>
      <w:r>
        <w:rPr>
          <w:rFonts w:ascii="Times New Roman" w:eastAsia="楷体" w:hAnsi="Times New Roman"/>
          <w:bCs/>
          <w:sz w:val="32"/>
          <w:szCs w:val="32"/>
        </w:rPr>
        <w:t>市场容量</w:t>
      </w:r>
      <w:r>
        <w:rPr>
          <w:rFonts w:ascii="Times New Roman" w:eastAsia="楷体" w:hAnsi="Times New Roman"/>
          <w:bCs/>
          <w:sz w:val="32"/>
          <w:szCs w:val="32"/>
        </w:rPr>
        <w:t>较</w:t>
      </w:r>
      <w:r>
        <w:rPr>
          <w:rFonts w:ascii="Times New Roman" w:eastAsia="楷体" w:hAnsi="Times New Roman"/>
          <w:bCs/>
          <w:sz w:val="32"/>
          <w:szCs w:val="32"/>
        </w:rPr>
        <w:t>小，开放程度不高</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南安市户籍人口</w:t>
      </w:r>
      <w:r>
        <w:rPr>
          <w:rFonts w:ascii="Times New Roman" w:eastAsia="仿宋_GB2312" w:hAnsi="Times New Roman"/>
          <w:sz w:val="32"/>
          <w:szCs w:val="32"/>
        </w:rPr>
        <w:t>165.5</w:t>
      </w:r>
      <w:r>
        <w:rPr>
          <w:rFonts w:ascii="Times New Roman" w:eastAsia="仿宋_GB2312" w:hAnsi="Times New Roman"/>
          <w:sz w:val="32"/>
          <w:szCs w:val="32"/>
        </w:rPr>
        <w:t>万人，常住人口</w:t>
      </w:r>
      <w:r>
        <w:rPr>
          <w:rFonts w:ascii="Times New Roman" w:eastAsia="仿宋_GB2312" w:hAnsi="Times New Roman"/>
          <w:sz w:val="32"/>
          <w:szCs w:val="32"/>
        </w:rPr>
        <w:t>150.8</w:t>
      </w:r>
      <w:r>
        <w:rPr>
          <w:rFonts w:ascii="Times New Roman" w:eastAsia="仿宋_GB2312" w:hAnsi="Times New Roman"/>
          <w:sz w:val="32"/>
          <w:szCs w:val="32"/>
        </w:rPr>
        <w:t>万人，流入人口少于流出人口，加之我市毗邻泉州、厦门两大城市，地域环境和市场竞争决定了我市房地产刚性需求小、外来消费少，导致房地产市场开发低迷。</w:t>
      </w:r>
    </w:p>
    <w:p w:rsidR="005307DF" w:rsidRDefault="00BA47A2">
      <w:pPr>
        <w:widowControl/>
        <w:numPr>
          <w:ilvl w:val="0"/>
          <w:numId w:val="1"/>
        </w:numPr>
        <w:wordWrap w:val="0"/>
        <w:spacing w:line="54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发展对策</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住，是人类生存的基本需要，住房问题关乎国计民生。随着城市化进程的不断加快，住房需求的问题持续凸显，也越来越受到各级部门的重视。因此，中央政府确立了</w:t>
      </w:r>
      <w:r>
        <w:rPr>
          <w:rFonts w:ascii="Times New Roman" w:eastAsia="仿宋_GB2312" w:hAnsi="Times New Roman"/>
          <w:sz w:val="32"/>
          <w:szCs w:val="32"/>
        </w:rPr>
        <w:t>“</w:t>
      </w:r>
      <w:r>
        <w:rPr>
          <w:rFonts w:ascii="Times New Roman" w:eastAsia="仿宋_GB2312" w:hAnsi="Times New Roman"/>
          <w:sz w:val="32"/>
          <w:szCs w:val="32"/>
        </w:rPr>
        <w:t>坚持房地产调控政策不动摇，促进房价合理回归</w:t>
      </w:r>
      <w:r>
        <w:rPr>
          <w:rFonts w:ascii="Times New Roman" w:eastAsia="仿宋_GB2312" w:hAnsi="Times New Roman"/>
          <w:sz w:val="32"/>
          <w:szCs w:val="32"/>
        </w:rPr>
        <w:t>”</w:t>
      </w:r>
      <w:r>
        <w:rPr>
          <w:rFonts w:ascii="Times New Roman" w:eastAsia="仿宋_GB2312" w:hAnsi="Times New Roman"/>
          <w:sz w:val="32"/>
          <w:szCs w:val="32"/>
        </w:rPr>
        <w:t>主基调，各级有关部门共同探讨房地产业稳健发展的新路径，将对经济社会的和谐发展起着重要的作用。</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kern w:val="0"/>
          <w:sz w:val="32"/>
          <w:szCs w:val="32"/>
        </w:rPr>
        <w:t>（一）稳房价。</w:t>
      </w:r>
      <w:r>
        <w:rPr>
          <w:rFonts w:ascii="Times New Roman" w:eastAsia="仿宋_GB2312" w:hAnsi="Times New Roman"/>
          <w:sz w:val="32"/>
          <w:szCs w:val="32"/>
        </w:rPr>
        <w:t>建议住建部门引进第三方机构，对申报价格较高的新建商品住房销售价格进行评估，从地价成本、建安成本、销售管理成本、税费、合理利润等要素，对申报价格的合理性进行综合评估，促使房价回归理性水平。</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kern w:val="0"/>
          <w:sz w:val="32"/>
          <w:szCs w:val="32"/>
        </w:rPr>
        <w:t>（二）稳市场。</w:t>
      </w:r>
      <w:r>
        <w:rPr>
          <w:rFonts w:ascii="Times New Roman" w:eastAsia="仿宋_GB2312" w:hAnsi="Times New Roman"/>
          <w:sz w:val="32"/>
          <w:szCs w:val="32"/>
        </w:rPr>
        <w:t>要严肃查处捂盘惜售、炒买炒卖、规避调控政策、制造市场恐慌等房地产企业和中介机构的违法违规行为。要持续保持高压严查态势，对各类违法违规行为，发现一起，查处一起，并向社会公布，形成震慑。</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kern w:val="0"/>
          <w:sz w:val="32"/>
          <w:szCs w:val="32"/>
        </w:rPr>
        <w:lastRenderedPageBreak/>
        <w:t>（三）稳政策。</w:t>
      </w:r>
      <w:r>
        <w:rPr>
          <w:rFonts w:ascii="Times New Roman" w:eastAsia="仿宋_GB2312" w:hAnsi="Times New Roman"/>
          <w:sz w:val="32"/>
          <w:szCs w:val="32"/>
        </w:rPr>
        <w:t>保持政策的连续性和稳定性，保证房地产市场平稳较快发展。当前房地产市场运行整体基本平稳，市场中出现的一些变化是近年</w:t>
      </w:r>
      <w:r>
        <w:rPr>
          <w:rFonts w:ascii="Times New Roman" w:eastAsia="仿宋_GB2312" w:hAnsi="Times New Roman"/>
          <w:sz w:val="32"/>
          <w:szCs w:val="32"/>
        </w:rPr>
        <w:t>来房地产调控政策实施的积极效果，是对近年来房价持续过快上涨的一个市场调整行为。当前房地产发展政策在总体上不宜松动，尤其是在住房保障政策和信贷政策上必须坚持，应保持政策的连续性和稳定性。</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kern w:val="0"/>
          <w:sz w:val="32"/>
          <w:szCs w:val="32"/>
        </w:rPr>
        <w:t>（四）稳保障。</w:t>
      </w:r>
      <w:r>
        <w:rPr>
          <w:rFonts w:ascii="Times New Roman" w:eastAsia="仿宋_GB2312" w:hAnsi="Times New Roman"/>
          <w:sz w:val="32"/>
          <w:szCs w:val="32"/>
        </w:rPr>
        <w:t>继</w:t>
      </w:r>
      <w:r>
        <w:rPr>
          <w:rFonts w:ascii="Times New Roman" w:eastAsia="仿宋_GB2312" w:hAnsi="Times New Roman"/>
          <w:sz w:val="32"/>
          <w:szCs w:val="32"/>
        </w:rPr>
        <w:t>续加大经济适用房保障力度，满足中低收入家庭的住房需求。政府要坚定不移地贯彻解决民生保障问题，加大保障性住房建设，大力推进经济适用住房和廉租住房建设，充分发挥其对稳定房价、控制价格的积极作用，进一步促进商品房销售的增长，保障低收入群体、住房困难户的基本住房需求。</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kern w:val="0"/>
          <w:sz w:val="32"/>
          <w:szCs w:val="32"/>
        </w:rPr>
        <w:t>（五）稳预期。</w:t>
      </w:r>
      <w:r>
        <w:rPr>
          <w:rFonts w:ascii="Times New Roman" w:eastAsia="仿宋_GB2312" w:hAnsi="Times New Roman"/>
          <w:b/>
          <w:bCs/>
          <w:sz w:val="32"/>
          <w:szCs w:val="32"/>
        </w:rPr>
        <w:t>一是</w:t>
      </w:r>
      <w:r>
        <w:rPr>
          <w:rFonts w:ascii="Times New Roman" w:eastAsia="仿宋_GB2312" w:hAnsi="Times New Roman"/>
          <w:sz w:val="32"/>
          <w:szCs w:val="32"/>
        </w:rPr>
        <w:t>各地要全面落实住房销售合同网签</w:t>
      </w:r>
      <w:r>
        <w:rPr>
          <w:rFonts w:ascii="Times New Roman" w:eastAsia="仿宋_GB2312" w:hAnsi="Times New Roman"/>
          <w:sz w:val="32"/>
          <w:szCs w:val="32"/>
        </w:rPr>
        <w:t>备案制度，定期发布权威信息；</w:t>
      </w:r>
      <w:r>
        <w:rPr>
          <w:rFonts w:ascii="Times New Roman" w:eastAsia="仿宋_GB2312" w:hAnsi="Times New Roman"/>
          <w:b/>
          <w:bCs/>
          <w:sz w:val="32"/>
          <w:szCs w:val="32"/>
        </w:rPr>
        <w:t>二是</w:t>
      </w:r>
      <w:r>
        <w:rPr>
          <w:rFonts w:ascii="Times New Roman" w:eastAsia="仿宋_GB2312" w:hAnsi="Times New Roman"/>
          <w:sz w:val="32"/>
          <w:szCs w:val="32"/>
        </w:rPr>
        <w:t>加强政策解读和市场信息公开，及时澄清误读，正面引导舆论；</w:t>
      </w:r>
      <w:r>
        <w:rPr>
          <w:rFonts w:ascii="Times New Roman" w:eastAsia="仿宋_GB2312" w:hAnsi="Times New Roman"/>
          <w:b/>
          <w:bCs/>
          <w:sz w:val="32"/>
          <w:szCs w:val="32"/>
        </w:rPr>
        <w:t>三是</w:t>
      </w:r>
      <w:r>
        <w:rPr>
          <w:rFonts w:ascii="Times New Roman" w:eastAsia="仿宋_GB2312" w:hAnsi="Times New Roman"/>
          <w:sz w:val="32"/>
          <w:szCs w:val="32"/>
        </w:rPr>
        <w:t>严厉打击利用自媒体公众号等网络媒体炒作渲染房地产、散布虚假信息等行为。</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bCs/>
          <w:sz w:val="32"/>
          <w:szCs w:val="32"/>
        </w:rPr>
        <w:t>（六）促新型城镇化</w:t>
      </w:r>
      <w:r>
        <w:rPr>
          <w:rFonts w:ascii="Times New Roman" w:eastAsia="楷体" w:hAnsi="Times New Roman"/>
          <w:bCs/>
          <w:sz w:val="32"/>
          <w:szCs w:val="32"/>
        </w:rPr>
        <w:t>建设</w:t>
      </w:r>
      <w:r>
        <w:rPr>
          <w:rFonts w:ascii="Times New Roman" w:eastAsia="楷体" w:hAnsi="Times New Roman"/>
          <w:bCs/>
          <w:sz w:val="32"/>
          <w:szCs w:val="32"/>
        </w:rPr>
        <w:t>。</w:t>
      </w:r>
      <w:r>
        <w:rPr>
          <w:rFonts w:ascii="Times New Roman" w:eastAsia="仿宋_GB2312" w:hAnsi="Times New Roman"/>
          <w:sz w:val="32"/>
          <w:szCs w:val="32"/>
        </w:rPr>
        <w:t>新型城镇化是推进房地产市场发展的坚实后盾和潜力所在。要大力推进以人为核心的新型城镇化建设进程，高品质做好北山、三丰、港仔渡片区规划建设；对接对标厦门，加速芯谷片区城市规划建设；推动罗东文卫商旅、仑苍产城融合、北部新城道口片区、康雪洪片区等改造提升，打造一批各美其美的城市会客厅，全面提升城镇功能。进一步加大基础设施建设力度，</w:t>
      </w:r>
      <w:r>
        <w:rPr>
          <w:rFonts w:ascii="Times New Roman" w:eastAsia="仿宋_GB2312" w:hAnsi="Times New Roman"/>
          <w:sz w:val="32"/>
          <w:szCs w:val="32"/>
        </w:rPr>
        <w:t>完善商业、教育、医疗等各项配套设施，提高城市的宜居度和住宅小区的舒适度，大力发展相关产业，实现产</w:t>
      </w:r>
      <w:r>
        <w:rPr>
          <w:rFonts w:ascii="Times New Roman" w:eastAsia="仿宋_GB2312" w:hAnsi="Times New Roman"/>
          <w:sz w:val="32"/>
          <w:szCs w:val="32"/>
        </w:rPr>
        <w:lastRenderedPageBreak/>
        <w:t>城融合，吸纳、凝聚城市人口，将产业发展、城市建设与房地产发展融合起来，培育潜在购房需求，推动新型城镇化和房地产市场健康发展。</w:t>
      </w:r>
    </w:p>
    <w:p w:rsidR="005307DF" w:rsidRDefault="00BA47A2">
      <w:pPr>
        <w:spacing w:line="540" w:lineRule="exact"/>
        <w:ind w:firstLineChars="200" w:firstLine="640"/>
        <w:rPr>
          <w:rFonts w:ascii="Times New Roman" w:eastAsia="仿宋_GB2312" w:hAnsi="Times New Roman"/>
          <w:sz w:val="32"/>
          <w:szCs w:val="32"/>
        </w:rPr>
      </w:pPr>
      <w:r>
        <w:rPr>
          <w:rFonts w:ascii="Times New Roman" w:eastAsia="楷体" w:hAnsi="Times New Roman"/>
          <w:bCs/>
          <w:sz w:val="32"/>
          <w:szCs w:val="32"/>
        </w:rPr>
        <w:t>（七）促</w:t>
      </w:r>
      <w:r>
        <w:rPr>
          <w:rFonts w:ascii="Times New Roman" w:eastAsia="楷体" w:hAnsi="Times New Roman"/>
          <w:bCs/>
          <w:sz w:val="32"/>
          <w:szCs w:val="32"/>
        </w:rPr>
        <w:t>新型发展模式</w:t>
      </w:r>
      <w:r>
        <w:rPr>
          <w:rFonts w:ascii="Times New Roman" w:eastAsia="楷体" w:hAnsi="Times New Roman"/>
          <w:bCs/>
          <w:sz w:val="32"/>
          <w:szCs w:val="32"/>
        </w:rPr>
        <w:t>。</w:t>
      </w:r>
      <w:r>
        <w:rPr>
          <w:rFonts w:ascii="Times New Roman" w:eastAsia="仿宋_GB2312" w:hAnsi="Times New Roman"/>
          <w:sz w:val="32"/>
          <w:szCs w:val="32"/>
        </w:rPr>
        <w:t>坚持由单纯房产向其他房产转变，瞄准高端人群和老年群体，将养生、休闲、度假、疗养融为一体，打造复合型旅游地产经济。坚持以人为本，注重新材料、新技术的应用，提升产品的技术创新优势；不断完善管理体制，最大限度地整合人、财、物有形资产和技术、品牌、信誉等无形资源，提升行业整体</w:t>
      </w:r>
      <w:r>
        <w:rPr>
          <w:rFonts w:ascii="Times New Roman" w:eastAsia="仿宋_GB2312" w:hAnsi="Times New Roman"/>
          <w:sz w:val="32"/>
          <w:szCs w:val="32"/>
        </w:rPr>
        <w:t>开发运营水平，实现房地产市场供需的高效匹配。</w:t>
      </w:r>
    </w:p>
    <w:p w:rsidR="005307DF" w:rsidRDefault="00BA47A2">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展望房地产形势，在</w:t>
      </w:r>
      <w:r>
        <w:rPr>
          <w:rFonts w:ascii="Times New Roman" w:eastAsia="仿宋_GB2312" w:hAnsi="Times New Roman"/>
          <w:sz w:val="32"/>
          <w:szCs w:val="32"/>
        </w:rPr>
        <w:t>“</w:t>
      </w:r>
      <w:r>
        <w:rPr>
          <w:rFonts w:ascii="Times New Roman" w:eastAsia="仿宋_GB2312" w:hAnsi="Times New Roman"/>
          <w:sz w:val="32"/>
          <w:szCs w:val="32"/>
        </w:rPr>
        <w:t>房子是用来住的，不是用来炒的</w:t>
      </w:r>
      <w:r>
        <w:rPr>
          <w:rFonts w:ascii="Times New Roman" w:eastAsia="仿宋_GB2312" w:hAnsi="Times New Roman"/>
          <w:sz w:val="32"/>
          <w:szCs w:val="32"/>
        </w:rPr>
        <w:t>”</w:t>
      </w:r>
      <w:r>
        <w:rPr>
          <w:rFonts w:ascii="Times New Roman" w:eastAsia="仿宋_GB2312" w:hAnsi="Times New Roman"/>
          <w:sz w:val="32"/>
          <w:szCs w:val="32"/>
        </w:rPr>
        <w:t>的大背景下，在各级政府的坚强领导下，房地产市场继续从量到质提升，稳健发展，从而促进经济和谐发展，实现人民安居乐业。</w:t>
      </w:r>
    </w:p>
    <w:p w:rsidR="005307DF" w:rsidRDefault="005307DF">
      <w:pPr>
        <w:widowControl/>
        <w:wordWrap w:val="0"/>
        <w:spacing w:line="540" w:lineRule="exact"/>
        <w:ind w:firstLineChars="200" w:firstLine="640"/>
        <w:rPr>
          <w:rFonts w:ascii="Times New Roman" w:eastAsia="仿宋_GB2312" w:hAnsi="Times New Roman"/>
          <w:kern w:val="0"/>
          <w:sz w:val="32"/>
          <w:szCs w:val="32"/>
        </w:rPr>
      </w:pPr>
    </w:p>
    <w:p w:rsidR="005307DF" w:rsidRDefault="00BA47A2">
      <w:pPr>
        <w:widowControl/>
        <w:spacing w:line="540" w:lineRule="exact"/>
        <w:ind w:firstLineChars="200" w:firstLine="640"/>
        <w:rPr>
          <w:rFonts w:ascii="仿宋_GB2312" w:eastAsia="仿宋_GB2312" w:hAnsiTheme="minorEastAsia" w:cstheme="minorEastAsia"/>
          <w:kern w:val="0"/>
          <w:sz w:val="32"/>
          <w:szCs w:val="32"/>
        </w:rPr>
      </w:pPr>
      <w:r>
        <w:rPr>
          <w:rFonts w:ascii="Times New Roman" w:eastAsia="仿宋_GB2312" w:hAnsi="Times New Roman"/>
          <w:kern w:val="0"/>
          <w:sz w:val="32"/>
          <w:szCs w:val="32"/>
        </w:rPr>
        <w:t>注：</w:t>
      </w:r>
      <w:r>
        <w:rPr>
          <w:rFonts w:ascii="Times New Roman" w:eastAsia="仿宋_GB2312" w:hAnsi="Times New Roman"/>
          <w:kern w:val="0"/>
          <w:sz w:val="32"/>
          <w:szCs w:val="32"/>
        </w:rPr>
        <w:t>[1]</w:t>
      </w:r>
      <w:r>
        <w:rPr>
          <w:rFonts w:ascii="Times New Roman" w:eastAsia="仿宋_GB2312" w:hAnsi="Times New Roman"/>
          <w:kern w:val="0"/>
          <w:sz w:val="32"/>
          <w:szCs w:val="32"/>
        </w:rPr>
        <w:t>文中所涉指标数据标</w:t>
      </w:r>
      <w:r>
        <w:rPr>
          <w:rFonts w:ascii="Times New Roman" w:eastAsia="仿宋_GB2312" w:hAnsi="Times New Roman"/>
          <w:kern w:val="0"/>
          <w:sz w:val="32"/>
          <w:szCs w:val="32"/>
        </w:rPr>
        <w:t>“*”</w:t>
      </w:r>
      <w:r>
        <w:rPr>
          <w:rFonts w:ascii="Times New Roman" w:eastAsia="仿宋_GB2312" w:hAnsi="Times New Roman"/>
          <w:kern w:val="0"/>
          <w:sz w:val="32"/>
          <w:szCs w:val="32"/>
        </w:rPr>
        <w:t>，指纳入联网直报系统和非联网直报系统的具有法人资格的房地产开发企业；其他指标均为纳入联网直报系统具有法人资格的房地</w:t>
      </w:r>
      <w:r>
        <w:rPr>
          <w:rFonts w:ascii="仿宋_GB2312" w:eastAsia="仿宋_GB2312" w:hAnsiTheme="minorEastAsia" w:cstheme="minorEastAsia" w:hint="eastAsia"/>
          <w:kern w:val="0"/>
          <w:sz w:val="32"/>
          <w:szCs w:val="32"/>
        </w:rPr>
        <w:t>产开发企业。</w:t>
      </w:r>
    </w:p>
    <w:p w:rsidR="005307DF" w:rsidRDefault="005307DF">
      <w:pPr>
        <w:widowControl/>
        <w:wordWrap w:val="0"/>
        <w:ind w:firstLineChars="200" w:firstLine="640"/>
        <w:jc w:val="right"/>
        <w:rPr>
          <w:rFonts w:ascii="仿宋_GB2312" w:eastAsia="仿宋_GB2312" w:hAnsiTheme="minorEastAsia" w:cstheme="minorEastAsia"/>
          <w:kern w:val="0"/>
          <w:sz w:val="32"/>
          <w:szCs w:val="32"/>
        </w:rPr>
      </w:pPr>
    </w:p>
    <w:p w:rsidR="005307DF" w:rsidRDefault="00BA47A2">
      <w:pPr>
        <w:widowControl/>
        <w:ind w:firstLineChars="200" w:firstLine="640"/>
        <w:jc w:val="right"/>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（南安市统计局　陈美丹）</w:t>
      </w:r>
    </w:p>
    <w:p w:rsidR="005307DF" w:rsidRDefault="00BA47A2">
      <w:pPr>
        <w:jc w:val="center"/>
      </w:pPr>
      <w:r>
        <w:rPr>
          <w:rFonts w:eastAsia="仿宋_GB2312" w:hint="eastAsia"/>
          <w:noProof/>
        </w:rPr>
        <w:drawing>
          <wp:inline distT="0" distB="0" distL="114300" distR="114300">
            <wp:extent cx="1212850" cy="1212850"/>
            <wp:effectExtent l="0" t="0" r="6350" b="6350"/>
            <wp:docPr id="6"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rcode_for_gh_1eebab0522fd_258"/>
                    <pic:cNvPicPr>
                      <a:picLocks noChangeAspect="1"/>
                    </pic:cNvPicPr>
                  </pic:nvPicPr>
                  <pic:blipFill>
                    <a:blip r:embed="rId15"/>
                    <a:stretch>
                      <a:fillRect/>
                    </a:stretch>
                  </pic:blipFill>
                  <pic:spPr>
                    <a:xfrm>
                      <a:off x="0" y="0"/>
                      <a:ext cx="1212850" cy="1212850"/>
                    </a:xfrm>
                    <a:prstGeom prst="rect">
                      <a:avLst/>
                    </a:prstGeom>
                    <a:noFill/>
                    <a:ln w="9525">
                      <a:noFill/>
                    </a:ln>
                  </pic:spPr>
                </pic:pic>
              </a:graphicData>
            </a:graphic>
          </wp:inline>
        </w:drawing>
      </w:r>
    </w:p>
    <w:p w:rsidR="005307DF" w:rsidRDefault="00BA47A2">
      <w:pPr>
        <w:jc w:val="center"/>
        <w:rPr>
          <w:rFonts w:ascii="仿宋_GB2312" w:eastAsia="仿宋_GB2312" w:hAnsiTheme="minorEastAsia" w:cstheme="minorEastAsia"/>
          <w:kern w:val="0"/>
          <w:sz w:val="32"/>
          <w:szCs w:val="32"/>
        </w:rPr>
      </w:pPr>
      <w:r>
        <w:rPr>
          <w:rFonts w:ascii="仿宋_GB2312" w:eastAsia="仿宋_GB2312" w:hAnsi="仿宋_GB2312" w:cs="仿宋_GB2312" w:hint="eastAsia"/>
          <w:sz w:val="24"/>
        </w:rPr>
        <w:t>扫码关注南安市统计局</w:t>
      </w:r>
    </w:p>
    <w:sectPr w:rsidR="005307DF" w:rsidSect="005307DF">
      <w:footerReference w:type="default" r:id="rId16"/>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A2" w:rsidRDefault="00BA47A2" w:rsidP="005307DF">
      <w:r>
        <w:separator/>
      </w:r>
    </w:p>
  </w:endnote>
  <w:endnote w:type="continuationSeparator" w:id="1">
    <w:p w:rsidR="00BA47A2" w:rsidRDefault="00BA47A2" w:rsidP="00530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DF" w:rsidRDefault="005307DF">
    <w:pPr>
      <w:pStyle w:val="a4"/>
      <w:jc w:val="center"/>
    </w:pPr>
  </w:p>
  <w:p w:rsidR="005307DF" w:rsidRDefault="005307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DF" w:rsidRDefault="005307DF">
    <w:pPr>
      <w:pStyle w:val="a4"/>
      <w:jc w:val="center"/>
    </w:pPr>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filled="f" stroked="f">
          <v:textbox style="mso-fit-shape-to-text:t" inset="0,0,0,0">
            <w:txbxContent>
              <w:sdt>
                <w:sdtPr>
                  <w:id w:val="86850876"/>
                </w:sdtPr>
                <w:sdtContent>
                  <w:p w:rsidR="005307DF" w:rsidRDefault="005307DF">
                    <w:pPr>
                      <w:pStyle w:val="a4"/>
                      <w:jc w:val="center"/>
                    </w:pPr>
                    <w:r w:rsidRPr="005307DF">
                      <w:rPr>
                        <w:rFonts w:asciiTheme="majorEastAsia" w:eastAsiaTheme="majorEastAsia" w:hAnsiTheme="majorEastAsia" w:cstheme="majorEastAsia" w:hint="eastAsia"/>
                        <w:sz w:val="28"/>
                        <w:szCs w:val="28"/>
                      </w:rPr>
                      <w:fldChar w:fldCharType="begin"/>
                    </w:r>
                    <w:r w:rsidR="00BA47A2">
                      <w:rPr>
                        <w:rFonts w:asciiTheme="majorEastAsia" w:eastAsiaTheme="majorEastAsia" w:hAnsiTheme="majorEastAsia" w:cstheme="majorEastAsia" w:hint="eastAsia"/>
                        <w:sz w:val="28"/>
                        <w:szCs w:val="28"/>
                      </w:rPr>
                      <w:instrText xml:space="preserve"> PAGE   \* MERGEFORMAT </w:instrText>
                    </w:r>
                    <w:r w:rsidRPr="005307DF">
                      <w:rPr>
                        <w:rFonts w:asciiTheme="majorEastAsia" w:eastAsiaTheme="majorEastAsia" w:hAnsiTheme="majorEastAsia" w:cstheme="majorEastAsia" w:hint="eastAsia"/>
                        <w:sz w:val="28"/>
                        <w:szCs w:val="28"/>
                      </w:rPr>
                      <w:fldChar w:fldCharType="separate"/>
                    </w:r>
                    <w:r w:rsidR="007952FF" w:rsidRPr="007952FF">
                      <w:rPr>
                        <w:rFonts w:asciiTheme="majorEastAsia" w:eastAsiaTheme="majorEastAsia" w:hAnsiTheme="majorEastAsia" w:cstheme="majorEastAsia"/>
                        <w:noProof/>
                        <w:sz w:val="28"/>
                        <w:szCs w:val="28"/>
                        <w:lang w:val="zh-CN"/>
                      </w:rPr>
                      <w:t>-</w:t>
                    </w:r>
                    <w:r w:rsidR="007952FF">
                      <w:rPr>
                        <w:rFonts w:asciiTheme="majorEastAsia" w:eastAsiaTheme="majorEastAsia" w:hAnsiTheme="majorEastAsia" w:cstheme="majorEastAsia"/>
                        <w:noProof/>
                        <w:sz w:val="28"/>
                        <w:szCs w:val="28"/>
                      </w:rPr>
                      <w:t xml:space="preserve"> 4 -</w:t>
                    </w:r>
                    <w:r>
                      <w:rPr>
                        <w:rFonts w:asciiTheme="majorEastAsia" w:eastAsiaTheme="majorEastAsia" w:hAnsiTheme="majorEastAsia" w:cstheme="majorEastAsia" w:hint="eastAsia"/>
                        <w:sz w:val="28"/>
                        <w:szCs w:val="28"/>
                        <w:lang w:val="zh-CN"/>
                      </w:rPr>
                      <w:fldChar w:fldCharType="end"/>
                    </w:r>
                  </w:p>
                </w:sdtContent>
              </w:sdt>
              <w:p w:rsidR="005307DF" w:rsidRDefault="005307DF"/>
            </w:txbxContent>
          </v:textbox>
          <w10:wrap anchorx="margin"/>
        </v:shape>
      </w:pict>
    </w:r>
  </w:p>
  <w:p w:rsidR="005307DF" w:rsidRDefault="005307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A2" w:rsidRDefault="00BA47A2" w:rsidP="005307DF">
      <w:r>
        <w:separator/>
      </w:r>
    </w:p>
  </w:footnote>
  <w:footnote w:type="continuationSeparator" w:id="1">
    <w:p w:rsidR="00BA47A2" w:rsidRDefault="00BA47A2" w:rsidP="00530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9640F"/>
    <w:multiLevelType w:val="singleLevel"/>
    <w:tmpl w:val="5E99640F"/>
    <w:lvl w:ilvl="0">
      <w:start w:val="1"/>
      <w:numFmt w:val="chineseCounting"/>
      <w:suff w:val="nothing"/>
      <w:lvlText w:val="%1、"/>
      <w:lvlJc w:val="left"/>
    </w:lvl>
  </w:abstractNum>
  <w:abstractNum w:abstractNumId="1">
    <w:nsid w:val="601BA0DD"/>
    <w:multiLevelType w:val="singleLevel"/>
    <w:tmpl w:val="601BA0D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DE06FF"/>
    <w:rsid w:val="00060E0E"/>
    <w:rsid w:val="000A2F97"/>
    <w:rsid w:val="001E5982"/>
    <w:rsid w:val="00213594"/>
    <w:rsid w:val="003A46EF"/>
    <w:rsid w:val="005307DF"/>
    <w:rsid w:val="00631FC7"/>
    <w:rsid w:val="006E41FA"/>
    <w:rsid w:val="007531B7"/>
    <w:rsid w:val="007952FF"/>
    <w:rsid w:val="007A4260"/>
    <w:rsid w:val="008C7BF6"/>
    <w:rsid w:val="008F6FC6"/>
    <w:rsid w:val="00916270"/>
    <w:rsid w:val="0097527F"/>
    <w:rsid w:val="00AE0FD8"/>
    <w:rsid w:val="00AF5C17"/>
    <w:rsid w:val="00B82462"/>
    <w:rsid w:val="00BA47A2"/>
    <w:rsid w:val="00BC0C27"/>
    <w:rsid w:val="00BE78A4"/>
    <w:rsid w:val="00C03A06"/>
    <w:rsid w:val="00C57155"/>
    <w:rsid w:val="00CA7D4D"/>
    <w:rsid w:val="00CC3153"/>
    <w:rsid w:val="00CE1424"/>
    <w:rsid w:val="00D6087C"/>
    <w:rsid w:val="00D63400"/>
    <w:rsid w:val="00D70A94"/>
    <w:rsid w:val="00E03AC5"/>
    <w:rsid w:val="00F47EA7"/>
    <w:rsid w:val="00F858E0"/>
    <w:rsid w:val="00FA5CFF"/>
    <w:rsid w:val="019B09AB"/>
    <w:rsid w:val="04DF61FD"/>
    <w:rsid w:val="0614482F"/>
    <w:rsid w:val="08A20F6E"/>
    <w:rsid w:val="0A8D5FCE"/>
    <w:rsid w:val="0DC70617"/>
    <w:rsid w:val="0EB26741"/>
    <w:rsid w:val="126B1354"/>
    <w:rsid w:val="12D1081B"/>
    <w:rsid w:val="12EE6EAB"/>
    <w:rsid w:val="13A47C0D"/>
    <w:rsid w:val="15830120"/>
    <w:rsid w:val="1A452D0E"/>
    <w:rsid w:val="1B0F764A"/>
    <w:rsid w:val="1E4835E2"/>
    <w:rsid w:val="215D6861"/>
    <w:rsid w:val="21C92A3B"/>
    <w:rsid w:val="237E3078"/>
    <w:rsid w:val="23A514F7"/>
    <w:rsid w:val="23F72D88"/>
    <w:rsid w:val="23FF7B28"/>
    <w:rsid w:val="2CB95549"/>
    <w:rsid w:val="2D66067B"/>
    <w:rsid w:val="2DDE06FF"/>
    <w:rsid w:val="319F4664"/>
    <w:rsid w:val="321D1E3A"/>
    <w:rsid w:val="3827094E"/>
    <w:rsid w:val="39594C92"/>
    <w:rsid w:val="399D5398"/>
    <w:rsid w:val="3B7F0056"/>
    <w:rsid w:val="3CFC3CA1"/>
    <w:rsid w:val="3F477A18"/>
    <w:rsid w:val="414E3EA6"/>
    <w:rsid w:val="41871219"/>
    <w:rsid w:val="420457FB"/>
    <w:rsid w:val="4286409D"/>
    <w:rsid w:val="434D5C52"/>
    <w:rsid w:val="44244DC9"/>
    <w:rsid w:val="46276F0E"/>
    <w:rsid w:val="483F6E97"/>
    <w:rsid w:val="501C0EAA"/>
    <w:rsid w:val="50B14D89"/>
    <w:rsid w:val="51E22B01"/>
    <w:rsid w:val="52253C39"/>
    <w:rsid w:val="538E3ABA"/>
    <w:rsid w:val="56407936"/>
    <w:rsid w:val="58097AD1"/>
    <w:rsid w:val="5A956B51"/>
    <w:rsid w:val="5C48574B"/>
    <w:rsid w:val="5C563D86"/>
    <w:rsid w:val="5F607E44"/>
    <w:rsid w:val="62FC777B"/>
    <w:rsid w:val="64915B14"/>
    <w:rsid w:val="64DB6527"/>
    <w:rsid w:val="65415497"/>
    <w:rsid w:val="65A45027"/>
    <w:rsid w:val="66363363"/>
    <w:rsid w:val="67CC67ED"/>
    <w:rsid w:val="67FD29F8"/>
    <w:rsid w:val="69726FE2"/>
    <w:rsid w:val="6D1331A4"/>
    <w:rsid w:val="704E74CC"/>
    <w:rsid w:val="71047BB5"/>
    <w:rsid w:val="74884ECC"/>
    <w:rsid w:val="7492412F"/>
    <w:rsid w:val="75EA0CC5"/>
    <w:rsid w:val="7B9D5B3A"/>
    <w:rsid w:val="7BBB0930"/>
    <w:rsid w:val="7BF541DC"/>
    <w:rsid w:val="7F590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7D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307DF"/>
    <w:rPr>
      <w:sz w:val="18"/>
      <w:szCs w:val="18"/>
    </w:rPr>
  </w:style>
  <w:style w:type="paragraph" w:styleId="a4">
    <w:name w:val="footer"/>
    <w:basedOn w:val="a"/>
    <w:link w:val="Char0"/>
    <w:uiPriority w:val="99"/>
    <w:qFormat/>
    <w:rsid w:val="005307DF"/>
    <w:pPr>
      <w:tabs>
        <w:tab w:val="center" w:pos="4153"/>
        <w:tab w:val="right" w:pos="8306"/>
      </w:tabs>
      <w:snapToGrid w:val="0"/>
      <w:jc w:val="left"/>
    </w:pPr>
    <w:rPr>
      <w:sz w:val="18"/>
      <w:szCs w:val="18"/>
    </w:rPr>
  </w:style>
  <w:style w:type="paragraph" w:styleId="a5">
    <w:name w:val="header"/>
    <w:basedOn w:val="a"/>
    <w:link w:val="Char1"/>
    <w:qFormat/>
    <w:rsid w:val="005307D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307DF"/>
    <w:pPr>
      <w:spacing w:before="100" w:beforeAutospacing="1" w:after="100" w:afterAutospacing="1"/>
      <w:jc w:val="left"/>
    </w:pPr>
    <w:rPr>
      <w:kern w:val="0"/>
      <w:sz w:val="24"/>
    </w:rPr>
  </w:style>
  <w:style w:type="character" w:styleId="a7">
    <w:name w:val="FollowedHyperlink"/>
    <w:basedOn w:val="a0"/>
    <w:qFormat/>
    <w:rsid w:val="005307DF"/>
    <w:rPr>
      <w:color w:val="333333"/>
      <w:u w:val="none"/>
    </w:rPr>
  </w:style>
  <w:style w:type="character" w:styleId="a8">
    <w:name w:val="Emphasis"/>
    <w:basedOn w:val="a0"/>
    <w:qFormat/>
    <w:rsid w:val="005307DF"/>
  </w:style>
  <w:style w:type="character" w:styleId="a9">
    <w:name w:val="Hyperlink"/>
    <w:basedOn w:val="a0"/>
    <w:qFormat/>
    <w:rsid w:val="005307DF"/>
    <w:rPr>
      <w:color w:val="333333"/>
      <w:u w:val="none"/>
    </w:rPr>
  </w:style>
  <w:style w:type="character" w:customStyle="1" w:styleId="icon">
    <w:name w:val="icon"/>
    <w:basedOn w:val="a0"/>
    <w:qFormat/>
    <w:rsid w:val="005307DF"/>
  </w:style>
  <w:style w:type="character" w:customStyle="1" w:styleId="icon1">
    <w:name w:val="icon1"/>
    <w:basedOn w:val="a0"/>
    <w:qFormat/>
    <w:rsid w:val="005307DF"/>
  </w:style>
  <w:style w:type="character" w:customStyle="1" w:styleId="Char1">
    <w:name w:val="页眉 Char"/>
    <w:basedOn w:val="a0"/>
    <w:link w:val="a5"/>
    <w:qFormat/>
    <w:rsid w:val="005307DF"/>
    <w:rPr>
      <w:rFonts w:ascii="Calibri" w:hAnsi="Calibri"/>
      <w:kern w:val="2"/>
      <w:sz w:val="18"/>
      <w:szCs w:val="18"/>
    </w:rPr>
  </w:style>
  <w:style w:type="character" w:customStyle="1" w:styleId="Char0">
    <w:name w:val="页脚 Char"/>
    <w:basedOn w:val="a0"/>
    <w:link w:val="a4"/>
    <w:uiPriority w:val="99"/>
    <w:qFormat/>
    <w:rsid w:val="005307DF"/>
    <w:rPr>
      <w:rFonts w:ascii="Calibri" w:hAnsi="Calibri"/>
      <w:kern w:val="2"/>
      <w:sz w:val="18"/>
      <w:szCs w:val="18"/>
    </w:rPr>
  </w:style>
  <w:style w:type="character" w:customStyle="1" w:styleId="layui-layer-tabnow">
    <w:name w:val="layui-layer-tabnow"/>
    <w:basedOn w:val="a0"/>
    <w:qFormat/>
    <w:rsid w:val="005307DF"/>
    <w:rPr>
      <w:bdr w:val="single" w:sz="6" w:space="0" w:color="CCCCCC"/>
      <w:shd w:val="clear" w:color="auto" w:fill="FFFFFF"/>
    </w:rPr>
  </w:style>
  <w:style w:type="character" w:customStyle="1" w:styleId="first-child">
    <w:name w:val="first-child"/>
    <w:basedOn w:val="a0"/>
    <w:qFormat/>
    <w:rsid w:val="005307DF"/>
  </w:style>
  <w:style w:type="character" w:customStyle="1" w:styleId="Char">
    <w:name w:val="批注框文本 Char"/>
    <w:basedOn w:val="a0"/>
    <w:link w:val="a3"/>
    <w:qFormat/>
    <w:rsid w:val="005307D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Excel%2097-2003%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6"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892186145100703"/>
          <c:y val="0.15649452269170605"/>
          <c:w val="0.51642740148376498"/>
          <c:h val="0.83881064162754304"/>
        </c:manualLayout>
      </c:layout>
      <c:pieChart>
        <c:varyColors val="1"/>
        <c:ser>
          <c:idx val="0"/>
          <c:order val="0"/>
          <c:spPr>
            <a:pattFill prst="pct5">
              <a:fgClr>
                <a:schemeClr val="tx2"/>
              </a:fgClr>
              <a:bgClr>
                <a:schemeClr val="bg1"/>
              </a:bgClr>
            </a:pattFill>
            <a:ln w="12700" cmpd="sng">
              <a:solidFill>
                <a:schemeClr val="tx1"/>
              </a:solidFill>
              <a:prstDash val="solid"/>
            </a:ln>
          </c:spPr>
          <c:dPt>
            <c:idx val="0"/>
            <c:spPr>
              <a:pattFill prst="wdDnDiag">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1"/>
            <c:spPr>
              <a:pattFill prst="pct50">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2"/>
            <c:spPr>
              <a:pattFill prst="dotGrid">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3"/>
            <c:spPr>
              <a:pattFill prst="dkHorz">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Lbls>
            <c:dLbl>
              <c:idx val="0"/>
              <c:layout>
                <c:manualLayout>
                  <c:x val="0.12141224062689904"/>
                  <c:y val="-8.2500802669089046E-2"/>
                </c:manualLayout>
              </c:layout>
              <c:tx>
                <c:rich>
                  <a:bodyPr/>
                  <a:lstStyle/>
                  <a:p>
                    <a:r>
                      <a:t>88</a:t>
                    </a:r>
                    <a:r>
                      <a:rPr lang="en-US" altLang="zh-CN"/>
                      <a:t>.6</a:t>
                    </a:r>
                    <a:r>
                      <a:t>%</a:t>
                    </a:r>
                  </a:p>
                </c:rich>
              </c:tx>
              <c:dLblPos val="bestFit"/>
              <c:showPercent val="1"/>
              <c:extLst>
                <c:ext xmlns:c15="http://schemas.microsoft.com/office/drawing/2012/chart" uri="{CE6537A1-D6FC-4f65-9D91-7224C49458BB}">
                  <c15:layout>
                    <c:manualLayout>
                      <c:w val="0.10491447843893"/>
                      <c:h val="0.0787205516184639"/>
                    </c:manualLayout>
                  </c15:layout>
                </c:ext>
              </c:extLst>
            </c:dLbl>
            <c:dLbl>
              <c:idx val="1"/>
              <c:layout>
                <c:manualLayout>
                  <c:x val="-4.2259693071002212E-2"/>
                  <c:y val="2.6667284572835605E-2"/>
                </c:manualLayout>
              </c:layout>
              <c:tx>
                <c:rich>
                  <a:bodyPr/>
                  <a:lstStyle/>
                  <a:p>
                    <a:r>
                      <a:rPr lang="en-US" altLang="zh-CN"/>
                      <a:t>6.7</a:t>
                    </a:r>
                    <a:r>
                      <a:t>%</a:t>
                    </a:r>
                  </a:p>
                </c:rich>
              </c:tx>
              <c:dLblPos val="bestFit"/>
              <c:showPercent val="1"/>
              <c:extLst>
                <c:ext xmlns:c15="http://schemas.microsoft.com/office/drawing/2012/chart" uri="{CE6537A1-D6FC-4f65-9D91-7224C49458BB}">
                  <c15:layout/>
                </c:ext>
              </c:extLst>
            </c:dLbl>
            <c:dLbl>
              <c:idx val="2"/>
              <c:layout>
                <c:manualLayout>
                  <c:x val="-3.369349092353241E-2"/>
                  <c:y val="-1.7360776359725813E-2"/>
                </c:manualLayout>
              </c:layout>
              <c:tx>
                <c:rich>
                  <a:bodyPr/>
                  <a:lstStyle/>
                  <a:p>
                    <a:r>
                      <a:t>3</a:t>
                    </a:r>
                    <a:r>
                      <a:rPr lang="en-US" altLang="zh-CN"/>
                      <a:t>.0</a:t>
                    </a:r>
                    <a:r>
                      <a:t>%</a:t>
                    </a:r>
                  </a:p>
                </c:rich>
              </c:tx>
              <c:dLblPos val="bestFit"/>
              <c:showPercent val="1"/>
              <c:extLst>
                <c:ext xmlns:c15="http://schemas.microsoft.com/office/drawing/2012/chart" uri="{CE6537A1-D6FC-4f65-9D91-7224C49458BB}">
                  <c15:layout/>
                </c:ext>
              </c:extLst>
            </c:dLbl>
            <c:dLbl>
              <c:idx val="3"/>
              <c:layout>
                <c:manualLayout>
                  <c:x val="7.3706464420484424E-2"/>
                  <c:y val="-2.0700213616672611E-4"/>
                </c:manualLayout>
              </c:layout>
              <c:tx>
                <c:rich>
                  <a:bodyPr/>
                  <a:lstStyle/>
                  <a:p>
                    <a:r>
                      <a:rPr lang="en-US" altLang="zh-CN"/>
                      <a:t>1.7</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'[图表.xlsx]内资企业从业人员分布情况 (2)'!$C$34:$C$37</c:f>
              <c:strCache>
                <c:ptCount val="4"/>
                <c:pt idx="0">
                  <c:v>房地产开发经营</c:v>
                </c:pt>
                <c:pt idx="1">
                  <c:v>物业管理</c:v>
                </c:pt>
                <c:pt idx="2">
                  <c:v>房地产中介服务</c:v>
                </c:pt>
                <c:pt idx="3">
                  <c:v>房地产租赁经营</c:v>
                </c:pt>
              </c:strCache>
            </c:strRef>
          </c:cat>
          <c:val>
            <c:numRef>
              <c:f>'[图表.xlsx]内资企业从业人员分布情况 (2)'!$D$34:$D$37</c:f>
              <c:numCache>
                <c:formatCode>0.0_ </c:formatCode>
                <c:ptCount val="4"/>
                <c:pt idx="0">
                  <c:v>88.644616956966104</c:v>
                </c:pt>
                <c:pt idx="1">
                  <c:v>6.7192902341966221</c:v>
                </c:pt>
                <c:pt idx="2">
                  <c:v>2.9682301519994807</c:v>
                </c:pt>
                <c:pt idx="3">
                  <c:v>1.67438623958945</c:v>
                </c:pt>
              </c:numCache>
            </c:numRef>
          </c:val>
        </c:ser>
        <c:dLbls>
          <c:showPercent val="1"/>
        </c:dLbls>
        <c:firstSliceAng val="0"/>
      </c:pieChart>
      <c:spPr>
        <a:noFill/>
        <a:ln>
          <a:noFill/>
        </a:ln>
        <a:effectLst/>
      </c:spPr>
    </c:plotArea>
    <c:legend>
      <c:legendPos val="r"/>
      <c:layout>
        <c:manualLayout>
          <c:xMode val="edge"/>
          <c:yMode val="edge"/>
          <c:x val="0.7127198265478204"/>
          <c:y val="0.38919747174870811"/>
          <c:w val="0.27330763671404512"/>
          <c:h val="0.35357211262210309"/>
        </c:manualLayout>
      </c:layout>
      <c:spPr>
        <a:noFill/>
        <a:ln>
          <a:noFill/>
        </a:ln>
        <a:effectLst/>
      </c:spPr>
      <c:txPr>
        <a:bodyPr rot="0" spcFirstLastPara="0" vertOverflow="ellipsis" vert="horz" wrap="square" anchor="ctr" anchorCtr="1"/>
        <a:lstStyle/>
        <a:p>
          <a:pPr>
            <a:defRPr lang="zh-CN" sz="14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sz="14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'[新建 Microsoft Excel 97-2003 工作表.xls]Sheet1'!$B$1</c:f>
              <c:strCache>
                <c:ptCount val="1"/>
                <c:pt idx="0">
                  <c:v>房地产税收</c:v>
                </c:pt>
              </c:strCache>
            </c:strRef>
          </c:tx>
          <c:spPr>
            <a:solidFill>
              <a:schemeClr val="tx1"/>
            </a:solidFill>
            <a:ln>
              <a:noFill/>
            </a:ln>
            <a:effectLst/>
          </c:spPr>
          <c:cat>
            <c:numRef>
              <c:f>'[新建 Microsoft Excel 97-2003 工作表.xls]Sheet1'!$A$2:$A$7</c:f>
              <c:numCache>
                <c:formatCode>General</c:formatCode>
                <c:ptCount val="6"/>
                <c:pt idx="0">
                  <c:v>2013</c:v>
                </c:pt>
                <c:pt idx="1">
                  <c:v>2014</c:v>
                </c:pt>
                <c:pt idx="2">
                  <c:v>2015</c:v>
                </c:pt>
                <c:pt idx="3">
                  <c:v>2016</c:v>
                </c:pt>
                <c:pt idx="4">
                  <c:v>2017</c:v>
                </c:pt>
                <c:pt idx="5">
                  <c:v>2018</c:v>
                </c:pt>
              </c:numCache>
            </c:numRef>
          </c:cat>
          <c:val>
            <c:numRef>
              <c:f>'[新建 Microsoft Excel 97-2003 工作表.xls]Sheet1'!$B$2:$B$7</c:f>
              <c:numCache>
                <c:formatCode>General</c:formatCode>
                <c:ptCount val="6"/>
                <c:pt idx="0">
                  <c:v>7.55</c:v>
                </c:pt>
                <c:pt idx="1">
                  <c:v>11.450000000000003</c:v>
                </c:pt>
                <c:pt idx="2">
                  <c:v>9.8000000000000007</c:v>
                </c:pt>
                <c:pt idx="3">
                  <c:v>6.34</c:v>
                </c:pt>
                <c:pt idx="4">
                  <c:v>7.6599999999999984</c:v>
                </c:pt>
                <c:pt idx="5">
                  <c:v>11</c:v>
                </c:pt>
              </c:numCache>
            </c:numRef>
          </c:val>
        </c:ser>
        <c:ser>
          <c:idx val="1"/>
          <c:order val="1"/>
          <c:tx>
            <c:strRef>
              <c:f>'[新建 Microsoft Excel 97-2003 工作表.xls]Sheet1'!$C$1</c:f>
              <c:strCache>
                <c:ptCount val="1"/>
                <c:pt idx="0">
                  <c:v>全市税收</c:v>
                </c:pt>
              </c:strCache>
            </c:strRef>
          </c:tx>
          <c:spPr>
            <a:pattFill prst="pct25">
              <a:fgClr>
                <a:schemeClr val="tx1"/>
              </a:fgClr>
              <a:bgClr>
                <a:schemeClr val="bg1"/>
              </a:bgClr>
            </a:pattFill>
            <a:ln>
              <a:noFill/>
            </a:ln>
            <a:effectLst/>
          </c:spPr>
          <c:dPt>
            <c:idx val="0"/>
            <c:spPr>
              <a:pattFill prst="wdUpDiag">
                <a:fgClr>
                  <a:schemeClr val="tx1"/>
                </a:fgClr>
                <a:bgClr>
                  <a:schemeClr val="bg1"/>
                </a:bgClr>
              </a:pattFill>
              <a:ln>
                <a:noFill/>
              </a:ln>
              <a:effectLst/>
            </c:spPr>
          </c:dPt>
          <c:dPt>
            <c:idx val="1"/>
            <c:spPr>
              <a:pattFill prst="wdUpDiag">
                <a:fgClr>
                  <a:schemeClr val="tx1"/>
                </a:fgClr>
                <a:bgClr>
                  <a:schemeClr val="bg1"/>
                </a:bgClr>
              </a:pattFill>
              <a:ln>
                <a:noFill/>
              </a:ln>
              <a:effectLst/>
            </c:spPr>
          </c:dPt>
          <c:dPt>
            <c:idx val="2"/>
            <c:spPr>
              <a:pattFill prst="wdUpDiag">
                <a:fgClr>
                  <a:schemeClr val="tx1"/>
                </a:fgClr>
                <a:bgClr>
                  <a:schemeClr val="bg1"/>
                </a:bgClr>
              </a:pattFill>
              <a:ln>
                <a:noFill/>
              </a:ln>
              <a:effectLst/>
            </c:spPr>
          </c:dPt>
          <c:dPt>
            <c:idx val="3"/>
            <c:spPr>
              <a:pattFill prst="wdUpDiag">
                <a:fgClr>
                  <a:schemeClr val="tx1"/>
                </a:fgClr>
                <a:bgClr>
                  <a:schemeClr val="bg1"/>
                </a:bgClr>
              </a:pattFill>
              <a:ln>
                <a:noFill/>
              </a:ln>
              <a:effectLst/>
            </c:spPr>
          </c:dPt>
          <c:dPt>
            <c:idx val="4"/>
            <c:spPr>
              <a:pattFill prst="wdUpDiag">
                <a:fgClr>
                  <a:schemeClr val="tx1"/>
                </a:fgClr>
                <a:bgClr>
                  <a:schemeClr val="bg1"/>
                </a:bgClr>
              </a:pattFill>
              <a:ln>
                <a:noFill/>
              </a:ln>
              <a:effectLst/>
            </c:spPr>
          </c:dPt>
          <c:dPt>
            <c:idx val="5"/>
            <c:spPr>
              <a:pattFill prst="wdUpDiag">
                <a:fgClr>
                  <a:schemeClr val="tx1"/>
                </a:fgClr>
                <a:bgClr>
                  <a:schemeClr val="bg1"/>
                </a:bgClr>
              </a:pattFill>
              <a:ln>
                <a:noFill/>
              </a:ln>
              <a:effectLst/>
            </c:spPr>
          </c:dPt>
          <c:cat>
            <c:numRef>
              <c:f>'[新建 Microsoft Excel 97-2003 工作表.xls]Sheet1'!$A$2:$A$7</c:f>
              <c:numCache>
                <c:formatCode>General</c:formatCode>
                <c:ptCount val="6"/>
                <c:pt idx="0">
                  <c:v>2013</c:v>
                </c:pt>
                <c:pt idx="1">
                  <c:v>2014</c:v>
                </c:pt>
                <c:pt idx="2">
                  <c:v>2015</c:v>
                </c:pt>
                <c:pt idx="3">
                  <c:v>2016</c:v>
                </c:pt>
                <c:pt idx="4">
                  <c:v>2017</c:v>
                </c:pt>
                <c:pt idx="5">
                  <c:v>2018</c:v>
                </c:pt>
              </c:numCache>
            </c:numRef>
          </c:cat>
          <c:val>
            <c:numRef>
              <c:f>'[新建 Microsoft Excel 97-2003 工作表.xls]Sheet1'!$C$2:$C$7</c:f>
              <c:numCache>
                <c:formatCode>General</c:formatCode>
                <c:ptCount val="6"/>
                <c:pt idx="0">
                  <c:v>66.2</c:v>
                </c:pt>
                <c:pt idx="1">
                  <c:v>67.790000000000006</c:v>
                </c:pt>
                <c:pt idx="2">
                  <c:v>54.94</c:v>
                </c:pt>
                <c:pt idx="3">
                  <c:v>60.230000000000011</c:v>
                </c:pt>
                <c:pt idx="4">
                  <c:v>64.7</c:v>
                </c:pt>
                <c:pt idx="5">
                  <c:v>71.910000000000025</c:v>
                </c:pt>
              </c:numCache>
            </c:numRef>
          </c:val>
        </c:ser>
        <c:axId val="125916288"/>
        <c:axId val="125920384"/>
      </c:barChart>
      <c:lineChart>
        <c:grouping val="standard"/>
        <c:ser>
          <c:idx val="2"/>
          <c:order val="2"/>
          <c:tx>
            <c:strRef>
              <c:f>'[新建 Microsoft Excel 97-2003 工作表.xls]Sheet1'!$D$1</c:f>
              <c:strCache>
                <c:ptCount val="1"/>
                <c:pt idx="0">
                  <c:v>占比</c:v>
                </c:pt>
              </c:strCache>
            </c:strRef>
          </c:tx>
          <c:spPr>
            <a:ln w="28575" cap="rnd">
              <a:solidFill>
                <a:schemeClr val="tx1"/>
              </a:solidFill>
              <a:round/>
            </a:ln>
            <a:effectLst/>
          </c:spPr>
          <c:marker>
            <c:symbol val="none"/>
          </c:marker>
          <c:cat>
            <c:numRef>
              <c:f>'[新建 Microsoft Excel 97-2003 工作表.xls]Sheet1'!$A$2:$A$7</c:f>
              <c:numCache>
                <c:formatCode>General</c:formatCode>
                <c:ptCount val="6"/>
                <c:pt idx="0">
                  <c:v>2013</c:v>
                </c:pt>
                <c:pt idx="1">
                  <c:v>2014</c:v>
                </c:pt>
                <c:pt idx="2">
                  <c:v>2015</c:v>
                </c:pt>
                <c:pt idx="3">
                  <c:v>2016</c:v>
                </c:pt>
                <c:pt idx="4">
                  <c:v>2017</c:v>
                </c:pt>
                <c:pt idx="5">
                  <c:v>2018</c:v>
                </c:pt>
              </c:numCache>
            </c:numRef>
          </c:cat>
          <c:val>
            <c:numRef>
              <c:f>'[新建 Microsoft Excel 97-2003 工作表.xls]Sheet1'!$D$2:$D$7</c:f>
              <c:numCache>
                <c:formatCode>0.0_ </c:formatCode>
                <c:ptCount val="6"/>
                <c:pt idx="0">
                  <c:v>11.404833836858003</c:v>
                </c:pt>
                <c:pt idx="1">
                  <c:v>16.890396813689293</c:v>
                </c:pt>
                <c:pt idx="2">
                  <c:v>17.837641062977799</c:v>
                </c:pt>
                <c:pt idx="3">
                  <c:v>10.526315789473696</c:v>
                </c:pt>
                <c:pt idx="4">
                  <c:v>11.839258114373999</c:v>
                </c:pt>
                <c:pt idx="5">
                  <c:v>15.296898901404498</c:v>
                </c:pt>
              </c:numCache>
            </c:numRef>
          </c:val>
        </c:ser>
        <c:marker val="1"/>
        <c:axId val="125922304"/>
        <c:axId val="125928192"/>
      </c:lineChart>
      <c:catAx>
        <c:axId val="125916288"/>
        <c:scaling>
          <c:orientation val="minMax"/>
        </c:scaling>
        <c:axPos val="b"/>
        <c:title>
          <c:tx>
            <c:rich>
              <a:bodyPr rot="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altLang="en-US"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年份</a:t>
                </a:r>
              </a:p>
            </c:rich>
          </c:tx>
          <c:layout>
            <c:manualLayout>
              <c:xMode val="edge"/>
              <c:yMode val="edge"/>
              <c:x val="0.8542447895184222"/>
              <c:y val="0.7306436913071994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5920384"/>
        <c:crosses val="autoZero"/>
        <c:auto val="1"/>
        <c:lblAlgn val="ctr"/>
        <c:lblOffset val="100"/>
      </c:catAx>
      <c:valAx>
        <c:axId val="1259203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单位：亿元</a:t>
                </a:r>
              </a:p>
            </c:rich>
          </c:tx>
          <c:layout>
            <c:manualLayout>
              <c:xMode val="edge"/>
              <c:yMode val="edge"/>
              <c:x val="2.0948048838879602E-2"/>
              <c:y val="8.0697555137630161E-3"/>
            </c:manualLayout>
          </c:layout>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5916288"/>
        <c:crosses val="autoZero"/>
        <c:crossBetween val="between"/>
      </c:valAx>
      <c:catAx>
        <c:axId val="125922304"/>
        <c:scaling>
          <c:orientation val="minMax"/>
        </c:scaling>
        <c:delete val="1"/>
        <c:axPos val="b"/>
        <c:numFmt formatCode="General" sourceLinked="1"/>
        <c:tickLblPos val="nextTo"/>
        <c:crossAx val="125928192"/>
        <c:crosses val="autoZero"/>
        <c:auto val="1"/>
        <c:lblAlgn val="ctr"/>
        <c:lblOffset val="100"/>
      </c:catAx>
      <c:valAx>
        <c:axId val="125928192"/>
        <c:scaling>
          <c:orientation val="minMax"/>
        </c:scaling>
        <c:axPos val="r"/>
        <c:title>
          <c:tx>
            <c:rich>
              <a:bodyPr rot="-540000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单位：</a:t>
                </a:r>
                <a:r>
                  <a:rPr lang="en-US" altLang="zh-CN"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a:t>
                </a:r>
              </a:p>
            </c:rich>
          </c:tx>
          <c:layout>
            <c:manualLayout>
              <c:xMode val="edge"/>
              <c:yMode val="edge"/>
              <c:x val="0.94517596361024703"/>
              <c:y val="1.4652077278167303E-2"/>
            </c:manualLayout>
          </c:layout>
          <c:spPr>
            <a:noFill/>
            <a:ln>
              <a:noFill/>
            </a:ln>
            <a:effectLst/>
          </c:spPr>
        </c:title>
        <c:numFmt formatCode="0.0_ " sourceLinked="1"/>
        <c:tickLblPos val="nextTo"/>
        <c:spPr>
          <a:noFill/>
          <a:ln>
            <a:noFill/>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592230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1"/>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2"/>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ayout>
        <c:manualLayout>
          <c:xMode val="edge"/>
          <c:yMode val="edge"/>
          <c:x val="0.29033995690687109"/>
          <c:y val="0.85406676662164782"/>
        </c:manualLayout>
      </c:layout>
      <c:spPr>
        <a:noFill/>
        <a:ln>
          <a:noFill/>
        </a:ln>
        <a:effectLst/>
      </c:spPr>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066740007334105"/>
          <c:y val="5.3138528138528124E-2"/>
          <c:w val="0.55435765798802117"/>
          <c:h val="0.74430735930735881"/>
        </c:manualLayout>
      </c:layout>
      <c:lineChart>
        <c:grouping val="standard"/>
        <c:ser>
          <c:idx val="0"/>
          <c:order val="0"/>
          <c:tx>
            <c:strRef>
              <c:f>"销售面积"</c:f>
              <c:strCache>
                <c:ptCount val="1"/>
                <c:pt idx="0">
                  <c:v>销售面积</c:v>
                </c:pt>
              </c:strCache>
            </c:strRef>
          </c:tx>
          <c:spPr>
            <a:ln w="9525" cap="rnd" cmpd="sng" algn="ctr">
              <a:solidFill>
                <a:schemeClr val="tx1"/>
              </a:solidFill>
              <a:prstDash val="solid"/>
              <a:round/>
            </a:ln>
            <a:effectLst/>
          </c:spPr>
          <c:marker>
            <c:symbol val="none"/>
          </c:marker>
          <c:trendline>
            <c:spPr>
              <a:ln w="28575" cap="rnd" cmpd="dbl" algn="ctr">
                <a:solidFill>
                  <a:schemeClr val="tx1"/>
                </a:solidFill>
                <a:prstDash val="sysDot"/>
                <a:round/>
              </a:ln>
              <a:effectLst/>
            </c:spPr>
            <c:trendlineType val="linear"/>
          </c:trendline>
          <c:cat>
            <c:numRef>
              <c:f>[图表.xlsx]均价!$B$26:$B$31</c:f>
              <c:numCache>
                <c:formatCode>General</c:formatCode>
                <c:ptCount val="6"/>
                <c:pt idx="0">
                  <c:v>2013</c:v>
                </c:pt>
                <c:pt idx="1">
                  <c:v>2014</c:v>
                </c:pt>
                <c:pt idx="2">
                  <c:v>2015</c:v>
                </c:pt>
                <c:pt idx="3">
                  <c:v>2016</c:v>
                </c:pt>
                <c:pt idx="4">
                  <c:v>2017</c:v>
                </c:pt>
                <c:pt idx="5">
                  <c:v>2018</c:v>
                </c:pt>
              </c:numCache>
            </c:numRef>
          </c:cat>
          <c:val>
            <c:numRef>
              <c:f>[图表.xlsx]均价!$C$26:$C$31</c:f>
              <c:numCache>
                <c:formatCode>0.00_ </c:formatCode>
                <c:ptCount val="6"/>
                <c:pt idx="0">
                  <c:v>98.536900000000003</c:v>
                </c:pt>
                <c:pt idx="1">
                  <c:v>90.959700000000012</c:v>
                </c:pt>
                <c:pt idx="2">
                  <c:v>67.700900000000004</c:v>
                </c:pt>
                <c:pt idx="3">
                  <c:v>89.742700000000013</c:v>
                </c:pt>
                <c:pt idx="4">
                  <c:v>119.94180000000003</c:v>
                </c:pt>
                <c:pt idx="5">
                  <c:v>139.94300000000001</c:v>
                </c:pt>
              </c:numCache>
            </c:numRef>
          </c:val>
        </c:ser>
        <c:ser>
          <c:idx val="1"/>
          <c:order val="1"/>
          <c:tx>
            <c:strRef>
              <c:f>"趋势线（销售面积）"</c:f>
              <c:strCache>
                <c:ptCount val="1"/>
                <c:pt idx="0">
                  <c:v>趋势线（销售面积）</c:v>
                </c:pt>
              </c:strCache>
            </c:strRef>
          </c:tx>
          <c:spPr>
            <a:ln w="28575" cap="rnd" cmpd="dbl" algn="ctr">
              <a:solidFill>
                <a:schemeClr val="tx1"/>
              </a:solidFill>
              <a:prstDash val="sysDot"/>
              <a:round/>
            </a:ln>
            <a:effectLst/>
          </c:spPr>
          <c:marker>
            <c:symbol val="none"/>
          </c:marker>
          <c:cat>
            <c:numRef>
              <c:f>[图表.xlsx]均价!$B$26:$B$31</c:f>
              <c:numCache>
                <c:formatCode>General</c:formatCode>
                <c:ptCount val="6"/>
                <c:pt idx="0">
                  <c:v>2013</c:v>
                </c:pt>
                <c:pt idx="1">
                  <c:v>2014</c:v>
                </c:pt>
                <c:pt idx="2">
                  <c:v>2015</c:v>
                </c:pt>
                <c:pt idx="3">
                  <c:v>2016</c:v>
                </c:pt>
                <c:pt idx="4">
                  <c:v>2017</c:v>
                </c:pt>
                <c:pt idx="5">
                  <c:v>2018</c:v>
                </c:pt>
              </c:numCache>
            </c:numRef>
          </c:cat>
          <c:val>
            <c:numRef>
              <c:f>{1}</c:f>
              <c:numCache>
                <c:formatCode>General</c:formatCode>
                <c:ptCount val="1"/>
                <c:pt idx="0">
                  <c:v>1</c:v>
                </c:pt>
              </c:numCache>
            </c:numRef>
          </c:val>
        </c:ser>
        <c:marker val="1"/>
        <c:axId val="126515456"/>
        <c:axId val="128757120"/>
      </c:lineChart>
      <c:catAx>
        <c:axId val="126515456"/>
        <c:scaling>
          <c:orientation val="minMax"/>
        </c:scaling>
        <c:axPos val="b"/>
        <c:title>
          <c:tx>
            <c:rich>
              <a:bodyPr rot="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200">
                    <a:latin typeface="仿宋_GB2312" panose="02010609030101010101" charset="-122"/>
                    <a:ea typeface="仿宋_GB2312" panose="02010609030101010101" charset="-122"/>
                    <a:cs typeface="仿宋_GB2312" panose="02010609030101010101" charset="-122"/>
                    <a:sym typeface="仿宋_GB2312" panose="02010609030101010101" charset="-122"/>
                  </a:rPr>
                  <a:t>年份</a:t>
                </a:r>
              </a:p>
            </c:rich>
          </c:tx>
          <c:layout>
            <c:manualLayout>
              <c:xMode val="edge"/>
              <c:yMode val="edge"/>
              <c:x val="0.69398713482459318"/>
              <c:y val="0.84583333333333321"/>
            </c:manualLayout>
          </c:layout>
          <c:spPr>
            <a:noFill/>
            <a:ln>
              <a:noFill/>
            </a:ln>
            <a:effectLst/>
          </c:spPr>
        </c:title>
        <c:numFmt formatCode="General" sourceLinked="1"/>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8757120"/>
        <c:crosses val="autoZero"/>
        <c:lblAlgn val="ctr"/>
        <c:lblOffset val="100"/>
      </c:catAx>
      <c:valAx>
        <c:axId val="128757120"/>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altLang="en-US" sz="1200">
                    <a:latin typeface="仿宋_GB2312" panose="02010609030101010101" charset="-122"/>
                    <a:ea typeface="仿宋_GB2312" panose="02010609030101010101" charset="-122"/>
                    <a:cs typeface="仿宋_GB2312" panose="02010609030101010101" charset="-122"/>
                    <a:sym typeface="仿宋_GB2312" panose="02010609030101010101" charset="-122"/>
                  </a:rPr>
                  <a:t>单位：万平方米</a:t>
                </a:r>
              </a:p>
            </c:rich>
          </c:tx>
          <c:layout>
            <c:manualLayout>
              <c:xMode val="edge"/>
              <c:yMode val="edge"/>
              <c:x val="3.055555555555561E-2"/>
              <c:y val="2.4120370370370302E-2"/>
            </c:manualLayout>
          </c:layout>
          <c:spPr>
            <a:noFill/>
            <a:ln>
              <a:noFill/>
            </a:ln>
            <a:effectLst/>
          </c:spPr>
        </c:title>
        <c:numFmt formatCode="0_);[Red]\(0\)" sourceLinked="0"/>
        <c:tickLblPos val="nextTo"/>
        <c:spPr>
          <a:noFill/>
          <a:ln w="6350"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6515456"/>
        <c:crosses val="autoZero"/>
        <c:crossBetween val="between"/>
      </c:valAx>
      <c:spPr>
        <a:noFill/>
        <a:ln>
          <a:noFill/>
        </a:ln>
        <a:effectLst/>
      </c:spPr>
    </c:plotArea>
    <c:legend>
      <c:legendPos val="r"/>
      <c:legendEntry>
        <c:idx val="2"/>
        <c:delete val="1"/>
      </c:legendEntry>
      <c:legendEntry>
        <c:idx val="0"/>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1"/>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ayout>
        <c:manualLayout>
          <c:xMode val="edge"/>
          <c:yMode val="edge"/>
          <c:x val="0.70353111702816418"/>
          <c:y val="0.38944642732171614"/>
          <c:w val="0.28016134946827992"/>
          <c:h val="0.25043290043290001"/>
        </c:manualLayout>
      </c:layout>
      <c:spPr>
        <a:noFill/>
        <a:ln>
          <a:noFill/>
        </a:ln>
        <a:effectLst/>
      </c:spPr>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99499908029102"/>
          <c:y val="9.8070037302257329E-2"/>
          <c:w val="0.63268129770992421"/>
          <c:h val="0.77430693966298203"/>
        </c:manualLayout>
      </c:layout>
      <c:lineChart>
        <c:grouping val="standard"/>
        <c:ser>
          <c:idx val="0"/>
          <c:order val="0"/>
          <c:tx>
            <c:strRef>
              <c:f>[图表.xlsx]Sheet2!$B$2</c:f>
              <c:strCache>
                <c:ptCount val="1"/>
                <c:pt idx="0">
                  <c:v>房屋施工面积</c:v>
                </c:pt>
              </c:strCache>
            </c:strRef>
          </c:tx>
          <c:spPr>
            <a:ln w="22225" cap="rnd" cmpd="sng" algn="ctr">
              <a:solidFill>
                <a:schemeClr val="tx1"/>
              </a:solidFill>
              <a:prstDash val="lgDashDot"/>
              <a:round/>
            </a:ln>
            <a:effectLst/>
          </c:spPr>
          <c:marker>
            <c:symbol val="none"/>
          </c:marker>
          <c:cat>
            <c:numRef>
              <c:f>[图表.xlsx]Sheet2!$A$3:$A$8</c:f>
              <c:numCache>
                <c:formatCode>General</c:formatCode>
                <c:ptCount val="6"/>
                <c:pt idx="0">
                  <c:v>2013</c:v>
                </c:pt>
                <c:pt idx="1">
                  <c:v>2014</c:v>
                </c:pt>
                <c:pt idx="2">
                  <c:v>2015</c:v>
                </c:pt>
                <c:pt idx="3">
                  <c:v>2016</c:v>
                </c:pt>
                <c:pt idx="4">
                  <c:v>2017</c:v>
                </c:pt>
                <c:pt idx="5">
                  <c:v>2018</c:v>
                </c:pt>
              </c:numCache>
            </c:numRef>
          </c:cat>
          <c:val>
            <c:numRef>
              <c:f>[图表.xlsx]Sheet2!$B$3:$B$8</c:f>
              <c:numCache>
                <c:formatCode>General</c:formatCode>
                <c:ptCount val="6"/>
                <c:pt idx="0">
                  <c:v>745.85999999999979</c:v>
                </c:pt>
                <c:pt idx="1">
                  <c:v>726.31319999999982</c:v>
                </c:pt>
                <c:pt idx="2">
                  <c:v>688.57360000000017</c:v>
                </c:pt>
                <c:pt idx="3">
                  <c:v>638.41149999999982</c:v>
                </c:pt>
                <c:pt idx="4">
                  <c:v>656.59690000000001</c:v>
                </c:pt>
                <c:pt idx="5">
                  <c:v>844.08240000000001</c:v>
                </c:pt>
              </c:numCache>
            </c:numRef>
          </c:val>
        </c:ser>
        <c:ser>
          <c:idx val="1"/>
          <c:order val="1"/>
          <c:tx>
            <c:strRef>
              <c:f>[图表.xlsx]Sheet2!$C$2</c:f>
              <c:strCache>
                <c:ptCount val="1"/>
                <c:pt idx="0">
                  <c:v>房屋新开工面积</c:v>
                </c:pt>
              </c:strCache>
            </c:strRef>
          </c:tx>
          <c:spPr>
            <a:ln w="34925" cap="rnd" cmpd="dbl" algn="ctr">
              <a:solidFill>
                <a:schemeClr val="tx1"/>
              </a:solidFill>
              <a:prstDash val="sysDot"/>
              <a:round/>
            </a:ln>
            <a:effectLst/>
          </c:spPr>
          <c:marker>
            <c:symbol val="none"/>
          </c:marker>
          <c:cat>
            <c:numRef>
              <c:f>[图表.xlsx]Sheet2!$A$3:$A$8</c:f>
              <c:numCache>
                <c:formatCode>General</c:formatCode>
                <c:ptCount val="6"/>
                <c:pt idx="0">
                  <c:v>2013</c:v>
                </c:pt>
                <c:pt idx="1">
                  <c:v>2014</c:v>
                </c:pt>
                <c:pt idx="2">
                  <c:v>2015</c:v>
                </c:pt>
                <c:pt idx="3">
                  <c:v>2016</c:v>
                </c:pt>
                <c:pt idx="4">
                  <c:v>2017</c:v>
                </c:pt>
                <c:pt idx="5">
                  <c:v>2018</c:v>
                </c:pt>
              </c:numCache>
            </c:numRef>
          </c:cat>
          <c:val>
            <c:numRef>
              <c:f>[图表.xlsx]Sheet2!$C$3:$C$8</c:f>
              <c:numCache>
                <c:formatCode>General</c:formatCode>
                <c:ptCount val="6"/>
                <c:pt idx="0">
                  <c:v>199.40969999999999</c:v>
                </c:pt>
                <c:pt idx="1">
                  <c:v>67.878999999999976</c:v>
                </c:pt>
                <c:pt idx="2">
                  <c:v>47.473500000000001</c:v>
                </c:pt>
                <c:pt idx="3">
                  <c:v>93.964900000000029</c:v>
                </c:pt>
                <c:pt idx="4">
                  <c:v>160.95140000000006</c:v>
                </c:pt>
                <c:pt idx="5">
                  <c:v>258.30470000000008</c:v>
                </c:pt>
              </c:numCache>
            </c:numRef>
          </c:val>
        </c:ser>
        <c:ser>
          <c:idx val="2"/>
          <c:order val="2"/>
          <c:tx>
            <c:strRef>
              <c:f>[图表.xlsx]Sheet2!$D$2</c:f>
              <c:strCache>
                <c:ptCount val="1"/>
                <c:pt idx="0">
                  <c:v>房屋竣工面积</c:v>
                </c:pt>
              </c:strCache>
            </c:strRef>
          </c:tx>
          <c:spPr>
            <a:ln w="22225" cap="rnd" cmpd="sng" algn="ctr">
              <a:solidFill>
                <a:schemeClr val="tx1"/>
              </a:solidFill>
              <a:prstDash val="solid"/>
              <a:round/>
            </a:ln>
            <a:effectLst/>
          </c:spPr>
          <c:marker>
            <c:symbol val="none"/>
          </c:marker>
          <c:cat>
            <c:numRef>
              <c:f>[图表.xlsx]Sheet2!$A$3:$A$8</c:f>
              <c:numCache>
                <c:formatCode>General</c:formatCode>
                <c:ptCount val="6"/>
                <c:pt idx="0">
                  <c:v>2013</c:v>
                </c:pt>
                <c:pt idx="1">
                  <c:v>2014</c:v>
                </c:pt>
                <c:pt idx="2">
                  <c:v>2015</c:v>
                </c:pt>
                <c:pt idx="3">
                  <c:v>2016</c:v>
                </c:pt>
                <c:pt idx="4">
                  <c:v>2017</c:v>
                </c:pt>
                <c:pt idx="5">
                  <c:v>2018</c:v>
                </c:pt>
              </c:numCache>
            </c:numRef>
          </c:cat>
          <c:val>
            <c:numRef>
              <c:f>[图表.xlsx]Sheet2!$D$3:$D$8</c:f>
              <c:numCache>
                <c:formatCode>General</c:formatCode>
                <c:ptCount val="6"/>
                <c:pt idx="0">
                  <c:v>108.40390000000002</c:v>
                </c:pt>
                <c:pt idx="1">
                  <c:v>82.488699999999994</c:v>
                </c:pt>
                <c:pt idx="2">
                  <c:v>142.12790000000001</c:v>
                </c:pt>
                <c:pt idx="3">
                  <c:v>126.405</c:v>
                </c:pt>
                <c:pt idx="4">
                  <c:v>57.261900000000011</c:v>
                </c:pt>
                <c:pt idx="5">
                  <c:v>110.46180000000003</c:v>
                </c:pt>
              </c:numCache>
            </c:numRef>
          </c:val>
        </c:ser>
        <c:marker val="1"/>
        <c:axId val="127321600"/>
        <c:axId val="127323520"/>
      </c:lineChart>
      <c:catAx>
        <c:axId val="127321600"/>
        <c:scaling>
          <c:orientation val="minMax"/>
        </c:scaling>
        <c:axPos val="b"/>
        <c:title>
          <c:tx>
            <c:rich>
              <a:bodyPr rot="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年份</a:t>
                </a:r>
              </a:p>
            </c:rich>
          </c:tx>
          <c:layout>
            <c:manualLayout>
              <c:xMode val="edge"/>
              <c:yMode val="edge"/>
              <c:x val="0.74707756598914798"/>
              <c:y val="0.8874443987852958"/>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7323520"/>
        <c:crosses val="autoZero"/>
        <c:auto val="1"/>
        <c:lblAlgn val="ctr"/>
        <c:lblOffset val="100"/>
      </c:catAx>
      <c:valAx>
        <c:axId val="127323520"/>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rPr>
                  <a:t>单位：万平方米</a:t>
                </a:r>
              </a:p>
            </c:rich>
          </c:tx>
          <c:layout>
            <c:manualLayout>
              <c:xMode val="edge"/>
              <c:yMode val="edge"/>
              <c:x val="5.0803021245286817E-3"/>
              <c:y val="5.4966703603709512E-2"/>
            </c:manualLayout>
          </c:layout>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27321600"/>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1"/>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2"/>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ayout>
        <c:manualLayout>
          <c:xMode val="edge"/>
          <c:yMode val="edge"/>
          <c:x val="0.73783132530120499"/>
          <c:y val="0.25274524158125888"/>
          <c:w val="0.2542168674698802"/>
          <c:h val="0.30893118594436314"/>
        </c:manualLayout>
      </c:layout>
      <c:spPr>
        <a:noFill/>
        <a:ln>
          <a:noFill/>
        </a:ln>
        <a:effectLst/>
      </c:spPr>
      <c:txPr>
        <a:bodyPr rot="0" spcFirstLastPara="0" vertOverflow="ellipsis" vert="horz" wrap="square" anchor="ctr" anchorCtr="1"/>
        <a:lstStyle/>
        <a:p>
          <a:pPr>
            <a:defRPr lang="zh-CN" sz="12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sz="12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892186145100703"/>
          <c:y val="0.15649452269170605"/>
          <c:w val="0.51642740148376498"/>
          <c:h val="0.83881064162754304"/>
        </c:manualLayout>
      </c:layout>
      <c:pieChart>
        <c:varyColors val="1"/>
        <c:ser>
          <c:idx val="0"/>
          <c:order val="0"/>
          <c:spPr>
            <a:pattFill prst="pct5">
              <a:fgClr>
                <a:schemeClr val="tx2"/>
              </a:fgClr>
              <a:bgClr>
                <a:schemeClr val="bg1"/>
              </a:bgClr>
            </a:pattFill>
            <a:ln w="12700" cmpd="sng">
              <a:solidFill>
                <a:schemeClr val="tx1"/>
              </a:solidFill>
              <a:prstDash val="solid"/>
            </a:ln>
          </c:spPr>
          <c:dPt>
            <c:idx val="0"/>
            <c:spPr>
              <a:pattFill prst="wdDnDiag">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1"/>
            <c:spPr>
              <a:pattFill prst="pct50">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2"/>
            <c:spPr>
              <a:pattFill prst="dotGrid">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Pt>
            <c:idx val="3"/>
            <c:spPr>
              <a:pattFill prst="dkHorz">
                <a:fgClr>
                  <a:schemeClr val="tx2"/>
                </a:fgClr>
                <a:bgClr>
                  <a:schemeClr val="bg1"/>
                </a:bgClr>
              </a:pattFill>
              <a:ln w="12700" cmpd="sng">
                <a:solidFill>
                  <a:schemeClr val="tx1"/>
                </a:solidFill>
                <a:prstDash val="solid"/>
              </a:ln>
              <a:effectLst>
                <a:outerShdw blurRad="57150" dist="19050" dir="5400000" algn="ctr" rotWithShape="0">
                  <a:srgbClr val="000000">
                    <a:alpha val="63000"/>
                  </a:srgbClr>
                </a:outerShdw>
              </a:effectLst>
            </c:spPr>
          </c:dPt>
          <c:dLbls>
            <c:dLbl>
              <c:idx val="0"/>
              <c:layout>
                <c:manualLayout>
                  <c:x val="-4.9393797802593738E-2"/>
                  <c:y val="-8.3323407072841849E-3"/>
                </c:manualLayout>
              </c:layout>
              <c:dLblPos val="bestFit"/>
              <c:showVal val="1"/>
              <c:extLst>
                <c:ext xmlns:c15="http://schemas.microsoft.com/office/drawing/2012/chart" uri="{CE6537A1-D6FC-4f65-9D91-7224C49458BB}">
                  <c15:layout/>
                </c:ext>
              </c:extLst>
            </c:dLbl>
            <c:dLbl>
              <c:idx val="1"/>
              <c:layout>
                <c:manualLayout>
                  <c:x val="3.5651346687237517E-2"/>
                  <c:y val="2.6667284572835605E-2"/>
                </c:manualLayout>
              </c:layout>
              <c:dLblPos val="bestFit"/>
              <c:showVal val="1"/>
              <c:extLst>
                <c:ext xmlns:c15="http://schemas.microsoft.com/office/drawing/2012/chart" uri="{CE6537A1-D6FC-4f65-9D91-7224C49458BB}">
                  <c15:layout/>
                </c:ext>
              </c:extLst>
            </c:dLbl>
            <c:dLbl>
              <c:idx val="2"/>
              <c:layout>
                <c:manualLayout>
                  <c:x val="-1.0686030942755305E-2"/>
                  <c:y val="-0.13546664160174104"/>
                </c:manualLayout>
              </c:layout>
              <c:dLblPos val="bestFit"/>
              <c:showVal val="1"/>
              <c:extLst>
                <c:ext xmlns:c15="http://schemas.microsoft.com/office/drawing/2012/chart" uri="{CE6537A1-D6FC-4f65-9D91-7224C49458BB}">
                  <c15:layout/>
                </c:ext>
              </c:extLst>
            </c:dLbl>
            <c:dLbl>
              <c:idx val="3"/>
              <c:layout>
                <c:manualLayout>
                  <c:x val="-1.5155847503097099E-2"/>
                  <c:y val="1.0142555854426005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dLblPos val="in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[工作簿6]Sheet1!$C$34:$C$37</c:f>
              <c:strCache>
                <c:ptCount val="4"/>
                <c:pt idx="0">
                  <c:v>集体企业</c:v>
                </c:pt>
                <c:pt idx="1">
                  <c:v>国有独资企业</c:v>
                </c:pt>
                <c:pt idx="2">
                  <c:v>其他有限责任公司</c:v>
                </c:pt>
                <c:pt idx="3">
                  <c:v>私营企业</c:v>
                </c:pt>
              </c:strCache>
            </c:strRef>
          </c:cat>
          <c:val>
            <c:numRef>
              <c:f>[工作簿6]Sheet1!$D$34:$D$37</c:f>
              <c:numCache>
                <c:formatCode>0.0%</c:formatCode>
                <c:ptCount val="4"/>
                <c:pt idx="0">
                  <c:v>5.0195203569436707E-2</c:v>
                </c:pt>
                <c:pt idx="1">
                  <c:v>1.4500836586726204E-2</c:v>
                </c:pt>
                <c:pt idx="2">
                  <c:v>0.28276631344115999</c:v>
                </c:pt>
                <c:pt idx="3">
                  <c:v>0.6525376464026772</c:v>
                </c:pt>
              </c:numCache>
            </c:numRef>
          </c:val>
        </c:ser>
        <c:dLbls>
          <c:showPercent val="1"/>
        </c:dLbls>
        <c:firstSliceAng val="0"/>
      </c:pieChart>
      <c:spPr>
        <a:noFill/>
        <a:ln>
          <a:noFill/>
        </a:ln>
        <a:effectLst/>
      </c:spPr>
    </c:plotArea>
    <c:legend>
      <c:legendPos val="r"/>
      <c:layout>
        <c:manualLayout>
          <c:xMode val="edge"/>
          <c:yMode val="edge"/>
          <c:x val="0.69465189111057646"/>
          <c:y val="0.41522029372496722"/>
          <c:w val="0.30173452180197502"/>
          <c:h val="0.37192447072286933"/>
        </c:manualLayout>
      </c:layout>
      <c:spPr>
        <a:noFill/>
        <a:ln>
          <a:noFill/>
        </a:ln>
        <a:effectLst/>
      </c:spPr>
      <c:txPr>
        <a:bodyPr rot="0" spcFirstLastPara="0" vertOverflow="ellipsis" vert="horz" wrap="square" anchor="ctr" anchorCtr="1"/>
        <a:lstStyle/>
        <a:p>
          <a:pPr>
            <a:defRPr lang="zh-CN" sz="1400" b="0" i="0" u="none" strike="noStrike" kern="1200" baseline="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sz="1400">
          <a:solidFill>
            <a:sysClr val="windowText" lastClr="000000"/>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[图表.xlsx]Sheet2!$B$3</c:f>
              <c:strCache>
                <c:ptCount val="1"/>
                <c:pt idx="0">
                  <c:v>金额</c:v>
                </c:pt>
              </c:strCache>
            </c:strRef>
          </c:tx>
          <c:spPr>
            <a:pattFill prst="wdUpDiag">
              <a:fgClr>
                <a:schemeClr val="tx1"/>
              </a:fgClr>
              <a:bgClr>
                <a:schemeClr val="bg1"/>
              </a:bgClr>
            </a:pattFill>
            <a:ln w="12700" cmpd="sng">
              <a:solidFill>
                <a:schemeClr val="tx1"/>
              </a:solidFill>
              <a:prstDash val="solid"/>
            </a:ln>
            <a:effectLst/>
          </c:spPr>
          <c:cat>
            <c:numRef>
              <c:f>[图表.xlsx]Sheet2!$A$4:$A$9</c:f>
              <c:numCache>
                <c:formatCode>General</c:formatCode>
                <c:ptCount val="6"/>
                <c:pt idx="0">
                  <c:v>2013</c:v>
                </c:pt>
                <c:pt idx="1">
                  <c:v>2014</c:v>
                </c:pt>
                <c:pt idx="2">
                  <c:v>2015</c:v>
                </c:pt>
                <c:pt idx="3">
                  <c:v>2016</c:v>
                </c:pt>
                <c:pt idx="4">
                  <c:v>2017</c:v>
                </c:pt>
                <c:pt idx="5">
                  <c:v>2018</c:v>
                </c:pt>
              </c:numCache>
            </c:numRef>
          </c:cat>
          <c:val>
            <c:numRef>
              <c:f>[图表.xlsx]Sheet2!$B$4:$B$9</c:f>
              <c:numCache>
                <c:formatCode>0.00_ </c:formatCode>
                <c:ptCount val="6"/>
                <c:pt idx="0">
                  <c:v>50.836200000000005</c:v>
                </c:pt>
                <c:pt idx="1">
                  <c:v>50.5456</c:v>
                </c:pt>
                <c:pt idx="2">
                  <c:v>38.670700000000011</c:v>
                </c:pt>
                <c:pt idx="3">
                  <c:v>51.9405</c:v>
                </c:pt>
                <c:pt idx="4">
                  <c:v>82.059600000000003</c:v>
                </c:pt>
                <c:pt idx="5">
                  <c:v>106.67289999999997</c:v>
                </c:pt>
              </c:numCache>
            </c:numRef>
          </c:val>
        </c:ser>
        <c:ser>
          <c:idx val="1"/>
          <c:order val="1"/>
          <c:tx>
            <c:strRef>
              <c:f>[图表.xlsx]Sheet2!$C$3</c:f>
              <c:strCache>
                <c:ptCount val="1"/>
                <c:pt idx="0">
                  <c:v>面积</c:v>
                </c:pt>
              </c:strCache>
            </c:strRef>
          </c:tx>
          <c:spPr>
            <a:pattFill prst="ltHorz">
              <a:fgClr>
                <a:schemeClr val="tx1"/>
              </a:fgClr>
              <a:bgClr>
                <a:schemeClr val="bg1"/>
              </a:bgClr>
            </a:pattFill>
            <a:ln w="12700" cmpd="sng">
              <a:solidFill>
                <a:schemeClr val="tx1"/>
              </a:solidFill>
              <a:prstDash val="solid"/>
            </a:ln>
            <a:effectLst/>
          </c:spPr>
          <c:cat>
            <c:numRef>
              <c:f>[图表.xlsx]Sheet2!$A$4:$A$9</c:f>
              <c:numCache>
                <c:formatCode>General</c:formatCode>
                <c:ptCount val="6"/>
                <c:pt idx="0">
                  <c:v>2013</c:v>
                </c:pt>
                <c:pt idx="1">
                  <c:v>2014</c:v>
                </c:pt>
                <c:pt idx="2">
                  <c:v>2015</c:v>
                </c:pt>
                <c:pt idx="3">
                  <c:v>2016</c:v>
                </c:pt>
                <c:pt idx="4">
                  <c:v>2017</c:v>
                </c:pt>
                <c:pt idx="5">
                  <c:v>2018</c:v>
                </c:pt>
              </c:numCache>
            </c:numRef>
          </c:cat>
          <c:val>
            <c:numRef>
              <c:f>[图表.xlsx]Sheet2!$C$4:$C$9</c:f>
              <c:numCache>
                <c:formatCode>0.00_ </c:formatCode>
                <c:ptCount val="6"/>
                <c:pt idx="0">
                  <c:v>98.536900000000003</c:v>
                </c:pt>
                <c:pt idx="1">
                  <c:v>90.959700000000012</c:v>
                </c:pt>
                <c:pt idx="2">
                  <c:v>67.700900000000004</c:v>
                </c:pt>
                <c:pt idx="3">
                  <c:v>89.742700000000013</c:v>
                </c:pt>
                <c:pt idx="4">
                  <c:v>119.94180000000003</c:v>
                </c:pt>
                <c:pt idx="5">
                  <c:v>139.94300000000001</c:v>
                </c:pt>
              </c:numCache>
            </c:numRef>
          </c:val>
        </c:ser>
        <c:axId val="128660224"/>
        <c:axId val="128662144"/>
      </c:barChart>
      <c:lineChart>
        <c:grouping val="standard"/>
        <c:ser>
          <c:idx val="2"/>
          <c:order val="2"/>
          <c:tx>
            <c:strRef>
              <c:f>[图表.xlsx]Sheet2!$D$3</c:f>
              <c:strCache>
                <c:ptCount val="1"/>
                <c:pt idx="0">
                  <c:v>房价</c:v>
                </c:pt>
              </c:strCache>
            </c:strRef>
          </c:tx>
          <c:spPr>
            <a:ln w="12700" cap="rnd" cmpd="sng" algn="ctr">
              <a:solidFill>
                <a:schemeClr val="tx1"/>
              </a:solidFill>
              <a:prstDash val="solid"/>
              <a:round/>
            </a:ln>
            <a:effectLst/>
          </c:spPr>
          <c:marker>
            <c:symbol val="none"/>
          </c:marker>
          <c:cat>
            <c:numRef>
              <c:f>[图表.xlsx]Sheet2!$A$4:$A$9</c:f>
              <c:numCache>
                <c:formatCode>General</c:formatCode>
                <c:ptCount val="6"/>
                <c:pt idx="0">
                  <c:v>2013</c:v>
                </c:pt>
                <c:pt idx="1">
                  <c:v>2014</c:v>
                </c:pt>
                <c:pt idx="2">
                  <c:v>2015</c:v>
                </c:pt>
                <c:pt idx="3">
                  <c:v>2016</c:v>
                </c:pt>
                <c:pt idx="4">
                  <c:v>2017</c:v>
                </c:pt>
                <c:pt idx="5">
                  <c:v>2018</c:v>
                </c:pt>
              </c:numCache>
            </c:numRef>
          </c:cat>
          <c:val>
            <c:numRef>
              <c:f>[图表.xlsx]Sheet2!$D$4:$D$9</c:f>
              <c:numCache>
                <c:formatCode>0.00_ </c:formatCode>
                <c:ptCount val="6"/>
                <c:pt idx="0">
                  <c:v>0.51591028335577804</c:v>
                </c:pt>
                <c:pt idx="1">
                  <c:v>0.55569224612658141</c:v>
                </c:pt>
                <c:pt idx="2">
                  <c:v>0.57119920119230305</c:v>
                </c:pt>
                <c:pt idx="3">
                  <c:v>0.57877130953269718</c:v>
                </c:pt>
                <c:pt idx="4">
                  <c:v>0.684161818481964</c:v>
                </c:pt>
                <c:pt idx="5">
                  <c:v>0.76225963427967147</c:v>
                </c:pt>
              </c:numCache>
            </c:numRef>
          </c:val>
        </c:ser>
        <c:marker val="1"/>
        <c:axId val="128664320"/>
        <c:axId val="128665856"/>
      </c:lineChart>
      <c:catAx>
        <c:axId val="128660224"/>
        <c:scaling>
          <c:orientation val="minMax"/>
        </c:scaling>
        <c:axPos val="b"/>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年份</a:t>
                </a:r>
              </a:p>
            </c:rich>
          </c:tx>
          <c:layout>
            <c:manualLayout>
              <c:xMode val="edge"/>
              <c:yMode val="edge"/>
              <c:x val="0.75054792940362203"/>
              <c:y val="0.83912432215304322"/>
            </c:manualLayout>
          </c:layout>
          <c:spPr>
            <a:noFill/>
            <a:ln>
              <a:noFill/>
            </a:ln>
            <a:effectLst/>
          </c:spPr>
        </c:title>
        <c:numFmt formatCode="General" sourceLinked="1"/>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28662144"/>
        <c:crosses val="autoZero"/>
        <c:auto val="1"/>
        <c:lblAlgn val="ctr"/>
        <c:lblOffset val="100"/>
      </c:catAx>
      <c:valAx>
        <c:axId val="128662144"/>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单位：亿元、万平方米</a:t>
                </a:r>
              </a:p>
            </c:rich>
          </c:tx>
          <c:layout>
            <c:manualLayout>
              <c:xMode val="edge"/>
              <c:yMode val="edge"/>
              <c:x val="2.1917176144884112E-2"/>
              <c:y val="0.14404498895360501"/>
            </c:manualLayout>
          </c:layout>
          <c:spPr>
            <a:noFill/>
            <a:ln>
              <a:noFill/>
            </a:ln>
            <a:effectLst/>
          </c:spPr>
        </c:title>
        <c:numFmt formatCode="0_);[Red]\(0\)" sourceLinked="0"/>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28660224"/>
        <c:crosses val="autoZero"/>
        <c:crossBetween val="between"/>
      </c:valAx>
      <c:catAx>
        <c:axId val="128664320"/>
        <c:scaling>
          <c:orientation val="minMax"/>
        </c:scaling>
        <c:delete val="1"/>
        <c:axPos val="t"/>
        <c:numFmt formatCode="General" sourceLinked="1"/>
        <c:tickLblPos val="nextTo"/>
        <c:crossAx val="128665856"/>
        <c:crosses val="max"/>
        <c:auto val="1"/>
        <c:lblAlgn val="ctr"/>
        <c:lblOffset val="100"/>
      </c:catAx>
      <c:valAx>
        <c:axId val="128665856"/>
        <c:scaling>
          <c:orientation val="minMax"/>
        </c:scaling>
        <c:axPos val="r"/>
        <c:title>
          <c:tx>
            <c:rich>
              <a:bodyPr rot="-5400000" spcFirstLastPara="0" vertOverflow="ellipsis" vert="horz" wrap="square" anchor="ctr" anchorCtr="1"/>
              <a:lstStyle/>
              <a:p>
                <a:pPr defTabSz="914400">
                  <a:defRPr lang="zh-CN"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单位：万元</a:t>
                </a:r>
              </a:p>
            </c:rich>
          </c:tx>
          <c:layout>
            <c:manualLayout>
              <c:xMode val="edge"/>
              <c:yMode val="edge"/>
              <c:x val="0.82373976237166902"/>
              <c:y val="0.14504920666800605"/>
            </c:manualLayout>
          </c:layout>
          <c:spPr>
            <a:noFill/>
            <a:ln>
              <a:noFill/>
            </a:ln>
            <a:effectLst/>
          </c:spPr>
        </c:title>
        <c:numFmt formatCode="0.00_ " sourceLinked="1"/>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28664320"/>
        <c:crosses val="max"/>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ayout>
        <c:manualLayout>
          <c:xMode val="edge"/>
          <c:yMode val="edge"/>
          <c:x val="0.86076825470065799"/>
          <c:y val="0.45069291022293601"/>
        </c:manualLayout>
      </c:layout>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textRotate="1"/>
    <customShpInfo spid="_x0000_s1027"/>
    <customShpInfo spid="_x0000_s1029"/>
    <customShpInfo spid="_x0000_s1030"/>
    <customShpInfo spid="_x0000_s1031"/>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718</Words>
  <Characters>4096</Characters>
  <Application>Microsoft Office Word</Application>
  <DocSecurity>0</DocSecurity>
  <Lines>34</Lines>
  <Paragraphs>9</Paragraphs>
  <ScaleCrop>false</ScaleCrop>
  <Company>Microsoft</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lmx</dc:creator>
  <cp:lastModifiedBy>User</cp:lastModifiedBy>
  <cp:revision>5</cp:revision>
  <cp:lastPrinted>2021-02-25T08:18:00Z</cp:lastPrinted>
  <dcterms:created xsi:type="dcterms:W3CDTF">2021-02-24T00:17:00Z</dcterms:created>
  <dcterms:modified xsi:type="dcterms:W3CDTF">2021-03-18T09:10:00Z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