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7875"/>
        </w:tabs>
        <w:spacing w:line="560" w:lineRule="exact"/>
        <w:ind w:firstLine="22"/>
        <w:textAlignment w:val="baseline"/>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bCs/>
          <w:color w:val="000000"/>
          <w:kern w:val="0"/>
          <w:sz w:val="32"/>
          <w:szCs w:val="32"/>
        </w:rPr>
        <w:t>*南简报N024号</w:t>
      </w:r>
    </w:p>
    <w:p>
      <w:pPr>
        <w:widowControl/>
        <w:spacing w:line="560" w:lineRule="exact"/>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r>
        <w:rPr>
          <w:rFonts w:hint="eastAsia" w:ascii="仿宋_GB2312" w:hAnsi="宋体"/>
          <w:color w:val="000000"/>
          <w:kern w:val="0"/>
          <w:szCs w:val="32"/>
        </w:rPr>
        <w:pict>
          <v:shape id="_x0000_s1026" o:spid="_x0000_s1026" o:spt="136" type="#_x0000_t136" style="position:absolute;left:0pt;margin-left:95.95pt;margin-top:140.65pt;height:72.7pt;width:424.6pt;mso-position-horizontal-relative:page;mso-position-vertical-relative:page;z-index:251658240;mso-width-relative:page;mso-height-relative:page;" fillcolor="#FF0000" filled="t" stroked="t" coordsize="21600,21600">
            <v:path/>
            <v:fill on="t" focussize="0,0"/>
            <v:stroke color="#FFFFFF" joinstyle="bevel"/>
            <v:imagedata o:title=""/>
            <o:lock v:ext="edit" grouping="f" rotation="f" text="f" aspectratio="f"/>
            <v:textpath on="t" fitshape="t" fitpath="t" trim="t" xscale="f" string="南安统计信息" style="font-family:方正大标宋简体;font-size:36pt;v-text-align:center;"/>
          </v:shape>
        </w:pict>
      </w:r>
    </w:p>
    <w:p>
      <w:pPr>
        <w:widowControl/>
        <w:spacing w:line="560" w:lineRule="exact"/>
        <w:textAlignment w:val="baseline"/>
        <w:rPr>
          <w:rFonts w:hint="eastAsia" w:ascii="仿宋_GB2312" w:hAnsi="宋体"/>
          <w:color w:val="000000"/>
          <w:kern w:val="0"/>
          <w:szCs w:val="32"/>
        </w:rPr>
      </w:pPr>
    </w:p>
    <w:p>
      <w:pPr>
        <w:widowControl/>
        <w:spacing w:line="560" w:lineRule="exact"/>
        <w:ind w:firstLine="22"/>
        <w:jc w:val="center"/>
        <w:textAlignment w:val="baseline"/>
        <w:rPr>
          <w:rFonts w:hint="eastAsia" w:ascii="仿宋_GB2312" w:hAnsi="宋体"/>
          <w:color w:val="000000"/>
          <w:kern w:val="0"/>
          <w:szCs w:val="32"/>
        </w:rPr>
      </w:pPr>
    </w:p>
    <w:p>
      <w:pPr>
        <w:widowControl/>
        <w:spacing w:line="560" w:lineRule="exact"/>
        <w:ind w:firstLine="22"/>
        <w:jc w:val="center"/>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第</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期</w:t>
      </w:r>
    </w:p>
    <w:p>
      <w:pPr>
        <w:widowControl/>
        <w:spacing w:line="560" w:lineRule="exact"/>
        <w:ind w:firstLine="22"/>
        <w:jc w:val="center"/>
        <w:textAlignment w:val="baseline"/>
        <w:rPr>
          <w:rFonts w:hint="eastAsia" w:ascii="仿宋_GB2312" w:hAnsi="仿宋_GB2312" w:eastAsia="仿宋_GB2312" w:cs="仿宋_GB2312"/>
          <w:color w:val="000000"/>
          <w:kern w:val="0"/>
          <w:sz w:val="32"/>
          <w:szCs w:val="32"/>
        </w:rPr>
      </w:pPr>
      <w:r>
        <w:rPr>
          <w:rFonts w:hint="default" w:ascii="Times New Roman" w:hAnsi="Times New Roman" w:eastAsia="仿宋_GB2312" w:cs="Times New Roman"/>
          <w:color w:val="000000"/>
          <w:kern w:val="0"/>
          <w:sz w:val="32"/>
          <w:szCs w:val="32"/>
        </w:rPr>
        <w:t>南安市统计局  编                     2021年</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月</w:t>
      </w:r>
      <w:r>
        <w:rPr>
          <w:rFonts w:hint="default"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lang w:val="en-US" w:eastAsia="zh-CN"/>
        </w:rPr>
        <w:t>6</w:t>
      </w:r>
      <w:bookmarkStart w:id="0" w:name="_GoBack"/>
      <w:bookmarkEnd w:id="0"/>
      <w:r>
        <w:rPr>
          <w:rFonts w:hint="default" w:ascii="Times New Roman" w:hAnsi="Times New Roman" w:eastAsia="仿宋_GB2312" w:cs="Times New Roman"/>
          <w:color w:val="000000"/>
          <w:kern w:val="0"/>
          <w:sz w:val="32"/>
          <w:szCs w:val="32"/>
        </w:rPr>
        <w:t>日</w:t>
      </w:r>
    </w:p>
    <w:p>
      <w:pPr>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pict>
          <v:shape id="_x0000_s1027" o:spid="_x0000_s1027" o:spt="109" type="#_x0000_t109" style="position:absolute;left:0pt;flip:y;margin-left:-15.3pt;margin-top:8.15pt;height:6pt;width:482.35pt;z-index:251659264;mso-width-relative:page;mso-height-relative:page;" fillcolor="#FF0000" filled="t" stroked="t" coordsize="21600,21600" o:gfxdata="UEsDBAoAAAAAAIdO4kAAAAAAAAAAAAAAAAAEAAAAZHJzL1BLAwQUAAAACACHTuJAbv+HvtkAAAAJ&#10;AQAADwAAAGRycy9kb3ducmV2LnhtbE2Py07DMBBF90j8gzVIbFDrPErUhjhdEAV2SCmV2LrxkETE&#10;4yh2m/L3DCtYju7RvWeK/dWO4oKzHxwpiNcRCKTWmYE6Bcf3erUF4YMmo0dHqOAbPezL25tC58Yt&#10;1ODlEDrBJeRzraAPYcql9G2PVvu1m5A4+3Sz1YHPuZNm1guX21EmUZRJqwfihV5P+Nxj+3U4WwX0&#10;eLRvS7arq6b5qOqHym5eXxKl7u/i6AlEwGv4g+FXn9WhZKeTO5PxYlSwSqOMUQ6yFAQDu3QTgzgp&#10;SLYpyLKQ/z8ofwBQSwMEFAAAAAgAh07iQBuPsOv+AQAA+gMAAA4AAABkcnMvZTJvRG9jLnhtbK1T&#10;S44TMRDdI3EHy3vSSSCZUSudWUwIGwSRBthX/Om25J9sTzrZsUOcgR1L7sDcZiS4BWV3iCbAAiG8&#10;sMp2+dWr9+zF1d5oshMhKmcbOhmNKRGWOa5s29C3b9ZPLimJCSwH7axo6EFEerV8/GjR+1pMXec0&#10;F4EgiI117xvapeTrqoqsEwbiyHlh8VC6YCDhMrQVD9AjutHVdDyeV70L3AfHRIy4uxoO6bLgSylY&#10;ei1lFInohiK3VOZQ5m2eq+UC6jaA7xQ70oB/YGFAWSx6glpBAnIb1G9QRrHgopNpxJypnJSKidID&#10;djMZ/9LNTQdelF5QnOhPMsX/B8te7TaBKN7QKSUWDFr07cOX7+8/3n+6u//6mTzNCvU+1ph44zfh&#10;uIoY5nb3MhgitfLv0PwiALZE9kXfw0lfsU+E4eZ8Mp1dPptRwvDsYo7+ZfRqgMlwPsT0QjhDctBQ&#10;qV1/3UFIm8HgUgB2L2Marv1Mz1ej04qvldZlEdrttQ5kB2j7ej3Gcax0lqYt6ZH37PIicwJ8flJD&#10;wtB4FCTathQ8uxLPkdc4/oScma0gdgODgpDToDYqiVCiTgB/bjlJB4+iW/wdNLMxglOiBX6mHJXM&#10;BEr/TSYKqW0uIsrDP8qUzRvsytHW8QMafuuDajuUeFLY5xN8YMWL42fIL/jhGuOHX3b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7/h77ZAAAACQEAAA8AAAAAAAAAAQAgAAAAIgAAAGRycy9kb3du&#10;cmV2LnhtbFBLAQIUABQAAAAIAIdO4kAbj7Dr/gEAAPoDAAAOAAAAAAAAAAEAIAAAACgBAABkcnMv&#10;ZTJvRG9jLnhtbFBLBQYAAAAABgAGAFkBAACYBQAAAAA=&#10;">
            <v:path/>
            <v:fill on="t" focussize="0,0"/>
            <v:stroke weight="1.25pt" color="#FFFFFF"/>
            <v:imagedata o:title=""/>
            <o:lock v:ext="edit" aspectratio="f"/>
          </v:shape>
        </w:pic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批发和零售业实现新发展新提高</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ascii="黑体" w:hAnsi="黑体" w:eastAsia="黑体"/>
          <w:sz w:val="36"/>
          <w:szCs w:val="36"/>
        </w:rPr>
      </w:pP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bCs/>
          <w:kern w:val="0"/>
          <w:sz w:val="32"/>
          <w:szCs w:val="32"/>
        </w:rPr>
        <w:t>——</w:t>
      </w:r>
      <w:r>
        <w:rPr>
          <w:rFonts w:hint="eastAsia" w:ascii="方正小标宋简体" w:hAnsi="方正小标宋简体" w:eastAsia="方正小标宋简体" w:cs="方正小标宋简体"/>
          <w:sz w:val="32"/>
          <w:szCs w:val="32"/>
        </w:rPr>
        <w:t>第四次经济普查系列分析</w:t>
      </w:r>
    </w:p>
    <w:p>
      <w:pPr>
        <w:keepNext w:val="0"/>
        <w:keepLines w:val="0"/>
        <w:pageBreakBefore w:val="0"/>
        <w:widowControl w:val="0"/>
        <w:kinsoku/>
        <w:wordWrap/>
        <w:overflowPunct/>
        <w:topLinePunct w:val="0"/>
        <w:autoSpaceDE/>
        <w:autoSpaceDN/>
        <w:bidi w:val="0"/>
        <w:adjustRightInd/>
        <w:snapToGrid/>
        <w:spacing w:before="157" w:beforeLines="50"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为联结生产和消费的桥梁与纽带，批发零售业在拉动国民经济增长、促进消费结构升级中发挥着重要作用，直接关系到地区商品集散功能和商业经济繁荣程度。从第四次经济普查结果看，2013年以来南安市批发零售业规模不断壮大，经营效益稳步增强，网络消费蓬勃发展，结构特征日益明显，呈现“扩容、增效、提质”向好趋势。</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 w:cs="Times New Roman"/>
          <w:b/>
          <w:sz w:val="32"/>
          <w:szCs w:val="32"/>
        </w:rPr>
      </w:pPr>
      <w:r>
        <w:rPr>
          <w:rFonts w:hint="default" w:ascii="Times New Roman" w:hAnsi="Times New Roman" w:eastAsia="黑体" w:cs="Times New Roman"/>
          <w:b w:val="0"/>
          <w:bCs/>
          <w:sz w:val="32"/>
          <w:szCs w:val="32"/>
        </w:rPr>
        <w:t>一、发展规模再上新台阶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b w:val="0"/>
          <w:bCs/>
          <w:sz w:val="32"/>
          <w:szCs w:val="32"/>
          <w:lang w:eastAsia="zh-CN"/>
        </w:rPr>
        <w:t>（一）</w:t>
      </w:r>
      <w:r>
        <w:rPr>
          <w:rFonts w:hint="default" w:ascii="Times New Roman" w:hAnsi="Times New Roman" w:eastAsia="楷体" w:cs="Times New Roman"/>
          <w:b w:val="0"/>
          <w:bCs/>
          <w:sz w:val="32"/>
          <w:szCs w:val="32"/>
        </w:rPr>
        <w:t>法人单位数、从业人员数不断增加。</w:t>
      </w:r>
      <w:r>
        <w:rPr>
          <w:rFonts w:hint="default" w:ascii="Times New Roman" w:hAnsi="Times New Roman" w:eastAsia="仿宋_GB2312" w:cs="Times New Roman"/>
          <w:sz w:val="32"/>
          <w:szCs w:val="32"/>
        </w:rPr>
        <w:t>2018年末，全市共有批发和零售业企业法人单位7055个，比2013年末（2013年是第三次全国经济普查年份）增长354.9%，比全省平均水平高212.4个百分点；从业人员4.5万人，比2013年增加1.43万人，占全市第二产业和第三产业法人单位从业人员的比重由5.9%提高到8.8%。法人单位数和从业人员数均居第三产业各行业首位，批发和零售业总体规模不断壮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销售规模迅速扩大。</w:t>
      </w:r>
      <w:r>
        <w:rPr>
          <w:rFonts w:hint="default" w:ascii="Times New Roman" w:hAnsi="Times New Roman" w:eastAsia="仿宋_GB2312" w:cs="Times New Roman"/>
          <w:sz w:val="32"/>
          <w:szCs w:val="32"/>
        </w:rPr>
        <w:t>2018年，全市批发和零售业实现销售额825.45亿元，比2013年增长99.3%，年均增长11.5%。分行业看，批发业销售额512.02亿元，比2013年增长135.6%，年均增长18.7%；零售业销售额313.43亿元，比2013年增长59.2%，年均增长9.7%。分规模看，限额以上销售额313.44亿元，比2013年增长102.0%，年均增长15.1%；限额以下销售额512.02亿元，比2013年增长235.5%，年均增长18.7%。</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二、经营效益不断增强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楷体" w:cs="Times New Roman"/>
          <w:b w:val="0"/>
          <w:bCs/>
          <w:sz w:val="32"/>
          <w:szCs w:val="32"/>
          <w:lang w:eastAsia="zh-CN"/>
        </w:rPr>
        <w:t>（一）</w:t>
      </w:r>
      <w:r>
        <w:rPr>
          <w:rFonts w:hint="default" w:ascii="Times New Roman" w:hAnsi="Times New Roman" w:eastAsia="楷体" w:cs="Times New Roman"/>
          <w:b w:val="0"/>
          <w:bCs/>
          <w:sz w:val="32"/>
          <w:szCs w:val="32"/>
        </w:rPr>
        <w:t>营业利润率有所提高。</w:t>
      </w:r>
      <w:r>
        <w:rPr>
          <w:rFonts w:hint="default" w:ascii="Times New Roman" w:hAnsi="Times New Roman" w:eastAsia="仿宋_GB2312" w:cs="Times New Roman"/>
          <w:sz w:val="32"/>
          <w:szCs w:val="32"/>
        </w:rPr>
        <w:t>2018年，全市批发和零售业法人企业营业收入803.26亿元，营业利润49.06亿元，营业利润率6.1%。其中，限额以上批发和零售业法人单位实现营业收入287.97亿元，比2013年增长112.1%，年均增长16.2%；营业利润29.71亿元，比2013年增长603.5%，年均增长47.7%；营业利润率10.3%，比2013年提高7.2%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楷体" w:cs="Times New Roman"/>
          <w:b w:val="0"/>
          <w:bCs/>
          <w:sz w:val="32"/>
          <w:szCs w:val="32"/>
          <w:lang w:eastAsia="zh-CN"/>
        </w:rPr>
        <w:t>（二）资产合计增长较快，批发业规模较大。</w:t>
      </w:r>
      <w:r>
        <w:rPr>
          <w:rFonts w:hint="default" w:ascii="Times New Roman" w:hAnsi="Times New Roman" w:eastAsia="仿宋_GB2312" w:cs="Times New Roman"/>
          <w:sz w:val="32"/>
          <w:szCs w:val="32"/>
        </w:rPr>
        <w:t>2018年末，批发和零售业企业法人单位资产总计261.77亿元，比2013年末增长55.8%。其中，批发业企业法人单位资产总计172.03亿元，零售业企业法人单位资产总计89.74亿元，分别比2013年末增长37.4%和增长109.3%。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三、网络消费蓬勃发展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在多项促进消费、加快互联经济发展等政策扶持下，我市电子商务蓬勃发展。伴随着“互联网+流通”深度融合，以互联网营销为核心的新零售、新业态如雨后春笋般出现，发展迅猛，宅家经济成为新业态，网购人群覆盖大部分人群。从零售业态看，全市4334个零售业法人单位中，无店铺零售企业974个，占22.4%，实现销售额55.48亿元，占6.7%。从企业经营形势看，全市限额以上批发和零售企业通过公共网络实现的商品销售额达2.38亿元，比2013年的2300万元增加2.15亿元，增长9.3倍，年均增长55.2%，对拉动消费和促进消费结构升级起到重要作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四、结构特征日益明显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楷体" w:cs="Times New Roman"/>
          <w:b w:val="0"/>
          <w:bCs/>
          <w:sz w:val="32"/>
          <w:szCs w:val="32"/>
        </w:rPr>
      </w:pPr>
      <w:r>
        <w:rPr>
          <w:rFonts w:hint="default" w:ascii="Times New Roman" w:hAnsi="Times New Roman" w:eastAsia="楷体" w:cs="Times New Roman"/>
          <w:b w:val="0"/>
          <w:bCs/>
          <w:sz w:val="32"/>
          <w:szCs w:val="32"/>
          <w:lang w:eastAsia="zh-CN"/>
        </w:rPr>
        <w:t>（一）</w:t>
      </w:r>
      <w:r>
        <w:rPr>
          <w:rFonts w:hint="default" w:ascii="Times New Roman" w:hAnsi="Times New Roman" w:eastAsia="楷体" w:cs="Times New Roman"/>
          <w:b w:val="0"/>
          <w:bCs/>
          <w:sz w:val="32"/>
          <w:szCs w:val="32"/>
        </w:rPr>
        <w:t>从区域分布看，主城都市区集聚效应凸显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一般而言，批发零售业往往布局在经济发展程度高，制造业能力强，交通运输便利的地区。无论是从法人单位分布数量，还是资产总计及营业收入占比来看，主城都市区（中心城区和南翼三镇）几乎都占了“半壁江山”。2018年，主城都市区范围内共有非一套表批发零售业法人单位3658个，占全市比重为51.8%；资产总计78.02亿元，占比达43.6%；实现营业收入258.15亿元，占比50.1%。主城都市区范围内一套表法人单位在单位数、资产总计、营业收入占比方面也分别达到63.8%、77.9%和46.5%。</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 w:cs="Times New Roman"/>
          <w:b/>
          <w:sz w:val="32"/>
          <w:szCs w:val="32"/>
        </w:rPr>
      </w:pPr>
      <w:r>
        <w:rPr>
          <w:rFonts w:hint="default" w:ascii="Times New Roman" w:hAnsi="Times New Roman" w:eastAsia="楷体" w:cs="Times New Roman"/>
          <w:b w:val="0"/>
          <w:bCs/>
          <w:sz w:val="32"/>
          <w:szCs w:val="32"/>
          <w:lang w:eastAsia="zh-CN"/>
        </w:rPr>
        <w:t>（二）</w:t>
      </w:r>
      <w:r>
        <w:rPr>
          <w:rFonts w:hint="default" w:ascii="Times New Roman" w:hAnsi="Times New Roman" w:eastAsia="楷体" w:cs="Times New Roman"/>
          <w:b w:val="0"/>
          <w:bCs/>
          <w:sz w:val="32"/>
          <w:szCs w:val="32"/>
        </w:rPr>
        <w:t>从行业结构看，行业结构持续优化</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与居民生活密切相关的批发业增长较快。从行业种类看，纺织、服装及家庭用品批发增速最快，2018年末企业法人单位数比2013年末增长569.5%，年均增长41.6%；其次为文化、体育用品及器材批发，企业法人单位数比2013年末增长540.0%，年均增长40.1%；位居第三的医药及医疗器材批发，企业法人单位数比2013年末增长425.0%，年均增长33.6%。二是小规模非实体零售快速发展。从行业种类看，以互联网零售为主的货摊无店铺及其他零售业等小规模非实体零售业态发展较快。2018年末，纺织、服装品及日用品零售法人单位数比2013年末增长30倍，年均增长98.2%；其次为货摊无店铺及其他零售业，企业法人单位数比2013年末增长18倍，年均增长78.4% ；位居第三的五金、家具及室内装饰材料专门零售，企业法人单位数比2013年末增长805.4%，年均增长51.8%（详见表4-1）。</w:t>
      </w:r>
    </w:p>
    <w:tbl>
      <w:tblPr>
        <w:tblStyle w:val="5"/>
        <w:tblW w:w="8767" w:type="dxa"/>
        <w:jc w:val="center"/>
        <w:tblInd w:w="113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857"/>
        <w:gridCol w:w="1820"/>
        <w:gridCol w:w="1752"/>
        <w:gridCol w:w="13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8767" w:type="dxa"/>
            <w:gridSpan w:val="4"/>
            <w:tcBorders>
              <w:top w:val="nil"/>
              <w:left w:val="nil"/>
              <w:bottom w:val="single" w:color="auto" w:sz="12"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left="57" w:leftChars="0" w:right="57" w:rightChars="0" w:firstLine="0" w:firstLineChars="0"/>
              <w:jc w:val="center"/>
              <w:textAlignment w:val="auto"/>
              <w:outlineLvl w:val="9"/>
              <w:rPr>
                <w:rFonts w:hint="eastAsia" w:ascii="楷体" w:hAnsi="楷体" w:eastAsia="楷体" w:cs="楷体"/>
                <w:b w:val="0"/>
                <w:bCs w:val="0"/>
                <w:kern w:val="0"/>
                <w:sz w:val="30"/>
                <w:szCs w:val="30"/>
              </w:rPr>
            </w:pPr>
            <w:r>
              <w:rPr>
                <w:rFonts w:hint="eastAsia" w:ascii="楷体" w:hAnsi="楷体" w:eastAsia="楷体" w:cs="楷体"/>
                <w:b w:val="0"/>
                <w:bCs w:val="0"/>
                <w:kern w:val="0"/>
                <w:sz w:val="30"/>
                <w:szCs w:val="30"/>
              </w:rPr>
              <w:t xml:space="preserve">    表4-1　按行业中类分组的批发和零售业企业法人单位对比</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3857" w:type="dxa"/>
            <w:tcBorders>
              <w:top w:val="single" w:color="auto" w:sz="12" w:space="0"/>
              <w:left w:val="nil"/>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　</w:t>
            </w:r>
          </w:p>
        </w:tc>
        <w:tc>
          <w:tcPr>
            <w:tcW w:w="1820" w:type="dxa"/>
            <w:tcBorders>
              <w:top w:val="single" w:color="auto" w:sz="12"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2018年（个）</w:t>
            </w:r>
          </w:p>
        </w:tc>
        <w:tc>
          <w:tcPr>
            <w:tcW w:w="1752" w:type="dxa"/>
            <w:tcBorders>
              <w:top w:val="single" w:color="auto" w:sz="12"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2013年（个）</w:t>
            </w:r>
          </w:p>
        </w:tc>
        <w:tc>
          <w:tcPr>
            <w:tcW w:w="1338" w:type="dxa"/>
            <w:tcBorders>
              <w:top w:val="single" w:color="auto" w:sz="12" w:space="0"/>
              <w:left w:val="single" w:color="auto" w:sz="6" w:space="0"/>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增长（%）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6" w:hRule="atLeast"/>
          <w:jc w:val="center"/>
        </w:trPr>
        <w:tc>
          <w:tcPr>
            <w:tcW w:w="3857" w:type="dxa"/>
            <w:tcBorders>
              <w:top w:val="single" w:color="auto" w:sz="12"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val="0"/>
                <w:kern w:val="0"/>
                <w:sz w:val="28"/>
                <w:szCs w:val="28"/>
              </w:rPr>
            </w:pPr>
            <w:r>
              <w:rPr>
                <w:rFonts w:hint="eastAsia" w:ascii="仿宋_GB2312" w:hAnsi="仿宋_GB2312" w:eastAsia="仿宋_GB2312" w:cs="仿宋_GB2312"/>
                <w:b/>
                <w:bCs w:val="0"/>
                <w:kern w:val="0"/>
                <w:sz w:val="28"/>
                <w:szCs w:val="28"/>
              </w:rPr>
              <w:t>合  计</w:t>
            </w:r>
          </w:p>
        </w:tc>
        <w:tc>
          <w:tcPr>
            <w:tcW w:w="1820"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7055</w:t>
            </w:r>
          </w:p>
        </w:tc>
        <w:tc>
          <w:tcPr>
            <w:tcW w:w="1752" w:type="dxa"/>
            <w:tcBorders>
              <w:top w:val="single" w:color="auto" w:sz="12"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1551</w:t>
            </w:r>
          </w:p>
        </w:tc>
        <w:tc>
          <w:tcPr>
            <w:tcW w:w="1338" w:type="dxa"/>
            <w:tcBorders>
              <w:top w:val="single" w:color="auto" w:sz="12" w:space="0"/>
              <w:left w:val="single" w:color="auto" w:sz="6" w:space="0"/>
              <w:bottom w:val="single" w:color="auto" w:sz="6"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 xml:space="preserve">354.9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批发业</w:t>
            </w:r>
          </w:p>
        </w:tc>
        <w:tc>
          <w:tcPr>
            <w:tcW w:w="18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2721</w:t>
            </w:r>
          </w:p>
        </w:tc>
        <w:tc>
          <w:tcPr>
            <w:tcW w:w="175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947</w:t>
            </w:r>
          </w:p>
        </w:tc>
        <w:tc>
          <w:tcPr>
            <w:tcW w:w="1338" w:type="dxa"/>
            <w:tcBorders>
              <w:top w:val="single" w:color="auto" w:sz="6" w:space="0"/>
              <w:left w:val="single" w:color="auto" w:sz="6" w:space="0"/>
              <w:bottom w:val="single" w:color="auto" w:sz="6"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187.3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农、林、牧、渔产品批发</w:t>
            </w:r>
          </w:p>
        </w:tc>
        <w:tc>
          <w:tcPr>
            <w:tcW w:w="18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86</w:t>
            </w:r>
          </w:p>
        </w:tc>
        <w:tc>
          <w:tcPr>
            <w:tcW w:w="175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17</w:t>
            </w:r>
          </w:p>
        </w:tc>
        <w:tc>
          <w:tcPr>
            <w:tcW w:w="1338" w:type="dxa"/>
            <w:tcBorders>
              <w:top w:val="single" w:color="auto" w:sz="6" w:space="0"/>
              <w:left w:val="single" w:color="auto" w:sz="6" w:space="0"/>
              <w:bottom w:val="single" w:color="auto" w:sz="6"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405.9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食品、饮料及烟草制品批发</w:t>
            </w:r>
          </w:p>
        </w:tc>
        <w:tc>
          <w:tcPr>
            <w:tcW w:w="18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241</w:t>
            </w:r>
          </w:p>
        </w:tc>
        <w:tc>
          <w:tcPr>
            <w:tcW w:w="175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73</w:t>
            </w:r>
          </w:p>
        </w:tc>
        <w:tc>
          <w:tcPr>
            <w:tcW w:w="1338" w:type="dxa"/>
            <w:tcBorders>
              <w:top w:val="single" w:color="auto" w:sz="6" w:space="0"/>
              <w:left w:val="single" w:color="auto" w:sz="6" w:space="0"/>
              <w:bottom w:val="single" w:color="auto" w:sz="6"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230.1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6" w:space="0"/>
              <w:left w:val="nil"/>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纺织、服装及家庭用品批发</w:t>
            </w:r>
          </w:p>
        </w:tc>
        <w:tc>
          <w:tcPr>
            <w:tcW w:w="182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636</w:t>
            </w:r>
          </w:p>
        </w:tc>
        <w:tc>
          <w:tcPr>
            <w:tcW w:w="175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95</w:t>
            </w:r>
          </w:p>
        </w:tc>
        <w:tc>
          <w:tcPr>
            <w:tcW w:w="1338" w:type="dxa"/>
            <w:tcBorders>
              <w:top w:val="single" w:color="auto" w:sz="6" w:space="0"/>
              <w:left w:val="single" w:color="auto" w:sz="6" w:space="0"/>
              <w:bottom w:val="single" w:color="auto" w:sz="6"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569.5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6" w:space="0"/>
              <w:left w:val="nil"/>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文化、体育用品及器材批发</w:t>
            </w:r>
          </w:p>
        </w:tc>
        <w:tc>
          <w:tcPr>
            <w:tcW w:w="1820"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64</w:t>
            </w:r>
          </w:p>
        </w:tc>
        <w:tc>
          <w:tcPr>
            <w:tcW w:w="1752"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10</w:t>
            </w:r>
          </w:p>
        </w:tc>
        <w:tc>
          <w:tcPr>
            <w:tcW w:w="1338" w:type="dxa"/>
            <w:tcBorders>
              <w:top w:val="single" w:color="auto" w:sz="6" w:space="0"/>
              <w:left w:val="single" w:color="auto" w:sz="6" w:space="0"/>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540.0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1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医药及医疗器材批发</w:t>
            </w:r>
          </w:p>
        </w:tc>
        <w:tc>
          <w:tcPr>
            <w:tcW w:w="1820"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21</w:t>
            </w:r>
          </w:p>
        </w:tc>
        <w:tc>
          <w:tcPr>
            <w:tcW w:w="1752" w:type="dxa"/>
            <w:tcBorders>
              <w:top w:val="single" w:color="auto" w:sz="12"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4</w:t>
            </w:r>
          </w:p>
        </w:tc>
        <w:tc>
          <w:tcPr>
            <w:tcW w:w="1338" w:type="dxa"/>
            <w:tcBorders>
              <w:top w:val="single" w:color="auto" w:sz="12"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425.0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矿产品、建材及化工产品批发</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961</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422</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127.7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31"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机械设备、五金产品及电子产品批发</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462</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139</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232.4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贸易经纪与代理</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138</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144</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-4.2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其他批发业</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112</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43</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160.5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零售业</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4334</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604</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617.5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综合零售</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289</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75</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285.3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食品、饮料及烟草制品专门零售</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362</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85</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325.9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纺织、服装及日用品专门零售</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1010</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32</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3056.3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文化、体育用品及器材专门零售</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91</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31</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193.5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医药及医疗器材专门零售</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117</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17</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588.2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7"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汽车、摩托车、零配件和燃料及其他动力销售</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370</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166</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122.9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家用电器及电子产品专门零售</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288</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55</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423.6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23" w:hRule="exact"/>
          <w:jc w:val="center"/>
        </w:trPr>
        <w:tc>
          <w:tcPr>
            <w:tcW w:w="38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五金、家具及室内装饰材料专门零售</w:t>
            </w:r>
          </w:p>
        </w:tc>
        <w:tc>
          <w:tcPr>
            <w:tcW w:w="18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833</w:t>
            </w:r>
          </w:p>
        </w:tc>
        <w:tc>
          <w:tcPr>
            <w:tcW w:w="1752"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92</w:t>
            </w:r>
          </w:p>
        </w:tc>
        <w:tc>
          <w:tcPr>
            <w:tcW w:w="1338"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805.4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3857" w:type="dxa"/>
            <w:tcBorders>
              <w:top w:val="single" w:color="auto" w:sz="4" w:space="0"/>
              <w:left w:val="nil"/>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kern w:val="0"/>
                <w:sz w:val="28"/>
                <w:szCs w:val="28"/>
              </w:rPr>
            </w:pPr>
            <w:r>
              <w:rPr>
                <w:rFonts w:hint="eastAsia" w:ascii="仿宋_GB2312" w:hAnsi="仿宋_GB2312" w:eastAsia="仿宋_GB2312" w:cs="仿宋_GB2312"/>
                <w:b w:val="0"/>
                <w:bCs/>
                <w:kern w:val="0"/>
                <w:sz w:val="28"/>
                <w:szCs w:val="28"/>
              </w:rPr>
              <w:t>货摊、无店铺及其他零售业</w:t>
            </w:r>
          </w:p>
        </w:tc>
        <w:tc>
          <w:tcPr>
            <w:tcW w:w="1820"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974</w:t>
            </w:r>
          </w:p>
        </w:tc>
        <w:tc>
          <w:tcPr>
            <w:tcW w:w="1752" w:type="dxa"/>
            <w:tcBorders>
              <w:top w:val="single" w:color="auto" w:sz="4" w:space="0"/>
              <w:left w:val="single" w:color="auto" w:sz="4" w:space="0"/>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kern w:val="0"/>
                <w:sz w:val="28"/>
                <w:szCs w:val="28"/>
              </w:rPr>
            </w:pPr>
            <w:r>
              <w:rPr>
                <w:rFonts w:hint="default" w:ascii="Times New Roman" w:hAnsi="Times New Roman" w:eastAsia="仿宋_GB2312" w:cs="Times New Roman"/>
                <w:b w:val="0"/>
                <w:bCs/>
                <w:color w:val="000000"/>
                <w:kern w:val="0"/>
                <w:sz w:val="28"/>
                <w:szCs w:val="28"/>
              </w:rPr>
              <w:t>51</w:t>
            </w:r>
          </w:p>
        </w:tc>
        <w:tc>
          <w:tcPr>
            <w:tcW w:w="1338" w:type="dxa"/>
            <w:tcBorders>
              <w:top w:val="single" w:color="auto" w:sz="4" w:space="0"/>
              <w:left w:val="single" w:color="auto" w:sz="4" w:space="0"/>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color w:val="000000"/>
                <w:sz w:val="28"/>
                <w:szCs w:val="28"/>
              </w:rPr>
            </w:pPr>
            <w:r>
              <w:rPr>
                <w:rFonts w:hint="default" w:ascii="Times New Roman" w:hAnsi="Times New Roman" w:eastAsia="仿宋_GB2312" w:cs="Times New Roman"/>
                <w:b w:val="0"/>
                <w:bCs/>
                <w:color w:val="000000"/>
                <w:sz w:val="28"/>
                <w:szCs w:val="28"/>
              </w:rPr>
              <w:t>1809.8</w:t>
            </w:r>
          </w:p>
        </w:tc>
      </w:tr>
    </w:tbl>
    <w:p>
      <w:pPr>
        <w:keepNext w:val="0"/>
        <w:keepLines w:val="0"/>
        <w:pageBreakBefore w:val="0"/>
        <w:widowControl w:val="0"/>
        <w:kinsoku/>
        <w:wordWrap/>
        <w:overflowPunct/>
        <w:topLinePunct w:val="0"/>
        <w:autoSpaceDE/>
        <w:autoSpaceDN/>
        <w:bidi w:val="0"/>
        <w:adjustRightInd/>
        <w:snapToGrid/>
        <w:spacing w:before="63" w:beforeLines="20" w:line="560" w:lineRule="exact"/>
        <w:ind w:left="0" w:leftChars="0" w:right="0" w:rightChars="0" w:firstLine="640" w:firstLineChars="200"/>
        <w:jc w:val="both"/>
        <w:textAlignment w:val="auto"/>
        <w:outlineLvl w:val="9"/>
        <w:rPr>
          <w:rFonts w:ascii="仿宋" w:hAnsi="仿宋" w:eastAsia="仿宋"/>
          <w:b/>
          <w:sz w:val="32"/>
          <w:szCs w:val="32"/>
        </w:rPr>
      </w:pPr>
      <w:r>
        <w:rPr>
          <w:rFonts w:hint="eastAsia" w:ascii="楷体" w:hAnsi="楷体" w:eastAsia="楷体" w:cs="楷体"/>
          <w:b w:val="0"/>
          <w:bCs/>
          <w:sz w:val="32"/>
          <w:szCs w:val="32"/>
          <w:lang w:eastAsia="zh-CN"/>
        </w:rPr>
        <w:t>（三）</w:t>
      </w:r>
      <w:r>
        <w:rPr>
          <w:rFonts w:hint="eastAsia" w:ascii="楷体" w:hAnsi="楷体" w:eastAsia="楷体" w:cs="楷体"/>
          <w:b w:val="0"/>
          <w:bCs/>
          <w:sz w:val="32"/>
          <w:szCs w:val="32"/>
        </w:rPr>
        <w:t>从登记注册类型看，内资企业占据绝对主导地位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内资企业在单位数量和营业收入总量方面优势明显。2018 年，全市批发零售业共有内资企业7037个，占比达 99.7%；港澳台商投资企业、外商投资企业分别为8个和10个，占比均为 0.1%。内资企业实现营业收入227.19亿元，占全市批发零售业营业收入的比重为86.8%；港澳台商投资企业、外商投资企业分别0.14 亿元、8.95亿元，占比分别为0.05%、3.4%。</w:t>
      </w:r>
    </w:p>
    <w:p>
      <w:pPr>
        <w:keepNext w:val="0"/>
        <w:keepLines w:val="0"/>
        <w:pageBreakBefore w:val="0"/>
        <w:widowControl w:val="0"/>
        <w:kinsoku/>
        <w:wordWrap/>
        <w:overflowPunct/>
        <w:topLinePunct w:val="0"/>
        <w:autoSpaceDE/>
        <w:autoSpaceDN/>
        <w:bidi w:val="0"/>
        <w:adjustRightInd/>
        <w:snapToGrid/>
        <w:spacing w:after="157" w:afterLines="50" w:line="540" w:lineRule="exact"/>
        <w:ind w:left="0" w:leftChars="0" w:right="0" w:rightChars="0" w:firstLine="640" w:firstLineChars="200"/>
        <w:jc w:val="both"/>
        <w:textAlignment w:val="auto"/>
        <w:outlineLvl w:val="9"/>
        <w:rPr>
          <w:rFonts w:hint="default" w:ascii="Times New Roman" w:hAnsi="Times New Roman" w:eastAsia="仿宋" w:cs="Times New Roman"/>
          <w:kern w:val="0"/>
          <w:sz w:val="32"/>
          <w:szCs w:val="32"/>
        </w:rPr>
      </w:pPr>
      <w:r>
        <w:rPr>
          <w:rFonts w:hint="default" w:ascii="Times New Roman" w:hAnsi="Times New Roman" w:eastAsia="仿宋_GB2312" w:cs="Times New Roman"/>
          <w:sz w:val="32"/>
          <w:szCs w:val="32"/>
        </w:rPr>
        <w:t>在批发和零售业企业法人单位从业人员中，内资企业占99.5%，港、澳、台商投资企业占0.1%，外商投资企业占0.4%（详见表4-2）。</w:t>
      </w:r>
    </w:p>
    <w:tbl>
      <w:tblPr>
        <w:tblStyle w:val="5"/>
        <w:tblW w:w="8164" w:type="dxa"/>
        <w:jc w:val="center"/>
        <w:tblInd w:w="14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417"/>
        <w:gridCol w:w="2568"/>
        <w:gridCol w:w="217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67" w:hRule="atLeast"/>
          <w:jc w:val="center"/>
        </w:trPr>
        <w:tc>
          <w:tcPr>
            <w:tcW w:w="8164" w:type="dxa"/>
            <w:gridSpan w:val="3"/>
            <w:tcBorders>
              <w:top w:val="nil"/>
              <w:left w:val="nil"/>
              <w:bottom w:val="single" w:color="auto" w:sz="12" w:space="0"/>
              <w:right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 w:hAnsi="楷体" w:eastAsia="楷体" w:cs="楷体"/>
                <w:b w:val="0"/>
                <w:bCs w:val="0"/>
                <w:kern w:val="0"/>
                <w:sz w:val="30"/>
                <w:szCs w:val="30"/>
              </w:rPr>
            </w:pPr>
            <w:r>
              <w:rPr>
                <w:rFonts w:hint="eastAsia" w:ascii="楷体" w:hAnsi="楷体" w:eastAsia="楷体" w:cs="楷体"/>
                <w:b w:val="0"/>
                <w:bCs w:val="0"/>
                <w:kern w:val="0"/>
                <w:sz w:val="30"/>
                <w:szCs w:val="30"/>
              </w:rPr>
              <w:t>表4-2　按登记注册类型分组的批发和零售业企业法人单位</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cs="宋体" w:asciiTheme="minorEastAsia" w:hAnsiTheme="minorEastAsia"/>
                <w:kern w:val="0"/>
                <w:sz w:val="24"/>
                <w:szCs w:val="24"/>
              </w:rPr>
            </w:pPr>
            <w:r>
              <w:rPr>
                <w:rFonts w:hint="eastAsia" w:ascii="楷体" w:hAnsi="楷体" w:eastAsia="楷体" w:cs="楷体"/>
                <w:b w:val="0"/>
                <w:bCs w:val="0"/>
                <w:kern w:val="0"/>
                <w:sz w:val="30"/>
                <w:szCs w:val="30"/>
              </w:rPr>
              <w:t>和从业人员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12" w:space="0"/>
              <w:left w:val="nil"/>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kern w:val="0"/>
                <w:sz w:val="28"/>
                <w:szCs w:val="28"/>
              </w:rPr>
            </w:pPr>
          </w:p>
        </w:tc>
        <w:tc>
          <w:tcPr>
            <w:tcW w:w="2568" w:type="dxa"/>
            <w:tcBorders>
              <w:top w:val="single" w:color="auto" w:sz="12"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企业法人单位</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（个）</w:t>
            </w:r>
          </w:p>
        </w:tc>
        <w:tc>
          <w:tcPr>
            <w:tcW w:w="2179" w:type="dxa"/>
            <w:tcBorders>
              <w:top w:val="single" w:color="auto" w:sz="12" w:space="0"/>
              <w:left w:val="single" w:color="auto" w:sz="4" w:space="0"/>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从业人员</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12"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bCs w:val="0"/>
                <w:kern w:val="0"/>
                <w:sz w:val="28"/>
                <w:szCs w:val="28"/>
              </w:rPr>
              <w:t>合　计</w:t>
            </w:r>
          </w:p>
        </w:tc>
        <w:tc>
          <w:tcPr>
            <w:tcW w:w="2568" w:type="dxa"/>
            <w:tcBorders>
              <w:top w:val="single" w:color="auto" w:sz="12"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7055</w:t>
            </w:r>
          </w:p>
        </w:tc>
        <w:tc>
          <w:tcPr>
            <w:tcW w:w="2179" w:type="dxa"/>
            <w:tcBorders>
              <w:top w:val="single" w:color="auto" w:sz="12"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45035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内资企业</w:t>
            </w:r>
          </w:p>
        </w:tc>
        <w:tc>
          <w:tcPr>
            <w:tcW w:w="2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7037</w:t>
            </w:r>
          </w:p>
        </w:tc>
        <w:tc>
          <w:tcPr>
            <w:tcW w:w="2179"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44825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　</w:t>
            </w:r>
            <w:r>
              <w:rPr>
                <w:rFonts w:hint="default" w:ascii="Times New Roman" w:hAnsi="Times New Roman" w:eastAsia="仿宋_GB2312" w:cs="Times New Roman"/>
                <w:b w:val="0"/>
                <w:bCs/>
                <w:kern w:val="0"/>
                <w:sz w:val="28"/>
                <w:szCs w:val="28"/>
                <w:lang w:val="en-US" w:eastAsia="zh-CN"/>
              </w:rPr>
              <w:t xml:space="preserve"> </w:t>
            </w:r>
            <w:r>
              <w:rPr>
                <w:rFonts w:hint="default" w:ascii="Times New Roman" w:hAnsi="Times New Roman" w:eastAsia="仿宋_GB2312" w:cs="Times New Roman"/>
                <w:b w:val="0"/>
                <w:bCs/>
                <w:kern w:val="0"/>
                <w:sz w:val="28"/>
                <w:szCs w:val="28"/>
              </w:rPr>
              <w:t>国有企业</w:t>
            </w:r>
          </w:p>
        </w:tc>
        <w:tc>
          <w:tcPr>
            <w:tcW w:w="2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8</w:t>
            </w:r>
          </w:p>
        </w:tc>
        <w:tc>
          <w:tcPr>
            <w:tcW w:w="2179"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163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　</w:t>
            </w:r>
            <w:r>
              <w:rPr>
                <w:rFonts w:hint="default" w:ascii="Times New Roman" w:hAnsi="Times New Roman" w:eastAsia="仿宋_GB2312" w:cs="Times New Roman"/>
                <w:b w:val="0"/>
                <w:bCs/>
                <w:kern w:val="0"/>
                <w:sz w:val="28"/>
                <w:szCs w:val="28"/>
                <w:lang w:val="en-US" w:eastAsia="zh-CN"/>
              </w:rPr>
              <w:t xml:space="preserve"> </w:t>
            </w:r>
            <w:r>
              <w:rPr>
                <w:rFonts w:hint="default" w:ascii="Times New Roman" w:hAnsi="Times New Roman" w:eastAsia="仿宋_GB2312" w:cs="Times New Roman"/>
                <w:b w:val="0"/>
                <w:bCs/>
                <w:kern w:val="0"/>
                <w:sz w:val="28"/>
                <w:szCs w:val="28"/>
              </w:rPr>
              <w:t>集体企业</w:t>
            </w:r>
          </w:p>
        </w:tc>
        <w:tc>
          <w:tcPr>
            <w:tcW w:w="2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39</w:t>
            </w:r>
          </w:p>
        </w:tc>
        <w:tc>
          <w:tcPr>
            <w:tcW w:w="2179"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447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　</w:t>
            </w:r>
            <w:r>
              <w:rPr>
                <w:rFonts w:hint="default" w:ascii="Times New Roman" w:hAnsi="Times New Roman" w:eastAsia="仿宋_GB2312" w:cs="Times New Roman"/>
                <w:b w:val="0"/>
                <w:bCs/>
                <w:kern w:val="0"/>
                <w:sz w:val="28"/>
                <w:szCs w:val="28"/>
                <w:lang w:val="en-US" w:eastAsia="zh-CN"/>
              </w:rPr>
              <w:t xml:space="preserve"> </w:t>
            </w:r>
            <w:r>
              <w:rPr>
                <w:rFonts w:hint="default" w:ascii="Times New Roman" w:hAnsi="Times New Roman" w:eastAsia="仿宋_GB2312" w:cs="Times New Roman"/>
                <w:b w:val="0"/>
                <w:bCs/>
                <w:kern w:val="0"/>
                <w:sz w:val="28"/>
                <w:szCs w:val="28"/>
              </w:rPr>
              <w:t>股份合作企业</w:t>
            </w:r>
          </w:p>
        </w:tc>
        <w:tc>
          <w:tcPr>
            <w:tcW w:w="2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1</w:t>
            </w:r>
          </w:p>
        </w:tc>
        <w:tc>
          <w:tcPr>
            <w:tcW w:w="2179"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　</w:t>
            </w:r>
            <w:r>
              <w:rPr>
                <w:rFonts w:hint="default" w:ascii="Times New Roman" w:hAnsi="Times New Roman" w:eastAsia="仿宋_GB2312" w:cs="Times New Roman"/>
                <w:b w:val="0"/>
                <w:bCs/>
                <w:kern w:val="0"/>
                <w:sz w:val="28"/>
                <w:szCs w:val="28"/>
                <w:lang w:val="en-US" w:eastAsia="zh-CN"/>
              </w:rPr>
              <w:t xml:space="preserve"> </w:t>
            </w:r>
            <w:r>
              <w:rPr>
                <w:rFonts w:hint="default" w:ascii="Times New Roman" w:hAnsi="Times New Roman" w:eastAsia="仿宋_GB2312" w:cs="Times New Roman"/>
                <w:b w:val="0"/>
                <w:bCs/>
                <w:kern w:val="0"/>
                <w:sz w:val="28"/>
                <w:szCs w:val="28"/>
              </w:rPr>
              <w:t>联营企业</w:t>
            </w:r>
          </w:p>
        </w:tc>
        <w:tc>
          <w:tcPr>
            <w:tcW w:w="2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4</w:t>
            </w:r>
          </w:p>
        </w:tc>
        <w:tc>
          <w:tcPr>
            <w:tcW w:w="2179"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　</w:t>
            </w:r>
            <w:r>
              <w:rPr>
                <w:rFonts w:hint="default" w:ascii="Times New Roman" w:hAnsi="Times New Roman" w:eastAsia="仿宋_GB2312" w:cs="Times New Roman"/>
                <w:b w:val="0"/>
                <w:bCs/>
                <w:kern w:val="0"/>
                <w:sz w:val="28"/>
                <w:szCs w:val="28"/>
                <w:lang w:val="en-US" w:eastAsia="zh-CN"/>
              </w:rPr>
              <w:t xml:space="preserve"> </w:t>
            </w:r>
            <w:r>
              <w:rPr>
                <w:rFonts w:hint="default" w:ascii="Times New Roman" w:hAnsi="Times New Roman" w:eastAsia="仿宋_GB2312" w:cs="Times New Roman"/>
                <w:b w:val="0"/>
                <w:bCs/>
                <w:kern w:val="0"/>
                <w:sz w:val="28"/>
                <w:szCs w:val="28"/>
              </w:rPr>
              <w:t>有限责任公司</w:t>
            </w:r>
          </w:p>
        </w:tc>
        <w:tc>
          <w:tcPr>
            <w:tcW w:w="2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207</w:t>
            </w:r>
          </w:p>
        </w:tc>
        <w:tc>
          <w:tcPr>
            <w:tcW w:w="2179"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2385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　</w:t>
            </w:r>
            <w:r>
              <w:rPr>
                <w:rFonts w:hint="default" w:ascii="Times New Roman" w:hAnsi="Times New Roman" w:eastAsia="仿宋_GB2312" w:cs="Times New Roman"/>
                <w:b w:val="0"/>
                <w:bCs/>
                <w:kern w:val="0"/>
                <w:sz w:val="28"/>
                <w:szCs w:val="28"/>
                <w:lang w:val="en-US" w:eastAsia="zh-CN"/>
              </w:rPr>
              <w:t xml:space="preserve"> </w:t>
            </w:r>
            <w:r>
              <w:rPr>
                <w:rFonts w:hint="default" w:ascii="Times New Roman" w:hAnsi="Times New Roman" w:eastAsia="仿宋_GB2312" w:cs="Times New Roman"/>
                <w:b w:val="0"/>
                <w:bCs/>
                <w:kern w:val="0"/>
                <w:sz w:val="28"/>
                <w:szCs w:val="28"/>
              </w:rPr>
              <w:t>股份有限公司</w:t>
            </w:r>
          </w:p>
        </w:tc>
        <w:tc>
          <w:tcPr>
            <w:tcW w:w="2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49</w:t>
            </w:r>
          </w:p>
        </w:tc>
        <w:tc>
          <w:tcPr>
            <w:tcW w:w="2179"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347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　</w:t>
            </w:r>
            <w:r>
              <w:rPr>
                <w:rFonts w:hint="default" w:ascii="Times New Roman" w:hAnsi="Times New Roman" w:eastAsia="仿宋_GB2312" w:cs="Times New Roman"/>
                <w:b w:val="0"/>
                <w:bCs/>
                <w:kern w:val="0"/>
                <w:sz w:val="28"/>
                <w:szCs w:val="28"/>
                <w:lang w:val="en-US" w:eastAsia="zh-CN"/>
              </w:rPr>
              <w:t xml:space="preserve"> </w:t>
            </w:r>
            <w:r>
              <w:rPr>
                <w:rFonts w:hint="default" w:ascii="Times New Roman" w:hAnsi="Times New Roman" w:eastAsia="仿宋_GB2312" w:cs="Times New Roman"/>
                <w:b w:val="0"/>
                <w:bCs/>
                <w:kern w:val="0"/>
                <w:sz w:val="28"/>
                <w:szCs w:val="28"/>
              </w:rPr>
              <w:t>私营企业</w:t>
            </w:r>
          </w:p>
        </w:tc>
        <w:tc>
          <w:tcPr>
            <w:tcW w:w="2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6705</w:t>
            </w:r>
          </w:p>
        </w:tc>
        <w:tc>
          <w:tcPr>
            <w:tcW w:w="2179"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41337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　</w:t>
            </w:r>
            <w:r>
              <w:rPr>
                <w:rFonts w:hint="default" w:ascii="Times New Roman" w:hAnsi="Times New Roman" w:eastAsia="仿宋_GB2312" w:cs="Times New Roman"/>
                <w:b w:val="0"/>
                <w:bCs/>
                <w:kern w:val="0"/>
                <w:sz w:val="28"/>
                <w:szCs w:val="28"/>
                <w:lang w:val="en-US" w:eastAsia="zh-CN"/>
              </w:rPr>
              <w:t xml:space="preserve"> </w:t>
            </w:r>
            <w:r>
              <w:rPr>
                <w:rFonts w:hint="default" w:ascii="Times New Roman" w:hAnsi="Times New Roman" w:eastAsia="仿宋_GB2312" w:cs="Times New Roman"/>
                <w:b w:val="0"/>
                <w:bCs/>
                <w:kern w:val="0"/>
                <w:sz w:val="28"/>
                <w:szCs w:val="28"/>
              </w:rPr>
              <w:t>其他企业</w:t>
            </w:r>
          </w:p>
        </w:tc>
        <w:tc>
          <w:tcPr>
            <w:tcW w:w="2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24</w:t>
            </w:r>
          </w:p>
        </w:tc>
        <w:tc>
          <w:tcPr>
            <w:tcW w:w="2179"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130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rPr>
              <w:t>港、澳、台商投资企业</w:t>
            </w:r>
          </w:p>
        </w:tc>
        <w:tc>
          <w:tcPr>
            <w:tcW w:w="2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8</w:t>
            </w:r>
          </w:p>
        </w:tc>
        <w:tc>
          <w:tcPr>
            <w:tcW w:w="2179" w:type="dxa"/>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3417" w:type="dxa"/>
            <w:tcBorders>
              <w:top w:val="single" w:color="auto" w:sz="4" w:space="0"/>
              <w:left w:val="nil"/>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default" w:ascii="Times New Roman" w:hAnsi="Times New Roman" w:eastAsia="仿宋_GB2312" w:cs="Times New Roman"/>
                <w:b w:val="0"/>
                <w:bCs/>
                <w:kern w:val="0"/>
                <w:sz w:val="28"/>
                <w:szCs w:val="28"/>
              </w:rPr>
            </w:pPr>
            <w:r>
              <w:rPr>
                <w:rFonts w:hint="default" w:ascii="Times New Roman" w:hAnsi="Times New Roman" w:eastAsia="仿宋_GB2312" w:cs="Times New Roman"/>
                <w:b w:val="0"/>
                <w:bCs/>
                <w:kern w:val="0"/>
                <w:sz w:val="28"/>
                <w:szCs w:val="28"/>
                <w:lang w:val="en-US" w:eastAsia="zh-CN"/>
              </w:rPr>
              <w:t xml:space="preserve">   </w:t>
            </w:r>
            <w:r>
              <w:rPr>
                <w:rFonts w:hint="default" w:ascii="Times New Roman" w:hAnsi="Times New Roman" w:eastAsia="仿宋_GB2312" w:cs="Times New Roman"/>
                <w:b w:val="0"/>
                <w:bCs/>
                <w:kern w:val="0"/>
                <w:sz w:val="28"/>
                <w:szCs w:val="28"/>
              </w:rPr>
              <w:t>外商投资企业</w:t>
            </w:r>
          </w:p>
        </w:tc>
        <w:tc>
          <w:tcPr>
            <w:tcW w:w="2568" w:type="dxa"/>
            <w:tcBorders>
              <w:top w:val="single" w:color="auto" w:sz="4" w:space="0"/>
              <w:left w:val="single" w:color="auto" w:sz="4" w:space="0"/>
              <w:bottom w:val="single" w:color="auto" w:sz="12"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10</w:t>
            </w:r>
          </w:p>
        </w:tc>
        <w:tc>
          <w:tcPr>
            <w:tcW w:w="2179" w:type="dxa"/>
            <w:tcBorders>
              <w:top w:val="single" w:color="auto" w:sz="4" w:space="0"/>
              <w:left w:val="single" w:color="auto" w:sz="4" w:space="0"/>
              <w:bottom w:val="single" w:color="auto" w:sz="12" w:space="0"/>
              <w:right w:val="nil"/>
            </w:tcBorders>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color w:val="000000"/>
                <w:kern w:val="0"/>
                <w:sz w:val="28"/>
                <w:szCs w:val="28"/>
              </w:rPr>
              <w:t>175</w:t>
            </w:r>
          </w:p>
        </w:tc>
      </w:tr>
    </w:tbl>
    <w:p>
      <w:pPr>
        <w:spacing w:line="580" w:lineRule="exact"/>
        <w:jc w:val="center"/>
        <w:rPr>
          <w:rFonts w:hint="eastAsia" w:ascii="仿宋_GB2312"/>
          <w:color w:val="000000"/>
          <w:szCs w:val="32"/>
          <w:lang w:val="en-US" w:eastAsia="zh-CN"/>
        </w:rPr>
      </w:pPr>
      <w:r>
        <w:rPr>
          <w:rFonts w:hint="eastAsia" w:ascii="仿宋_GB2312"/>
          <w:color w:val="000000"/>
          <w:szCs w:val="32"/>
        </w:rPr>
        <w:t xml:space="preserve"> </w:t>
      </w:r>
      <w:r>
        <w:rPr>
          <w:rFonts w:hint="eastAsia" w:ascii="仿宋_GB2312"/>
          <w:color w:val="000000"/>
          <w:szCs w:val="32"/>
          <w:lang w:val="en-US" w:eastAsia="zh-CN"/>
        </w:rPr>
        <w:t xml:space="preserve">                                                 </w:t>
      </w:r>
    </w:p>
    <w:p>
      <w:pPr>
        <w:spacing w:line="580" w:lineRule="exact"/>
        <w:jc w:val="center"/>
        <w:rPr>
          <w:rFonts w:hint="eastAsia" w:ascii="仿宋_GB2312" w:hAnsi="仿宋_GB2312" w:eastAsia="仿宋_GB2312" w:cs="仿宋_GB2312"/>
          <w:color w:val="000000"/>
          <w:sz w:val="32"/>
          <w:szCs w:val="32"/>
        </w:rPr>
      </w:pPr>
      <w:r>
        <w:rPr>
          <w:rFonts w:hint="eastAsia" w:ascii="仿宋_GB2312"/>
          <w:color w:val="000000"/>
          <w:szCs w:val="32"/>
          <w:lang w:val="en-US" w:eastAsia="zh-CN"/>
        </w:rPr>
        <w:t xml:space="preserve">                                                  </w:t>
      </w:r>
      <w:r>
        <w:rPr>
          <w:rFonts w:hint="eastAsia" w:ascii="仿宋_GB2312" w:hAnsi="仿宋_GB2312" w:eastAsia="仿宋_GB2312" w:cs="仿宋_GB2312"/>
          <w:color w:val="000000"/>
          <w:sz w:val="32"/>
          <w:szCs w:val="32"/>
        </w:rPr>
        <w:t xml:space="preserve">（南安市统计局  </w:t>
      </w:r>
      <w:r>
        <w:rPr>
          <w:rFonts w:hint="eastAsia" w:ascii="仿宋_GB2312" w:hAnsi="仿宋_GB2312" w:eastAsia="仿宋_GB2312" w:cs="仿宋_GB2312"/>
          <w:color w:val="000000"/>
          <w:sz w:val="32"/>
          <w:szCs w:val="32"/>
          <w:lang w:eastAsia="zh-CN"/>
        </w:rPr>
        <w:t>王志伟</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lang w:val="en-US" w:eastAsia="zh-CN"/>
        </w:rPr>
      </w:pPr>
      <w:r>
        <w:rPr>
          <w:rFonts w:hint="eastAsia" w:eastAsia="仿宋_GB2312"/>
          <w:lang w:eastAsia="zh-CN"/>
        </w:rPr>
        <w:drawing>
          <wp:inline distT="0" distB="0" distL="114300" distR="114300">
            <wp:extent cx="1212850" cy="1212850"/>
            <wp:effectExtent l="0" t="0" r="6350" b="6350"/>
            <wp:docPr id="1" name="图片 1" descr="qrcode_for_gh_1eebab0522fd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1eebab0522fd_258"/>
                    <pic:cNvPicPr>
                      <a:picLocks noChangeAspect="1"/>
                    </pic:cNvPicPr>
                  </pic:nvPicPr>
                  <pic:blipFill>
                    <a:blip r:embed="rId5"/>
                    <a:stretch>
                      <a:fillRect/>
                    </a:stretch>
                  </pic:blipFill>
                  <pic:spPr>
                    <a:xfrm>
                      <a:off x="0" y="0"/>
                      <a:ext cx="1212850" cy="1212850"/>
                    </a:xfrm>
                    <a:prstGeom prst="rect">
                      <a:avLst/>
                    </a:prstGeom>
                    <a:noFill/>
                    <a:ln w="9525">
                      <a:noFill/>
                    </a:ln>
                  </pic:spPr>
                </pic:pic>
              </a:graphicData>
            </a:graphic>
          </wp:inline>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仿宋" w:hAnsi="仿宋" w:eastAsia="仿宋"/>
          <w:sz w:val="32"/>
          <w:szCs w:val="32"/>
        </w:rPr>
      </w:pPr>
      <w:r>
        <w:rPr>
          <w:rFonts w:hint="eastAsia" w:ascii="仿宋_GB2312" w:hAnsi="仿宋_GB2312" w:eastAsia="仿宋_GB2312" w:cs="仿宋_GB2312"/>
          <w:sz w:val="24"/>
          <w:szCs w:val="24"/>
          <w:lang w:val="en-US" w:eastAsia="zh-CN"/>
        </w:rPr>
        <w:t>扫码关注南安市统计局</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53" o:spid="_x0000_s2053" o:spt="202" type="#_x0000_t202" style="position:absolute;left:0pt;margin-top:0pt;height:144pt;width:144pt;mso-position-horizontal:outside;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63B5B"/>
    <w:rsid w:val="00031126"/>
    <w:rsid w:val="00080675"/>
    <w:rsid w:val="000B3E92"/>
    <w:rsid w:val="00104A48"/>
    <w:rsid w:val="001340A7"/>
    <w:rsid w:val="00174417"/>
    <w:rsid w:val="001E643D"/>
    <w:rsid w:val="00220CAF"/>
    <w:rsid w:val="00242562"/>
    <w:rsid w:val="00272839"/>
    <w:rsid w:val="00290AA0"/>
    <w:rsid w:val="00293DFB"/>
    <w:rsid w:val="002C245A"/>
    <w:rsid w:val="002F1140"/>
    <w:rsid w:val="00350300"/>
    <w:rsid w:val="00393FE7"/>
    <w:rsid w:val="003D2C57"/>
    <w:rsid w:val="003E7C7A"/>
    <w:rsid w:val="003F2209"/>
    <w:rsid w:val="003F23EF"/>
    <w:rsid w:val="005843BF"/>
    <w:rsid w:val="005E1631"/>
    <w:rsid w:val="005F2B45"/>
    <w:rsid w:val="00617038"/>
    <w:rsid w:val="00626D27"/>
    <w:rsid w:val="00630986"/>
    <w:rsid w:val="00744550"/>
    <w:rsid w:val="0077357D"/>
    <w:rsid w:val="00777A77"/>
    <w:rsid w:val="007936D6"/>
    <w:rsid w:val="00853E79"/>
    <w:rsid w:val="00877F4F"/>
    <w:rsid w:val="00884B2D"/>
    <w:rsid w:val="008A009B"/>
    <w:rsid w:val="008A66A5"/>
    <w:rsid w:val="008D2270"/>
    <w:rsid w:val="008F5B6A"/>
    <w:rsid w:val="00927EF4"/>
    <w:rsid w:val="00950BC7"/>
    <w:rsid w:val="0095501A"/>
    <w:rsid w:val="009947C9"/>
    <w:rsid w:val="00A33F38"/>
    <w:rsid w:val="00A84E76"/>
    <w:rsid w:val="00A87740"/>
    <w:rsid w:val="00AA057E"/>
    <w:rsid w:val="00AD1354"/>
    <w:rsid w:val="00AD3FA2"/>
    <w:rsid w:val="00B745C6"/>
    <w:rsid w:val="00B83B97"/>
    <w:rsid w:val="00BB0834"/>
    <w:rsid w:val="00BE6020"/>
    <w:rsid w:val="00C64C9B"/>
    <w:rsid w:val="00CD7252"/>
    <w:rsid w:val="00CE61B1"/>
    <w:rsid w:val="00CF1514"/>
    <w:rsid w:val="00D2067E"/>
    <w:rsid w:val="00D62D81"/>
    <w:rsid w:val="00E63B5B"/>
    <w:rsid w:val="00E658EB"/>
    <w:rsid w:val="00E818F4"/>
    <w:rsid w:val="00E95F73"/>
    <w:rsid w:val="00F510A7"/>
    <w:rsid w:val="00F85CE8"/>
    <w:rsid w:val="0A1E2070"/>
    <w:rsid w:val="1BF11D86"/>
    <w:rsid w:val="1CAE21DC"/>
    <w:rsid w:val="2C4A1A62"/>
    <w:rsid w:val="3A112FB0"/>
    <w:rsid w:val="3C1C7DD4"/>
    <w:rsid w:val="55020FD6"/>
    <w:rsid w:val="7B467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textRotate="1"/>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466</Words>
  <Characters>2660</Characters>
  <Lines>22</Lines>
  <Paragraphs>6</Paragraphs>
  <ScaleCrop>false</ScaleCrop>
  <LinksUpToDate>false</LinksUpToDate>
  <CharactersWithSpaces>3120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2021-01-04T06:53:00Z</dcterms:created>
  <dc:creator>User</dc:creator>
  <cp:lastModifiedBy>HP</cp:lastModifiedBy>
  <cp:lastPrinted>2021-02-04T02:08:00Z</cp:lastPrinted>
  <dcterms:modified xsi:type="dcterms:W3CDTF">2021-02-26T06:56:46Z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