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875"/>
        </w:tabs>
        <w:spacing w:line="560" w:lineRule="exact"/>
        <w:ind w:firstLine="22"/>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*南简报N024号</w:t>
      </w:r>
    </w:p>
    <w:p>
      <w:pPr>
        <w:widowControl/>
        <w:spacing w:line="560" w:lineRule="exact"/>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r>
        <w:rPr>
          <w:rFonts w:hint="eastAsia" w:ascii="仿宋_GB2312" w:hAnsi="宋体"/>
          <w:color w:val="000000"/>
          <w:kern w:val="0"/>
          <w:szCs w:val="32"/>
        </w:rPr>
        <w:pict>
          <v:shape id="_x0000_s1026" o:spid="_x0000_s1026" o:spt="136" type="#_x0000_t136" style="position:absolute;left:0pt;margin-left:95.95pt;margin-top:140.65pt;height:72.7pt;width:424.6pt;mso-position-horizontal-relative:page;mso-position-vertical-relative:page;z-index:251658240;mso-width-relative:page;mso-height-relative:page;" fillcolor="#FF0000" filled="t" stroked="t" coordsize="21600,21600">
            <v:path/>
            <v:fill on="t" focussize="0,0"/>
            <v:stroke color="#FFFFFF" joinstyle="bevel"/>
            <v:imagedata o:title=""/>
            <o:lock v:ext="edit" grouping="f" rotation="f" text="f" aspectratio="f"/>
            <v:textpath on="t" fitshape="t" fitpath="t" trim="t" xscale="f" string="南安统计信息" style="font-family:方正大标宋简体;font-size:36pt;v-text-align:center;"/>
          </v:shape>
        </w:pict>
      </w:r>
    </w:p>
    <w:p>
      <w:pPr>
        <w:widowControl/>
        <w:spacing w:line="560" w:lineRule="exact"/>
        <w:textAlignment w:val="baseline"/>
        <w:rPr>
          <w:rFonts w:hint="eastAsia" w:ascii="仿宋_GB2312" w:hAnsi="宋体"/>
          <w:color w:val="000000"/>
          <w:kern w:val="0"/>
          <w:szCs w:val="32"/>
        </w:rPr>
      </w:pPr>
    </w:p>
    <w:p>
      <w:pPr>
        <w:widowControl/>
        <w:spacing w:line="560" w:lineRule="exact"/>
        <w:jc w:val="both"/>
        <w:textAlignment w:val="baseline"/>
        <w:rPr>
          <w:rFonts w:hint="default" w:ascii="Times New Roman" w:hAnsi="Times New Roman" w:eastAsia="仿宋_GB2312" w:cs="Times New Roman"/>
          <w:color w:val="000000"/>
          <w:kern w:val="0"/>
          <w:sz w:val="32"/>
          <w:szCs w:val="32"/>
        </w:rPr>
      </w:pP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w:t>
      </w:r>
      <w:r>
        <w:rPr>
          <w:rFonts w:hint="default"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期</w:t>
      </w: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南安市统计局  编                     2020年</w:t>
      </w:r>
      <w:r>
        <w:rPr>
          <w:rFonts w:hint="default"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rPr>
        <w:t>日</w:t>
      </w:r>
    </w:p>
    <w:p>
      <w:pPr>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103505</wp:posOffset>
                </wp:positionV>
                <wp:extent cx="6125845" cy="76200"/>
                <wp:effectExtent l="7620" t="0" r="8255" b="22860"/>
                <wp:wrapNone/>
                <wp:docPr id="2" name="自选图形 3"/>
                <wp:cNvGraphicFramePr/>
                <a:graphic xmlns:a="http://schemas.openxmlformats.org/drawingml/2006/main">
                  <a:graphicData uri="http://schemas.microsoft.com/office/word/2010/wordprocessingShape">
                    <wps:wsp>
                      <wps:cNvSpPr/>
                      <wps:spPr>
                        <a:xfrm flipV="1">
                          <a:off x="0" y="0"/>
                          <a:ext cx="6125845" cy="76200"/>
                        </a:xfrm>
                        <a:prstGeom prst="flowChartProcess">
                          <a:avLst/>
                        </a:prstGeom>
                        <a:solidFill>
                          <a:srgbClr val="FF0000"/>
                        </a:solidFill>
                        <a:ln w="15875" cap="flat" cmpd="sng">
                          <a:solidFill>
                            <a:srgbClr val="FFFFFF"/>
                          </a:solidFill>
                          <a:prstDash val="solid"/>
                          <a:miter/>
                          <a:headEnd type="none" w="med" len="med"/>
                          <a:tailEnd type="none" w="med" len="med"/>
                        </a:ln>
                        <a:effectLst/>
                      </wps:spPr>
                      <wps:bodyPr upright="1"/>
                    </wps:wsp>
                  </a:graphicData>
                </a:graphic>
              </wp:anchor>
            </w:drawing>
          </mc:Choice>
          <mc:Fallback>
            <w:pict>
              <v:shape id="自选图形 3" o:spid="_x0000_s1026" o:spt="109" type="#_x0000_t109" style="position:absolute;left:0pt;flip:y;margin-left:-15.3pt;margin-top:8.15pt;height:6pt;width:482.35pt;z-index:251659264;mso-width-relative:page;mso-height-relative:page;" fillcolor="#FF0000" filled="t" stroked="t" coordsize="21600,21600" o:gfxdata="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7/h77ZAAAACQEAAA8AAAAAAAAAAQAgAAAAIgAAAGRycy9kb3du&#10;cmV2LnhtbFBLAQIUABQAAAAIAIdO4kAbj7Dr/gEAAPoDAAAOAAAAAAAAAAEAIAAAACgBAABkcnMv&#10;ZTJvRG9jLnhtbFBLBQYAAAAABgAGAFkBAACYBQAAAAA=&#10;">
                <v:fill on="t" focussize="0,0"/>
                <v:stroke weight="1.25pt" color="#FFFFFF"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after="319" w:afterLines="10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2020年上半年南安市建筑业运行良好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今年受新冠肺炎疫情影响，各行业都受到不小冲击。南安市建筑业</w:t>
      </w:r>
      <w:r>
        <w:rPr>
          <w:rFonts w:hint="default" w:ascii="Times New Roman" w:hAnsi="Times New Roman" w:eastAsia="仿宋_GB2312" w:cs="Times New Roman"/>
          <w:color w:val="auto"/>
          <w:kern w:val="0"/>
          <w:sz w:val="32"/>
          <w:szCs w:val="32"/>
          <w:lang w:val="en-US" w:eastAsia="zh-CN" w:bidi="ar"/>
        </w:rPr>
        <w:t>企业顶住压力，迎难而上，开局良好，为实现全年目标打下较好基础。</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经济运行基本情况</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cs="Times New Roman" w:eastAsiaTheme="minorEastAsia"/>
          <w:b/>
          <w:bCs/>
          <w:color w:val="auto"/>
          <w:kern w:val="0"/>
          <w:sz w:val="28"/>
          <w:szCs w:val="28"/>
          <w:lang w:val="en-US" w:eastAsia="zh-CN" w:bidi="ar"/>
        </w:rPr>
      </w:pPr>
      <w:r>
        <w:rPr>
          <w:rFonts w:hint="default" w:ascii="Times New Roman" w:hAnsi="Times New Roman" w:eastAsia="楷体" w:cs="Times New Roman"/>
          <w:b w:val="0"/>
          <w:bCs w:val="0"/>
          <w:color w:val="auto"/>
          <w:kern w:val="0"/>
          <w:sz w:val="32"/>
          <w:szCs w:val="32"/>
          <w:lang w:val="en-US" w:eastAsia="zh-CN" w:bidi="ar"/>
        </w:rPr>
        <w:t>全市建筑业总产值总体增长，整体发展不断提升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上半年，全市资质以上建筑业产值达45.88亿元，同比增长13.0%，比上年同期提高20.6个百分点，居泉州市第三名。2020年二季度，全市资质以上建筑业当季产值为26.58亿元，同比增长20.6%，环比增长37.7%。</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楷体" w:cs="Times New Roman"/>
          <w:b w:val="0"/>
          <w:bCs w:val="0"/>
          <w:color w:val="auto"/>
          <w:kern w:val="0"/>
          <w:sz w:val="32"/>
          <w:szCs w:val="32"/>
          <w:lang w:val="en-US" w:eastAsia="zh-CN" w:bidi="ar"/>
        </w:rPr>
      </w:pPr>
      <w:r>
        <w:rPr>
          <w:rFonts w:hint="default" w:ascii="Times New Roman" w:hAnsi="Times New Roman" w:eastAsia="楷体" w:cs="Times New Roman"/>
          <w:b w:val="0"/>
          <w:bCs w:val="0"/>
          <w:color w:val="auto"/>
          <w:kern w:val="0"/>
          <w:sz w:val="32"/>
          <w:szCs w:val="32"/>
          <w:lang w:val="en-US" w:eastAsia="zh-CN" w:bidi="ar"/>
        </w:rPr>
        <w:t>各结构产值占比情况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160" w:afterLines="5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从建筑业产业结构分布看，2020年上半年建筑工程产值43.80亿元，同比增长10.8%，所占比重为95.4%，比上年同期下降1.9个百分点；安装工程产值1.69亿元，同比增长72.4%，所占比重为3.7%，比上年同期提高1.3个百分点；其他建筑业产值0.39亿元，同比增长2.5倍，所占比重为0.9%，比上年同期提高0.6个百分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420" w:firstLineChars="200"/>
        <w:jc w:val="center"/>
        <w:textAlignment w:val="auto"/>
        <w:outlineLvl w:val="9"/>
        <w:rPr>
          <w:rFonts w:hint="eastAsia" w:asciiTheme="minorEastAsia" w:hAnsiTheme="minorEastAsia" w:eastAsiaTheme="minorEastAsia" w:cstheme="minorEastAsia"/>
          <w:color w:val="auto"/>
          <w:kern w:val="0"/>
          <w:sz w:val="28"/>
          <w:szCs w:val="28"/>
          <w:lang w:val="en-US" w:eastAsia="zh-CN" w:bidi="ar"/>
        </w:rPr>
      </w:pPr>
      <w:r>
        <w:drawing>
          <wp:inline distT="0" distB="0" distL="114300" distR="114300">
            <wp:extent cx="4733290" cy="3190875"/>
            <wp:effectExtent l="4445" t="5080" r="5715" b="444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60" w:beforeLines="50" w:beforeAutospacing="0" w:afterAutospacing="0" w:line="60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二、需关注的几个问题</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cs="Times New Roman" w:eastAsiaTheme="minorEastAsia"/>
          <w:b/>
          <w:bCs/>
          <w:color w:val="auto"/>
          <w:kern w:val="0"/>
          <w:sz w:val="28"/>
          <w:szCs w:val="28"/>
          <w:lang w:val="en-US" w:eastAsia="zh-CN" w:bidi="ar"/>
        </w:rPr>
      </w:pPr>
      <w:r>
        <w:rPr>
          <w:rFonts w:hint="default" w:ascii="Times New Roman" w:hAnsi="Times New Roman" w:eastAsia="楷体" w:cs="Times New Roman"/>
          <w:b w:val="0"/>
          <w:bCs w:val="0"/>
          <w:color w:val="auto"/>
          <w:kern w:val="0"/>
          <w:sz w:val="32"/>
          <w:szCs w:val="32"/>
          <w:lang w:val="en-US" w:eastAsia="zh-CN" w:bidi="ar"/>
        </w:rPr>
        <w:t>（一）本年新签订的合同额下降，限制企业后续发展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上半年，全市资质等级内建筑业企业签订合同额122.35亿元，同比增长2.5%。其中：本年新签合同额50.62亿元，同比下降21.3%。不利于产业后续发展。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楷体" w:cs="Times New Roman"/>
          <w:b w:val="0"/>
          <w:bCs w:val="0"/>
          <w:color w:val="auto"/>
          <w:kern w:val="0"/>
          <w:sz w:val="32"/>
          <w:szCs w:val="32"/>
          <w:lang w:val="en-US" w:eastAsia="zh-CN" w:bidi="ar"/>
        </w:rPr>
      </w:pPr>
      <w:r>
        <w:rPr>
          <w:rFonts w:hint="default" w:ascii="Times New Roman" w:hAnsi="Times New Roman" w:eastAsia="楷体" w:cs="Times New Roman"/>
          <w:b w:val="0"/>
          <w:bCs w:val="0"/>
          <w:color w:val="auto"/>
          <w:kern w:val="0"/>
          <w:sz w:val="32"/>
          <w:szCs w:val="32"/>
          <w:lang w:val="en-US" w:eastAsia="zh-CN" w:bidi="ar"/>
        </w:rPr>
        <w:t>（二）建筑业总产值构成单一，制约企业多元发展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全市资质以上建筑企业总产值中建筑工程总产值43.80亿元，占比95.4%，其他各类产值如安装工程产值和其他建筑业产值占比极小，致使其构成单一，限制了本地建筑企业的多元发展。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楷体" w:cs="Times New Roman"/>
          <w:b w:val="0"/>
          <w:bCs w:val="0"/>
          <w:color w:val="auto"/>
          <w:kern w:val="0"/>
          <w:sz w:val="32"/>
          <w:szCs w:val="32"/>
          <w:lang w:val="en-US" w:eastAsia="zh-CN" w:bidi="ar"/>
        </w:rPr>
      </w:pPr>
      <w:r>
        <w:rPr>
          <w:rFonts w:hint="default" w:ascii="Times New Roman" w:hAnsi="Times New Roman" w:eastAsia="楷体" w:cs="Times New Roman"/>
          <w:b w:val="0"/>
          <w:bCs w:val="0"/>
          <w:color w:val="auto"/>
          <w:kern w:val="0"/>
          <w:sz w:val="32"/>
          <w:szCs w:val="32"/>
          <w:lang w:val="en-US" w:eastAsia="zh-CN" w:bidi="ar"/>
        </w:rPr>
        <w:t>（三）外地企业承接项目多，抑制本地企业发展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一方面，本地大项目较多为外地建筑工程承建，导致本地有建筑没产值，如中骏、源昌、恒大、美的等大型房地产项目皆为外地建筑业企业承建。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另一方面，本地公司留不住，去年移出企业6家，未有1家企业移入。移出企业去年全年总产值达11.8亿，占全年产值8.</w:t>
      </w:r>
      <w:bookmarkStart w:id="0" w:name="_GoBack"/>
      <w:bookmarkEnd w:id="0"/>
      <w:r>
        <w:rPr>
          <w:rFonts w:hint="default" w:ascii="Times New Roman" w:hAnsi="Times New Roman" w:eastAsia="仿宋_GB2312" w:cs="Times New Roman"/>
          <w:color w:val="auto"/>
          <w:kern w:val="0"/>
          <w:sz w:val="32"/>
          <w:szCs w:val="32"/>
          <w:lang w:val="en-US" w:eastAsia="zh-CN" w:bidi="ar"/>
        </w:rPr>
        <w:t>8%，且部分企业合同额多，后期发展潜力大，其外迁对我市损失极大。</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三、对建筑业发展的几点建议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1.实施“走出去”战略，鼓励开拓外地市场，建设行政主管部门要成立市外市场开拓服务平台，与当地相关部门建立协作关系，及时了解企业在市外新增建设项目，同时建立专项经费用于该类企业的扶持与发展。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2.实施“引进来”战略，鼓励“外企”迁入。对在我市落户注册的市外企业进行奖励，对特级、一级、二级施工总承包企业，分别给予对应的梯度奖励。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3.支持本地企业承接业务。鼓励我市优秀建筑企业在同等条件下优先参与政府性投资工程项目的招投标和我市PPP等项目建设。对核准为邀请招标的政府投资项目和政府购买项目，应优先邀请我市建筑企业参与。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此外，鉴于当前对于数据质量的愈发重视，建议上级统计机构能开展专项业务培训，增强县级统计人员的专业能力，以提升统计数据审核能力，提高数据质量。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（南安市统计局  </w:t>
      </w:r>
      <w:r>
        <w:rPr>
          <w:rFonts w:hint="eastAsia" w:ascii="仿宋_GB2312" w:hAnsi="仿宋_GB2312" w:eastAsia="仿宋_GB2312" w:cs="仿宋_GB2312"/>
          <w:color w:val="000000"/>
          <w:sz w:val="32"/>
          <w:szCs w:val="32"/>
          <w:lang w:eastAsia="zh-CN"/>
        </w:rPr>
        <w:t>陈美丹</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lang w:val="en-US" w:eastAsia="zh-CN"/>
        </w:rPr>
      </w:pPr>
      <w:r>
        <w:rPr>
          <w:rFonts w:hint="eastAsia" w:eastAsia="仿宋_GB2312"/>
          <w:lang w:eastAsia="zh-CN"/>
        </w:rPr>
        <w:drawing>
          <wp:inline distT="0" distB="0" distL="114300" distR="114300">
            <wp:extent cx="1212850" cy="1212850"/>
            <wp:effectExtent l="0" t="0" r="6350" b="6350"/>
            <wp:docPr id="1" name="图片 1" descr="qrcode_for_gh_1eebab0522fd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1eebab0522fd_258"/>
                    <pic:cNvPicPr>
                      <a:picLocks noChangeAspect="1"/>
                    </pic:cNvPicPr>
                  </pic:nvPicPr>
                  <pic:blipFill>
                    <a:blip r:embed="rId6"/>
                    <a:stretch>
                      <a:fillRect/>
                    </a:stretch>
                  </pic:blipFill>
                  <pic:spPr>
                    <a:xfrm>
                      <a:off x="0" y="0"/>
                      <a:ext cx="1212850" cy="1212850"/>
                    </a:xfrm>
                    <a:prstGeom prst="rect">
                      <a:avLst/>
                    </a:prstGeom>
                    <a:noFill/>
                    <a:ln w="9525">
                      <a:noFill/>
                    </a:ln>
                  </pic:spPr>
                </pic:pic>
              </a:graphicData>
            </a:graphic>
          </wp:inline>
        </w:drawing>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sz w:val="30"/>
          <w:szCs w:val="30"/>
        </w:rPr>
      </w:pPr>
      <w:r>
        <w:rPr>
          <w:rFonts w:hint="eastAsia" w:ascii="仿宋_GB2312" w:hAnsi="仿宋_GB2312" w:eastAsia="仿宋_GB2312" w:cs="仿宋_GB2312"/>
          <w:sz w:val="24"/>
          <w:szCs w:val="21"/>
          <w:lang w:val="en-US" w:eastAsia="zh-CN"/>
        </w:rPr>
        <w:t>扫码关注南安市统计局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left"/>
        <w:textAlignment w:val="auto"/>
        <w:outlineLvl w:val="9"/>
        <w:rPr>
          <w:rFonts w:hint="eastAsia" w:ascii="仿宋_GB2312" w:hAnsi="仿宋_GB2312" w:eastAsia="仿宋_GB2312" w:cs="仿宋_GB2312"/>
          <w:color w:val="auto"/>
          <w:kern w:val="0"/>
          <w:sz w:val="32"/>
          <w:szCs w:val="32"/>
          <w:lang w:val="en-US" w:eastAsia="zh-CN" w:bidi="ar"/>
        </w:rPr>
      </w:pPr>
    </w:p>
    <w:sectPr>
      <w:footerReference r:id="rId3" w:type="default"/>
      <w:pgSz w:w="11906" w:h="16838"/>
      <w:pgMar w:top="2098" w:right="1474" w:bottom="1984" w:left="1587" w:header="851" w:footer="992" w:gutter="0"/>
      <w:paperSrc/>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rial Narrow">
    <w:panose1 w:val="020B0606020202030204"/>
    <w:charset w:val="00"/>
    <w:family w:val="auto"/>
    <w:pitch w:val="default"/>
    <w:sig w:usb0="00000287" w:usb1="000008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9640F"/>
    <w:multiLevelType w:val="singleLevel"/>
    <w:tmpl w:val="5E99640F"/>
    <w:lvl w:ilvl="0" w:tentative="0">
      <w:start w:val="1"/>
      <w:numFmt w:val="chineseCounting"/>
      <w:suff w:val="nothing"/>
      <w:lvlText w:val="%1、"/>
      <w:lvlJc w:val="left"/>
    </w:lvl>
  </w:abstractNum>
  <w:abstractNum w:abstractNumId="1">
    <w:nsid w:val="5F0ABC53"/>
    <w:multiLevelType w:val="singleLevel"/>
    <w:tmpl w:val="5F0ABC53"/>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E06FF"/>
    <w:rsid w:val="00D63400"/>
    <w:rsid w:val="019B09AB"/>
    <w:rsid w:val="04DF61FD"/>
    <w:rsid w:val="0614482F"/>
    <w:rsid w:val="23F72D88"/>
    <w:rsid w:val="2D66067B"/>
    <w:rsid w:val="2DDE06FF"/>
    <w:rsid w:val="399D5398"/>
    <w:rsid w:val="3B8A361C"/>
    <w:rsid w:val="420457FB"/>
    <w:rsid w:val="44244DC9"/>
    <w:rsid w:val="50B14D89"/>
    <w:rsid w:val="5A956B51"/>
    <w:rsid w:val="65415497"/>
    <w:rsid w:val="6D1331A4"/>
    <w:rsid w:val="7492412F"/>
    <w:rsid w:val="7B9D5B3A"/>
    <w:rsid w:val="7BF54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yperlink"/>
    <w:basedOn w:val="4"/>
    <w:qFormat/>
    <w:uiPriority w:val="0"/>
    <w:rPr>
      <w:color w:val="333333"/>
      <w:u w:val="none"/>
    </w:rPr>
  </w:style>
  <w:style w:type="character" w:customStyle="1" w:styleId="9">
    <w:name w:val="icon"/>
    <w:basedOn w:val="4"/>
    <w:qFormat/>
    <w:uiPriority w:val="0"/>
  </w:style>
  <w:style w:type="character" w:customStyle="1" w:styleId="10">
    <w:name w:val="icon1"/>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all" spc="150" baseline="0">
                <a:solidFill>
                  <a:sysClr val="windowText" lastClr="000000"/>
                </a:solidFill>
                <a:latin typeface="+mn-lt"/>
                <a:ea typeface="+mn-ea"/>
                <a:cs typeface="+mn-cs"/>
              </a:defRPr>
            </a:pPr>
            <a:r>
              <a:rPr sz="1400" b="0">
                <a:solidFill>
                  <a:sysClr val="windowText" lastClr="000000"/>
                </a:solidFill>
              </a:rPr>
              <a:t>各结构产值占比情况</a:t>
            </a:r>
            <a:endParaRPr sz="1400" b="0">
              <a:solidFill>
                <a:sysClr val="windowText" lastClr="000000"/>
              </a:solidFill>
            </a:endParaRPr>
          </a:p>
        </c:rich>
      </c:tx>
      <c:layout>
        <c:manualLayout>
          <c:xMode val="edge"/>
          <c:yMode val="edge"/>
          <c:x val="0.263447477864234"/>
          <c:y val="0.0208333333333333"/>
        </c:manualLayout>
      </c:layout>
      <c:overlay val="0"/>
      <c:spPr>
        <a:noFill/>
        <a:ln>
          <a:noFill/>
        </a:ln>
        <a:effectLst/>
      </c:spPr>
    </c:title>
    <c:autoTitleDeleted val="0"/>
    <c:plotArea>
      <c:layout>
        <c:manualLayout>
          <c:layoutTarget val="inner"/>
          <c:xMode val="edge"/>
          <c:yMode val="edge"/>
          <c:x val="0.301877777777778"/>
          <c:y val="0.240166666666667"/>
          <c:w val="0.396244444444444"/>
          <c:h val="0.660407407407407"/>
        </c:manualLayout>
      </c:layout>
      <c:pieChart>
        <c:varyColors val="1"/>
        <c:ser>
          <c:idx val="0"/>
          <c:order val="0"/>
          <c:tx>
            <c:strRef>
              <c:f>[工作簿2]Sheet1!$B$1</c:f>
              <c:strCache>
                <c:ptCount val="1"/>
                <c:pt idx="0">
                  <c:v>各结构产值占比情况</c:v>
                </c:pt>
              </c:strCache>
            </c:strRef>
          </c:tx>
          <c:spPr/>
          <c:explosion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Lbls>
            <c:dLbl>
              <c:idx val="0"/>
              <c:layout>
                <c:manualLayout>
                  <c:x val="0.121589638672748"/>
                  <c:y val="-0.0241328444459472"/>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ysClr val="windowText" lastClr="000000"/>
                        </a:solidFill>
                        <a:latin typeface="+mn-lt"/>
                        <a:ea typeface="+mn-ea"/>
                        <a:cs typeface="+mn-cs"/>
                      </a:defRPr>
                    </a:pPr>
                    <a:r>
                      <a:rPr sz="1200">
                        <a:solidFill>
                          <a:sysClr val="windowText" lastClr="000000"/>
                        </a:solidFill>
                      </a:rPr>
                      <a:t>建筑工程95</a:t>
                    </a:r>
                    <a:r>
                      <a:rPr lang="en-US" altLang="zh-CN" sz="1200">
                        <a:solidFill>
                          <a:sysClr val="windowText" lastClr="000000"/>
                        </a:solidFill>
                      </a:rPr>
                      <a:t>.4</a:t>
                    </a:r>
                    <a:r>
                      <a:rPr sz="1200">
                        <a:solidFill>
                          <a:sysClr val="windowText" lastClr="000000"/>
                        </a:solidFill>
                      </a:rPr>
                      <a:t>%</a:t>
                    </a:r>
                    <a:endParaRPr sz="1200">
                      <a:solidFill>
                        <a:sysClr val="windowText" lastClr="00000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40506215901977"/>
                  <c:y val="0.0579291044776119"/>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ysClr val="windowText" lastClr="000000"/>
                        </a:solidFill>
                        <a:latin typeface="+mn-lt"/>
                        <a:ea typeface="+mn-ea"/>
                        <a:cs typeface="+mn-cs"/>
                      </a:defRPr>
                    </a:pPr>
                    <a:r>
                      <a:rPr sz="1200">
                        <a:solidFill>
                          <a:sysClr val="windowText" lastClr="000000"/>
                        </a:solidFill>
                      </a:rPr>
                      <a:t>安装工程</a:t>
                    </a:r>
                    <a:endParaRPr sz="1200">
                      <a:solidFill>
                        <a:sysClr val="windowText" lastClr="000000"/>
                      </a:solidFill>
                    </a:endParaRPr>
                  </a:p>
                  <a:p>
                    <a:pPr defTabSz="914400">
                      <a:defRPr lang="zh-CN" sz="1200" b="0" i="0" u="none" strike="noStrike" kern="1200" baseline="0">
                        <a:solidFill>
                          <a:sysClr val="windowText" lastClr="000000"/>
                        </a:solidFill>
                        <a:latin typeface="+mn-lt"/>
                        <a:ea typeface="+mn-ea"/>
                        <a:cs typeface="+mn-cs"/>
                      </a:defRPr>
                    </a:pPr>
                    <a:r>
                      <a:rPr lang="en-US" altLang="zh-CN" sz="1200">
                        <a:solidFill>
                          <a:sysClr val="windowText" lastClr="000000"/>
                        </a:solidFill>
                      </a:rPr>
                      <a:t>3.7</a:t>
                    </a:r>
                    <a:r>
                      <a:rPr sz="1200">
                        <a:solidFill>
                          <a:sysClr val="windowText" lastClr="000000"/>
                        </a:solidFill>
                      </a:rPr>
                      <a:t>%</a:t>
                    </a:r>
                    <a:endParaRPr sz="1200">
                      <a:solidFill>
                        <a:sysClr val="windowText" lastClr="00000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79972162597263"/>
                  <c:y val="0.025342039800995"/>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ysClr val="windowText" lastClr="000000"/>
                        </a:solidFill>
                        <a:latin typeface="+mn-lt"/>
                        <a:ea typeface="+mn-ea"/>
                        <a:cs typeface="+mn-cs"/>
                      </a:defRPr>
                    </a:pPr>
                    <a:r>
                      <a:rPr sz="1200">
                        <a:solidFill>
                          <a:sysClr val="windowText" lastClr="000000"/>
                        </a:solidFill>
                      </a:rPr>
                      <a:t>其他建筑业</a:t>
                    </a:r>
                    <a:endParaRPr sz="1200">
                      <a:solidFill>
                        <a:sysClr val="windowText" lastClr="000000"/>
                      </a:solidFill>
                    </a:endParaRPr>
                  </a:p>
                  <a:p>
                    <a:pPr defTabSz="914400">
                      <a:defRPr lang="zh-CN" sz="1200" b="0" i="0" u="none" strike="noStrike" kern="1200" baseline="0">
                        <a:solidFill>
                          <a:sysClr val="windowText" lastClr="000000"/>
                        </a:solidFill>
                        <a:latin typeface="+mn-lt"/>
                        <a:ea typeface="+mn-ea"/>
                        <a:cs typeface="+mn-cs"/>
                      </a:defRPr>
                    </a:pPr>
                    <a:r>
                      <a:rPr lang="en-US" altLang="zh-CN" sz="1200">
                        <a:solidFill>
                          <a:sysClr val="windowText" lastClr="000000"/>
                        </a:solidFill>
                      </a:rPr>
                      <a:t>0.9</a:t>
                    </a:r>
                    <a:r>
                      <a:rPr sz="1200">
                        <a:solidFill>
                          <a:sysClr val="windowText" lastClr="000000"/>
                        </a:solidFill>
                      </a:rPr>
                      <a:t>%</a:t>
                    </a:r>
                    <a:endParaRPr sz="1200">
                      <a:solidFill>
                        <a:sysClr val="windowText" lastClr="00000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ysClr val="windowText" lastClr="000000"/>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[工作簿2]Sheet1!$A$2:$A$4</c:f>
              <c:strCache>
                <c:ptCount val="3"/>
                <c:pt idx="0">
                  <c:v>建筑工程</c:v>
                </c:pt>
                <c:pt idx="1">
                  <c:v>安装工程</c:v>
                </c:pt>
                <c:pt idx="2">
                  <c:v>其他建筑业</c:v>
                </c:pt>
              </c:strCache>
            </c:strRef>
          </c:cat>
          <c:val>
            <c:numRef>
              <c:f>[工作簿2]Sheet1!$B$2:$B$4</c:f>
              <c:numCache>
                <c:formatCode>General</c:formatCode>
                <c:ptCount val="3"/>
                <c:pt idx="0">
                  <c:v>95.4</c:v>
                </c:pt>
                <c:pt idx="1">
                  <c:v>3.7</c:v>
                </c:pt>
                <c:pt idx="2">
                  <c:v>0.9</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2020-04-17T07:56:00Z</dcterms:created>
  <dc:creator>lmx</dc:creator>
  <cp:lastModifiedBy>HP</cp:lastModifiedBy>
  <cp:lastPrinted>2020-04-20T01:23:00Z</cp:lastPrinted>
  <dcterms:modified xsi:type="dcterms:W3CDTF">2020-07-29T03:10:59Z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