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875"/>
        </w:tabs>
        <w:spacing w:line="560" w:lineRule="exact"/>
        <w:ind w:firstLine="22"/>
        <w:textAlignment w:val="baseline"/>
        <w:rPr>
          <w:rFonts w:hint="eastAsia" w:ascii="仿宋_GB2312" w:hAnsi="宋体"/>
          <w:bCs/>
          <w:color w:val="000000"/>
          <w:kern w:val="0"/>
          <w:sz w:val="32"/>
          <w:szCs w:val="32"/>
        </w:rPr>
      </w:pPr>
      <w:r>
        <w:rPr>
          <w:rFonts w:hint="eastAsia" w:ascii="仿宋_GB2312" w:hAnsi="仿宋_GB2312" w:eastAsia="仿宋_GB2312" w:cs="仿宋_GB2312"/>
          <w:b/>
          <w:bCs/>
          <w:color w:val="000000"/>
          <w:kern w:val="0"/>
          <w:sz w:val="32"/>
          <w:szCs w:val="32"/>
        </w:rPr>
        <w:t>*南简报N024号</w:t>
      </w:r>
    </w:p>
    <w:p>
      <w:pPr>
        <w:widowControl/>
        <w:spacing w:line="560" w:lineRule="exact"/>
        <w:jc w:val="center"/>
        <w:textAlignment w:val="baseline"/>
        <w:rPr>
          <w:rFonts w:hint="eastAsia" w:ascii="仿宋_GB2312" w:hAnsi="宋体"/>
          <w:color w:val="000000"/>
          <w:kern w:val="0"/>
          <w:szCs w:val="32"/>
        </w:rPr>
      </w:pPr>
    </w:p>
    <w:p>
      <w:pPr>
        <w:widowControl/>
        <w:spacing w:line="560" w:lineRule="exact"/>
        <w:ind w:firstLine="22"/>
        <w:jc w:val="center"/>
        <w:textAlignment w:val="baseline"/>
        <w:rPr>
          <w:rFonts w:hint="eastAsia" w:ascii="仿宋_GB2312" w:hAnsi="宋体"/>
          <w:color w:val="000000"/>
          <w:kern w:val="0"/>
          <w:szCs w:val="32"/>
        </w:rPr>
      </w:pPr>
      <w:r>
        <w:rPr>
          <w:rFonts w:hint="eastAsia" w:ascii="仿宋_GB2312" w:hAnsi="宋体"/>
          <w:color w:val="000000"/>
          <w:kern w:val="0"/>
          <w:szCs w:val="32"/>
        </w:rPr>
        <w:pict>
          <v:shape id="_x0000_s1027" o:spid="_x0000_s1027" o:spt="136" type="#_x0000_t136" style="position:absolute;left:0pt;margin-left:95.95pt;margin-top:140.65pt;height:72.7pt;width:424.6pt;mso-position-horizontal-relative:page;mso-position-vertical-relative:page;z-index:251658240;mso-width-relative:page;mso-height-relative:page;" fillcolor="#FF0000" filled="t" stroked="t" coordsize="21600,21600">
            <v:path/>
            <v:fill on="t" focussize="0,0"/>
            <v:stroke color="#FFFFFF" joinstyle="bevel"/>
            <v:imagedata o:title=""/>
            <o:lock v:ext="edit" grouping="f" rotation="f" text="f" aspectratio="f"/>
            <v:textpath on="t" fitshape="t" fitpath="t" trim="t" xscale="f" string="南安统计信息" style="font-family:方正大标宋简体;font-size:36pt;v-text-align:center;"/>
          </v:shape>
        </w:pict>
      </w:r>
    </w:p>
    <w:p>
      <w:pPr>
        <w:widowControl/>
        <w:spacing w:line="560" w:lineRule="exact"/>
        <w:textAlignment w:val="baseline"/>
        <w:rPr>
          <w:rFonts w:hint="eastAsia" w:ascii="仿宋_GB2312" w:hAnsi="宋体"/>
          <w:color w:val="000000"/>
          <w:kern w:val="0"/>
          <w:szCs w:val="32"/>
        </w:rPr>
      </w:pPr>
    </w:p>
    <w:p>
      <w:pPr>
        <w:widowControl/>
        <w:spacing w:line="560" w:lineRule="exact"/>
        <w:ind w:firstLine="22"/>
        <w:jc w:val="center"/>
        <w:textAlignment w:val="baseline"/>
        <w:rPr>
          <w:rFonts w:hint="eastAsia" w:ascii="仿宋_GB2312" w:hAnsi="宋体"/>
          <w:color w:val="000000"/>
          <w:kern w:val="0"/>
          <w:szCs w:val="32"/>
        </w:rPr>
      </w:pPr>
    </w:p>
    <w:p>
      <w:pPr>
        <w:widowControl/>
        <w:spacing w:line="560" w:lineRule="exact"/>
        <w:ind w:firstLine="22"/>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w:t>
      </w: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期</w:t>
      </w:r>
    </w:p>
    <w:p>
      <w:pPr>
        <w:widowControl/>
        <w:spacing w:line="560" w:lineRule="exact"/>
        <w:ind w:firstLine="22"/>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南安市统计局  编                     20</w:t>
      </w:r>
      <w:r>
        <w:rPr>
          <w:rFonts w:hint="default" w:ascii="Times New Roman" w:hAnsi="Times New Roman" w:eastAsia="仿宋_GB2312" w:cs="Times New Roman"/>
          <w:color w:val="000000"/>
          <w:kern w:val="0"/>
          <w:sz w:val="32"/>
          <w:szCs w:val="32"/>
          <w:lang w:val="en-US" w:eastAsia="zh-CN"/>
        </w:rPr>
        <w:t>20</w:t>
      </w:r>
      <w:r>
        <w:rPr>
          <w:rFonts w:hint="default" w:ascii="Times New Roman" w:hAnsi="Times New Roman" w:eastAsia="仿宋_GB2312" w:cs="Times New Roman"/>
          <w:color w:val="000000"/>
          <w:kern w:val="0"/>
          <w:sz w:val="32"/>
          <w:szCs w:val="32"/>
        </w:rPr>
        <w:t>年</w:t>
      </w:r>
      <w:r>
        <w:rPr>
          <w:rFonts w:hint="eastAsia" w:ascii="Times New Roman" w:hAnsi="Times New Roman"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月</w:t>
      </w:r>
      <w:r>
        <w:rPr>
          <w:rFonts w:hint="eastAsia" w:cs="Times New Roman"/>
          <w:color w:val="000000"/>
          <w:kern w:val="0"/>
          <w:sz w:val="32"/>
          <w:szCs w:val="32"/>
          <w:lang w:val="en-US" w:eastAsia="zh-CN"/>
        </w:rPr>
        <w:t>22</w:t>
      </w:r>
      <w:bookmarkStart w:id="1" w:name="_GoBack"/>
      <w:bookmarkEnd w:id="1"/>
      <w:r>
        <w:rPr>
          <w:rFonts w:hint="default" w:ascii="Times New Roman" w:hAnsi="Times New Roman" w:eastAsia="仿宋_GB2312" w:cs="Times New Roman"/>
          <w:color w:val="000000"/>
          <w:kern w:val="0"/>
          <w:sz w:val="32"/>
          <w:szCs w:val="32"/>
        </w:rPr>
        <w:t>日</w:t>
      </w:r>
    </w:p>
    <w:p>
      <w:pPr>
        <w:spacing w:line="560"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103505</wp:posOffset>
                </wp:positionV>
                <wp:extent cx="6125845" cy="76200"/>
                <wp:effectExtent l="7620" t="0" r="8255" b="22860"/>
                <wp:wrapNone/>
                <wp:docPr id="2" name="自选图形 3"/>
                <wp:cNvGraphicFramePr/>
                <a:graphic xmlns:a="http://schemas.openxmlformats.org/drawingml/2006/main">
                  <a:graphicData uri="http://schemas.microsoft.com/office/word/2010/wordprocessingShape">
                    <wps:wsp>
                      <wps:cNvSpPr/>
                      <wps:spPr>
                        <a:xfrm flipV="1">
                          <a:off x="0" y="0"/>
                          <a:ext cx="6125845" cy="76200"/>
                        </a:xfrm>
                        <a:prstGeom prst="flowChartProcess">
                          <a:avLst/>
                        </a:prstGeom>
                        <a:solidFill>
                          <a:srgbClr val="FF0000"/>
                        </a:solidFill>
                        <a:ln w="15875" cap="flat" cmpd="sng">
                          <a:solidFill>
                            <a:srgbClr val="FFFFFF"/>
                          </a:solidFill>
                          <a:prstDash val="solid"/>
                          <a:miter/>
                          <a:headEnd type="none" w="med" len="med"/>
                          <a:tailEnd type="none" w="med" len="med"/>
                        </a:ln>
                        <a:effectLst/>
                      </wps:spPr>
                      <wps:bodyPr upright="1"/>
                    </wps:wsp>
                  </a:graphicData>
                </a:graphic>
              </wp:anchor>
            </w:drawing>
          </mc:Choice>
          <mc:Fallback>
            <w:pict>
              <v:shape id="自选图形 3" o:spid="_x0000_s1026" o:spt="109" type="#_x0000_t109" style="position:absolute;left:0pt;flip:y;margin-left:-15.3pt;margin-top:8.15pt;height:6pt;width:482.35pt;z-index:251659264;mso-width-relative:page;mso-height-relative:page;" fillcolor="#FF0000" filled="t" stroked="t" coordsize="21600,21600" o:gfxdata="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7/h77ZAAAACQEAAA8AAAAAAAAAAQAgAAAAIgAAAGRycy9kb3du&#10;cmV2LnhtbFBLAQIUABQAAAAIAIdO4kAbj7Dr/gEAAPoDAAAOAAAAAAAAAAEAIAAAACgBAABkcnMv&#10;ZTJvRG9jLnhtbFBLBQYAAAAABgAGAFkBAACYBQAAAAA=&#10;">
                <v:fill on="t" focussize="0,0"/>
                <v:stroke weight="1.25pt" color="#FFFFFF"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292" w:beforeLines="50" w:after="292"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FF0000"/>
          <w:kern w:val="0"/>
          <w:szCs w:val="32"/>
        </w:rPr>
      </w:pPr>
      <w:r>
        <w:rPr>
          <w:rFonts w:hint="eastAsia" w:eastAsia="方正小标宋简体"/>
          <w:bCs/>
          <w:color w:val="auto"/>
          <w:kern w:val="0"/>
          <w:sz w:val="44"/>
          <w:szCs w:val="44"/>
        </w:rPr>
        <w:t>201</w:t>
      </w:r>
      <w:r>
        <w:rPr>
          <w:rFonts w:hint="eastAsia" w:eastAsia="方正小标宋简体"/>
          <w:bCs/>
          <w:color w:val="auto"/>
          <w:kern w:val="0"/>
          <w:sz w:val="44"/>
          <w:szCs w:val="44"/>
          <w:lang w:val="en-US" w:eastAsia="zh-CN"/>
        </w:rPr>
        <w:t>9</w:t>
      </w:r>
      <w:r>
        <w:rPr>
          <w:rFonts w:hint="eastAsia" w:eastAsia="方正小标宋简体"/>
          <w:bCs/>
          <w:color w:val="auto"/>
          <w:kern w:val="0"/>
          <w:sz w:val="44"/>
          <w:szCs w:val="44"/>
        </w:rPr>
        <w:t>年南安市规模工业能源</w:t>
      </w:r>
      <w:r>
        <w:rPr>
          <w:rFonts w:hint="eastAsia" w:eastAsia="方正小标宋简体"/>
          <w:bCs/>
          <w:color w:val="auto"/>
          <w:kern w:val="0"/>
          <w:sz w:val="44"/>
          <w:szCs w:val="44"/>
          <w:lang w:eastAsia="zh-CN"/>
        </w:rPr>
        <w:t>生产</w:t>
      </w:r>
      <w:r>
        <w:rPr>
          <w:rFonts w:hint="eastAsia" w:eastAsia="方正小标宋简体"/>
          <w:bCs/>
          <w:color w:val="auto"/>
          <w:kern w:val="0"/>
          <w:sz w:val="44"/>
          <w:szCs w:val="44"/>
        </w:rPr>
        <w:t>消费分析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仿宋_GB2312" w:hAnsi="宋体" w:cs="宋体"/>
          <w:color w:val="FF0000"/>
          <w:kern w:val="0"/>
          <w:szCs w:val="32"/>
          <w:lang w:val="en-US" w:eastAsia="zh-CN"/>
        </w:rPr>
      </w:pPr>
      <w:r>
        <w:rPr>
          <w:rFonts w:hint="default" w:ascii="Times New Roman" w:hAnsi="Times New Roman" w:cs="Times New Roman"/>
          <w:color w:val="auto"/>
          <w:kern w:val="0"/>
          <w:szCs w:val="32"/>
          <w:lang w:val="en-US" w:eastAsia="zh-CN"/>
        </w:rPr>
        <w:t>2019年</w:t>
      </w:r>
      <w:r>
        <w:rPr>
          <w:rFonts w:hint="eastAsia" w:ascii="仿宋_GB2312" w:hAnsi="宋体" w:cs="宋体"/>
          <w:color w:val="auto"/>
          <w:kern w:val="0"/>
          <w:szCs w:val="32"/>
          <w:lang w:val="en-US" w:eastAsia="zh-CN"/>
        </w:rPr>
        <w:t>，我市深入贯彻绿色发展理念，持续推进供给侧结构性改革，完善要素投入结构，淘汰落后工艺技术，不断优化能源消费结构和产业产品结构，提高能源利用效率，能源消耗总量和强度“双控”均已提前超预期完成“十三五”目标进度，节能形势总体良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仿宋_GB2312" w:hAnsi="宋体" w:cs="宋体"/>
          <w:b/>
          <w:color w:val="auto"/>
          <w:kern w:val="0"/>
          <w:szCs w:val="32"/>
        </w:rPr>
      </w:pPr>
      <w:bookmarkStart w:id="0" w:name="OLE_LINK5"/>
      <w:r>
        <w:rPr>
          <w:rFonts w:hint="eastAsia" w:ascii="黑体" w:hAnsi="黑体" w:eastAsia="黑体" w:cs="黑体"/>
          <w:bCs/>
          <w:color w:val="auto"/>
          <w:kern w:val="0"/>
          <w:szCs w:val="32"/>
        </w:rPr>
        <w:t>一、规模工业能源</w:t>
      </w:r>
      <w:r>
        <w:rPr>
          <w:rFonts w:hint="eastAsia" w:ascii="黑体" w:hAnsi="黑体" w:eastAsia="黑体" w:cs="黑体"/>
          <w:bCs/>
          <w:color w:val="auto"/>
          <w:kern w:val="0"/>
          <w:szCs w:val="32"/>
          <w:lang w:eastAsia="zh-CN"/>
        </w:rPr>
        <w:t>生产</w:t>
      </w:r>
      <w:r>
        <w:rPr>
          <w:rFonts w:hint="eastAsia" w:ascii="黑体" w:hAnsi="黑体" w:eastAsia="黑体" w:cs="黑体"/>
          <w:bCs/>
          <w:color w:val="auto"/>
          <w:kern w:val="0"/>
          <w:szCs w:val="32"/>
        </w:rPr>
        <w:t>消费</w:t>
      </w:r>
      <w:r>
        <w:rPr>
          <w:rFonts w:hint="eastAsia" w:ascii="黑体" w:hAnsi="黑体" w:eastAsia="黑体" w:cs="黑体"/>
          <w:bCs/>
          <w:color w:val="auto"/>
          <w:kern w:val="0"/>
          <w:szCs w:val="32"/>
          <w:lang w:eastAsia="zh-CN"/>
        </w:rPr>
        <w:t>基本</w:t>
      </w:r>
      <w:r>
        <w:rPr>
          <w:rFonts w:hint="eastAsia" w:ascii="黑体" w:hAnsi="黑体" w:eastAsia="黑体" w:cs="黑体"/>
          <w:bCs/>
          <w:color w:val="auto"/>
          <w:kern w:val="0"/>
          <w:szCs w:val="32"/>
        </w:rPr>
        <w:t>情况</w:t>
      </w:r>
    </w:p>
    <w:bookmarkEnd w:id="0"/>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仿宋_GB2312" w:hAnsi="宋体" w:cs="宋体"/>
          <w:b/>
          <w:color w:val="auto"/>
          <w:kern w:val="0"/>
          <w:szCs w:val="32"/>
        </w:rPr>
      </w:pPr>
      <w:r>
        <w:rPr>
          <w:rFonts w:hint="eastAsia" w:eastAsia="楷体_GB2312"/>
          <w:color w:val="auto"/>
          <w:szCs w:val="32"/>
          <w:lang w:eastAsia="zh-CN"/>
        </w:rPr>
        <w:t>（一）</w:t>
      </w:r>
      <w:r>
        <w:rPr>
          <w:rFonts w:hint="eastAsia" w:ascii="楷体_GB2312" w:hAnsi="楷体_GB2312" w:eastAsia="楷体_GB2312" w:cs="楷体_GB2312"/>
          <w:bCs/>
          <w:color w:val="auto"/>
          <w:kern w:val="0"/>
          <w:szCs w:val="32"/>
          <w:lang w:eastAsia="zh-CN"/>
        </w:rPr>
        <w:t>节能降耗总体态势良好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lang w:val="en-US" w:eastAsia="zh-CN"/>
        </w:rPr>
      </w:pPr>
      <w:r>
        <w:rPr>
          <w:rFonts w:hint="eastAsia" w:ascii="仿宋_GB2312" w:hAnsi="仿宋_GB2312" w:eastAsia="仿宋_GB2312" w:cs="仿宋_GB2312"/>
          <w:b/>
          <w:bCs/>
          <w:color w:val="auto"/>
          <w:szCs w:val="32"/>
          <w:lang w:val="en-US" w:eastAsia="zh-CN"/>
        </w:rPr>
        <w:t>1.综合能源消费总量增幅加速下降。</w:t>
      </w:r>
      <w:r>
        <w:rPr>
          <w:rFonts w:hint="eastAsia"/>
          <w:color w:val="auto"/>
          <w:szCs w:val="32"/>
          <w:lang w:val="en-US" w:eastAsia="zh-CN"/>
        </w:rPr>
        <w:t>2019年</w:t>
      </w:r>
      <w:r>
        <w:rPr>
          <w:color w:val="auto"/>
          <w:szCs w:val="32"/>
        </w:rPr>
        <w:t>，我市规模工业企业综合能源消费量</w:t>
      </w:r>
      <w:r>
        <w:rPr>
          <w:rFonts w:hint="eastAsia"/>
          <w:color w:val="auto"/>
          <w:szCs w:val="32"/>
          <w:lang w:val="en-US" w:eastAsia="zh-CN"/>
        </w:rPr>
        <w:t>91.13万吨标准煤，同比下降10.3%，工业能耗增速由年初的-2.59%升至1—4月最高点4.74%后开始逐渐回落至全年增速的最低点-10.31%，降幅较上年扩大15.4个百分点。</w:t>
      </w:r>
    </w:p>
    <w:p>
      <w:pPr>
        <w:jc w:val="left"/>
        <w:sectPr>
          <w:headerReference r:id="rId3" w:type="default"/>
          <w:footerReference r:id="rId4" w:type="default"/>
          <w:pgSz w:w="11906" w:h="16838"/>
          <w:pgMar w:top="2098" w:right="1474" w:bottom="1984" w:left="1587" w:header="851" w:footer="992" w:gutter="0"/>
          <w:lnNumType w:countBy="0" w:distance="360"/>
          <w:pgNumType w:fmt="numberInDash"/>
          <w:cols w:space="720" w:num="1"/>
          <w:docGrid w:type="linesAndChars" w:linePitch="579" w:charSpace="-842"/>
        </w:sectPr>
      </w:pPr>
    </w:p>
    <w:p>
      <w:pPr>
        <w:jc w:val="left"/>
        <w:rPr>
          <w:rFonts w:hint="eastAsia"/>
          <w:color w:val="auto"/>
          <w:szCs w:val="32"/>
        </w:rPr>
      </w:pPr>
      <w:r>
        <w:drawing>
          <wp:inline distT="0" distB="0" distL="114300" distR="114300">
            <wp:extent cx="5992495" cy="3903345"/>
            <wp:effectExtent l="4445" t="4445" r="7620" b="8890"/>
            <wp:docPr id="108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32" w:firstLineChars="200"/>
        <w:jc w:val="center"/>
        <w:rPr>
          <w:rFonts w:hint="eastAsia" w:ascii="楷体" w:hAnsi="楷体" w:eastAsia="楷体" w:cs="楷体"/>
          <w:color w:val="auto"/>
          <w:sz w:val="30"/>
          <w:szCs w:val="30"/>
          <w:lang w:val="en-US" w:eastAsia="zh-CN"/>
        </w:rPr>
      </w:pPr>
      <w:r>
        <w:rPr>
          <w:rFonts w:hint="eastAsia" w:ascii="楷体" w:hAnsi="楷体" w:eastAsia="楷体" w:cs="楷体"/>
          <w:color w:val="auto"/>
          <w:kern w:val="0"/>
          <w:sz w:val="30"/>
          <w:szCs w:val="30"/>
          <w:lang w:val="en-US" w:eastAsia="zh-CN"/>
        </w:rPr>
        <w:t>图1：2019年南安市规模工业能源消费情况</w:t>
      </w:r>
    </w:p>
    <w:p>
      <w:pPr>
        <w:keepNext w:val="0"/>
        <w:keepLines w:val="0"/>
        <w:pageBreakBefore w:val="0"/>
        <w:widowControl w:val="0"/>
        <w:kinsoku/>
        <w:wordWrap/>
        <w:overflowPunct/>
        <w:topLinePunct w:val="0"/>
        <w:autoSpaceDE/>
        <w:autoSpaceDN/>
        <w:bidi w:val="0"/>
        <w:adjustRightInd/>
        <w:snapToGrid/>
        <w:spacing w:before="292" w:beforeLines="50" w:afterLines="0" w:line="600" w:lineRule="exact"/>
        <w:ind w:left="0" w:leftChars="0" w:right="0" w:rightChars="0" w:firstLine="632" w:firstLineChars="200"/>
        <w:jc w:val="both"/>
        <w:textAlignment w:val="auto"/>
        <w:outlineLvl w:val="9"/>
        <w:rPr>
          <w:rFonts w:hint="eastAsia"/>
          <w:color w:val="auto"/>
          <w:szCs w:val="32"/>
        </w:rPr>
      </w:pPr>
      <w:r>
        <w:rPr>
          <w:rFonts w:hint="eastAsia" w:ascii="仿宋_GB2312" w:hAnsi="仿宋_GB2312" w:eastAsia="仿宋_GB2312" w:cs="仿宋_GB2312"/>
          <w:b/>
          <w:bCs/>
          <w:color w:val="auto"/>
          <w:szCs w:val="32"/>
          <w:lang w:val="en-US" w:eastAsia="zh-CN"/>
        </w:rPr>
        <w:t>2.综合能源利用效率稳步提升。</w:t>
      </w:r>
      <w:r>
        <w:rPr>
          <w:rFonts w:hint="eastAsia"/>
          <w:color w:val="auto"/>
          <w:szCs w:val="32"/>
        </w:rPr>
        <w:t>万元产值能耗为0.0</w:t>
      </w:r>
      <w:r>
        <w:rPr>
          <w:rFonts w:hint="eastAsia"/>
          <w:color w:val="auto"/>
          <w:szCs w:val="32"/>
          <w:lang w:val="en-US" w:eastAsia="zh-CN"/>
        </w:rPr>
        <w:t>35</w:t>
      </w:r>
      <w:r>
        <w:rPr>
          <w:rFonts w:hint="eastAsia"/>
          <w:color w:val="auto"/>
          <w:szCs w:val="32"/>
        </w:rPr>
        <w:t>吨标准煤/万元，同比下降</w:t>
      </w:r>
      <w:r>
        <w:rPr>
          <w:rFonts w:hint="eastAsia"/>
          <w:color w:val="auto"/>
          <w:szCs w:val="32"/>
          <w:lang w:val="en-US" w:eastAsia="zh-CN"/>
        </w:rPr>
        <w:t>16.9</w:t>
      </w:r>
      <w:r>
        <w:rPr>
          <w:rFonts w:hint="eastAsia"/>
          <w:color w:val="auto"/>
          <w:szCs w:val="32"/>
        </w:rPr>
        <w:t>%</w:t>
      </w:r>
      <w:r>
        <w:rPr>
          <w:rFonts w:hint="eastAsia"/>
          <w:color w:val="auto"/>
          <w:szCs w:val="32"/>
          <w:lang w:eastAsia="zh-CN"/>
        </w:rPr>
        <w:t>，降幅较上年扩大</w:t>
      </w:r>
      <w:r>
        <w:rPr>
          <w:rFonts w:hint="eastAsia"/>
          <w:color w:val="auto"/>
          <w:szCs w:val="32"/>
          <w:lang w:val="en-US" w:eastAsia="zh-CN"/>
        </w:rPr>
        <w:t>7.7个百分点</w:t>
      </w:r>
      <w:r>
        <w:rPr>
          <w:rFonts w:hint="eastAsia"/>
          <w:color w:val="auto"/>
          <w:szCs w:val="32"/>
        </w:rPr>
        <w:t>；单位增加值能耗下降</w:t>
      </w:r>
      <w:r>
        <w:rPr>
          <w:rFonts w:hint="eastAsia"/>
          <w:color w:val="auto"/>
          <w:szCs w:val="32"/>
          <w:lang w:val="en-US" w:eastAsia="zh-CN"/>
        </w:rPr>
        <w:t>15.6</w:t>
      </w:r>
      <w:r>
        <w:rPr>
          <w:rFonts w:hint="eastAsia"/>
          <w:color w:val="auto"/>
          <w:szCs w:val="32"/>
        </w:rPr>
        <w:t>%</w:t>
      </w:r>
      <w:r>
        <w:rPr>
          <w:rFonts w:hint="eastAsia"/>
          <w:color w:val="auto"/>
          <w:szCs w:val="32"/>
          <w:lang w:eastAsia="zh-CN"/>
        </w:rPr>
        <w:t>，降幅高于泉州平均水平</w:t>
      </w:r>
      <w:r>
        <w:rPr>
          <w:rFonts w:hint="eastAsia"/>
          <w:color w:val="auto"/>
          <w:szCs w:val="32"/>
          <w:lang w:val="en-US" w:eastAsia="zh-CN"/>
        </w:rPr>
        <w:t>7.6个百分点，较上年扩大11.2个百分点</w:t>
      </w:r>
      <w:r>
        <w:rPr>
          <w:rFonts w:hint="eastAsia"/>
          <w:color w:val="auto"/>
          <w:szCs w:val="32"/>
        </w:rPr>
        <w:t>。</w:t>
      </w:r>
    </w:p>
    <w:p>
      <w:pPr>
        <w:tabs>
          <w:tab w:val="center" w:pos="4798"/>
          <w:tab w:val="right" w:pos="8213"/>
        </w:tabs>
        <w:jc w:val="left"/>
        <w:rPr>
          <w:rFonts w:hint="eastAsia"/>
          <w:color w:val="FF0000"/>
          <w:szCs w:val="32"/>
        </w:rPr>
      </w:pPr>
      <w:r>
        <w:drawing>
          <wp:inline distT="0" distB="0" distL="114300" distR="114300">
            <wp:extent cx="5711190" cy="3484880"/>
            <wp:effectExtent l="4445" t="4445" r="14605" b="15875"/>
            <wp:docPr id="104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before="289" w:beforeLines="50"/>
        <w:jc w:val="center"/>
        <w:rPr>
          <w:rFonts w:hint="eastAsia"/>
          <w:color w:val="auto"/>
          <w:kern w:val="0"/>
          <w:sz w:val="28"/>
          <w:szCs w:val="28"/>
          <w:lang w:val="en-US" w:eastAsia="zh-CN"/>
        </w:rPr>
      </w:pPr>
      <w:r>
        <w:rPr>
          <w:rFonts w:hint="eastAsia" w:ascii="楷体" w:hAnsi="楷体" w:eastAsia="楷体" w:cs="楷体"/>
          <w:color w:val="auto"/>
          <w:kern w:val="0"/>
          <w:sz w:val="30"/>
          <w:szCs w:val="30"/>
          <w:lang w:eastAsia="zh-CN"/>
        </w:rPr>
        <w:t>图</w:t>
      </w:r>
      <w:r>
        <w:rPr>
          <w:rFonts w:hint="eastAsia" w:ascii="楷体" w:hAnsi="楷体" w:eastAsia="楷体" w:cs="楷体"/>
          <w:color w:val="auto"/>
          <w:kern w:val="0"/>
          <w:sz w:val="30"/>
          <w:szCs w:val="30"/>
          <w:lang w:val="en-US" w:eastAsia="zh-CN"/>
        </w:rPr>
        <w:t>2：2019年南安市规模工业单位增加值能耗降幅情况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kern w:val="0"/>
          <w:sz w:val="28"/>
          <w:szCs w:val="28"/>
          <w:lang w:val="en-US" w:eastAsia="zh-CN"/>
        </w:rPr>
      </w:pPr>
      <w:r>
        <w:rPr>
          <w:rFonts w:hint="eastAsia" w:ascii="仿宋_GB2312" w:hAnsi="仿宋_GB2312" w:eastAsia="仿宋_GB2312" w:cs="仿宋_GB2312"/>
          <w:b/>
          <w:bCs/>
          <w:color w:val="auto"/>
          <w:szCs w:val="32"/>
          <w:lang w:val="en-US" w:eastAsia="zh-CN"/>
        </w:rPr>
        <w:t>3.“十三五”目标提前超预期完成。</w:t>
      </w:r>
      <w:r>
        <w:rPr>
          <w:rFonts w:hint="eastAsia"/>
          <w:color w:val="auto"/>
          <w:szCs w:val="32"/>
          <w:lang w:eastAsia="zh-CN"/>
        </w:rPr>
        <w:t>根据“十三五”节能减排工作安排，泉州市政府下达我市“十三五”期间规上工业能耗强度目标为累计下降16.0%、能耗总量控制目标为增量20万吨标准煤。以2015年为基年，截止2019年，我市规上工业增加值能耗累计下降38.01%，能耗总量下降12.18万吨标准煤，能耗总量和强度“双控”均已提前完成“十三五”目标进度。</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lang w:eastAsia="zh-CN"/>
        </w:rPr>
        <w:t>（二）主要能源产品生产情况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eastAsia="仿宋_GB2312"/>
          <w:color w:val="auto"/>
          <w:szCs w:val="32"/>
          <w:lang w:eastAsia="zh-CN"/>
        </w:rPr>
      </w:pPr>
      <w:r>
        <w:rPr>
          <w:rFonts w:hint="eastAsia"/>
          <w:color w:val="auto"/>
          <w:szCs w:val="32"/>
          <w:lang w:eastAsia="zh-CN"/>
        </w:rPr>
        <w:t>我市规模工业能源产品生产逐步向可再生能源发展，根据地域特点，着重发展风力发电。</w:t>
      </w:r>
      <w:r>
        <w:rPr>
          <w:rFonts w:hint="eastAsia"/>
          <w:color w:val="auto"/>
          <w:szCs w:val="32"/>
          <w:lang w:val="en-US" w:eastAsia="zh-CN"/>
        </w:rPr>
        <w:t>2019年我市</w:t>
      </w:r>
      <w:r>
        <w:rPr>
          <w:rFonts w:hint="eastAsia"/>
          <w:color w:val="auto"/>
          <w:szCs w:val="32"/>
          <w:lang w:eastAsia="zh-CN"/>
        </w:rPr>
        <w:t>总发电量37167.29万千瓦时，同比增长</w:t>
      </w:r>
      <w:r>
        <w:rPr>
          <w:rFonts w:hint="eastAsia"/>
          <w:color w:val="auto"/>
          <w:szCs w:val="32"/>
          <w:lang w:val="en-US" w:eastAsia="zh-CN"/>
        </w:rPr>
        <w:t>23.9%。其中，火力发电量15590.00万千瓦时，同比增长41.0%；水力发电量13468.67万千瓦时，同比增长11.0%；风力发电量7645.61万千瓦时，同比增长34.0%；太阳能发电量463.01万千瓦时，同比下降57.9%；可再生能源产量21577.29万千瓦时，同比增长13.9%。</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lang w:eastAsia="zh-CN"/>
        </w:rPr>
      </w:pPr>
      <w:r>
        <w:rPr>
          <w:rFonts w:hint="eastAsia" w:ascii="楷体_GB2312" w:hAnsi="楷体_GB2312" w:eastAsia="楷体_GB2312" w:cs="楷体_GB2312"/>
          <w:color w:val="auto"/>
          <w:szCs w:val="32"/>
          <w:lang w:val="en-US" w:eastAsia="zh-CN"/>
        </w:rPr>
        <w:t>（三）能源</w:t>
      </w:r>
      <w:r>
        <w:rPr>
          <w:rFonts w:hint="eastAsia" w:ascii="楷体_GB2312" w:hAnsi="楷体_GB2312" w:eastAsia="楷体_GB2312" w:cs="楷体_GB2312"/>
          <w:color w:val="auto"/>
          <w:szCs w:val="32"/>
          <w:lang w:eastAsia="zh-CN"/>
        </w:rPr>
        <w:t>消费结构稳步优化</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lang w:eastAsia="zh-CN"/>
        </w:rPr>
      </w:pPr>
      <w:r>
        <w:rPr>
          <w:rFonts w:hint="eastAsia" w:ascii="仿宋_GB2312" w:hAnsi="仿宋_GB2312" w:eastAsia="仿宋_GB2312" w:cs="仿宋_GB2312"/>
          <w:b/>
          <w:bCs/>
          <w:color w:val="auto"/>
          <w:szCs w:val="32"/>
          <w:lang w:val="en-US" w:eastAsia="zh-CN"/>
        </w:rPr>
        <w:t>1.</w:t>
      </w:r>
      <w:r>
        <w:rPr>
          <w:rFonts w:hint="eastAsia" w:ascii="仿宋_GB2312" w:hAnsi="仿宋_GB2312" w:eastAsia="仿宋_GB2312" w:cs="仿宋_GB2312"/>
          <w:b/>
          <w:bCs/>
          <w:color w:val="auto"/>
          <w:szCs w:val="32"/>
          <w:lang w:eastAsia="zh-CN"/>
        </w:rPr>
        <w:t>六大高耗能行业能耗、占比持续降低。</w:t>
      </w:r>
      <w:r>
        <w:rPr>
          <w:rFonts w:hint="eastAsia"/>
          <w:color w:val="auto"/>
          <w:szCs w:val="32"/>
          <w:lang w:eastAsia="zh-CN"/>
        </w:rPr>
        <w:t>2019年我市规模工业六大高耗能行业综合能源消费量</w:t>
      </w:r>
      <w:r>
        <w:rPr>
          <w:rFonts w:hint="eastAsia"/>
          <w:color w:val="auto"/>
          <w:szCs w:val="32"/>
          <w:lang w:val="en-US" w:eastAsia="zh-CN"/>
        </w:rPr>
        <w:t>66.10万吨标准煤，同比下降10.5%，降幅高于全市规模工业0.2个百分点，</w:t>
      </w:r>
      <w:r>
        <w:rPr>
          <w:rFonts w:hint="eastAsia"/>
          <w:color w:val="auto"/>
          <w:szCs w:val="32"/>
          <w:lang w:eastAsia="zh-CN"/>
        </w:rPr>
        <w:t>占规模工业的比重为72.5%，比上年下降0.1个百分点。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lang w:eastAsia="zh-CN"/>
        </w:rPr>
      </w:pPr>
      <w:r>
        <w:rPr>
          <w:rFonts w:hint="eastAsia" w:ascii="仿宋_GB2312" w:hAnsi="仿宋_GB2312" w:eastAsia="仿宋_GB2312" w:cs="仿宋_GB2312"/>
          <w:b/>
          <w:bCs/>
          <w:color w:val="auto"/>
          <w:szCs w:val="32"/>
          <w:lang w:val="en-US" w:eastAsia="zh-CN"/>
        </w:rPr>
        <w:t>2.年耗能万吨标准煤以上企业数减少，户均能耗下降。</w:t>
      </w:r>
      <w:r>
        <w:rPr>
          <w:rFonts w:hint="eastAsia"/>
          <w:color w:val="auto"/>
          <w:szCs w:val="32"/>
          <w:lang w:val="en-US" w:eastAsia="zh-CN"/>
        </w:rPr>
        <w:t>2019年我市年耗能万吨标准煤以上企业共有19家，比上年减少3家；综合能源消费量39.22万吨标准煤，同比下降24.4%，占规模工业能耗比重43.0%，比上年下降8.1个百分点；户均能耗2.06万吨标准煤，比上年少0.30万吨标准煤。</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rPr>
      </w:pPr>
      <w:r>
        <w:rPr>
          <w:rFonts w:hint="eastAsia" w:ascii="仿宋_GB2312" w:hAnsi="仿宋_GB2312" w:eastAsia="仿宋_GB2312" w:cs="仿宋_GB2312"/>
          <w:b/>
          <w:bCs/>
          <w:color w:val="auto"/>
          <w:szCs w:val="32"/>
          <w:lang w:val="en-US" w:eastAsia="zh-CN"/>
        </w:rPr>
        <w:t>3.</w:t>
      </w:r>
      <w:r>
        <w:rPr>
          <w:rFonts w:hint="eastAsia" w:ascii="仿宋_GB2312" w:hAnsi="仿宋_GB2312" w:eastAsia="仿宋_GB2312" w:cs="仿宋_GB2312"/>
          <w:b/>
          <w:bCs/>
          <w:color w:val="auto"/>
          <w:szCs w:val="32"/>
          <w:lang w:eastAsia="zh-CN"/>
        </w:rPr>
        <w:t>能源消费品种结构日趋稳定合理。</w:t>
      </w:r>
      <w:r>
        <w:rPr>
          <w:rFonts w:hint="eastAsia"/>
          <w:color w:val="auto"/>
          <w:szCs w:val="32"/>
        </w:rPr>
        <w:t>规模工业企业能源消费主要集中在电力、天然气和原煤。三大</w:t>
      </w:r>
      <w:r>
        <w:rPr>
          <w:rFonts w:hint="eastAsia"/>
          <w:color w:val="auto"/>
          <w:szCs w:val="32"/>
          <w:lang w:eastAsia="zh-CN"/>
        </w:rPr>
        <w:t>主要</w:t>
      </w:r>
      <w:r>
        <w:rPr>
          <w:rFonts w:hint="eastAsia"/>
          <w:color w:val="auto"/>
          <w:szCs w:val="32"/>
        </w:rPr>
        <w:t>能源</w:t>
      </w:r>
      <w:r>
        <w:rPr>
          <w:rFonts w:hint="eastAsia"/>
          <w:color w:val="auto"/>
          <w:szCs w:val="32"/>
          <w:lang w:eastAsia="zh-CN"/>
        </w:rPr>
        <w:t>消费品种</w:t>
      </w:r>
      <w:r>
        <w:rPr>
          <w:rFonts w:hint="eastAsia"/>
          <w:color w:val="auto"/>
          <w:szCs w:val="32"/>
        </w:rPr>
        <w:t>消费量折合标准煤</w:t>
      </w:r>
      <w:r>
        <w:rPr>
          <w:rFonts w:hint="eastAsia"/>
          <w:color w:val="auto"/>
          <w:szCs w:val="32"/>
          <w:lang w:val="en-US" w:eastAsia="zh-CN"/>
        </w:rPr>
        <w:t>83.11万吨，</w:t>
      </w:r>
      <w:r>
        <w:rPr>
          <w:rFonts w:hint="eastAsia"/>
          <w:color w:val="auto"/>
          <w:szCs w:val="32"/>
        </w:rPr>
        <w:t>占</w:t>
      </w:r>
      <w:r>
        <w:rPr>
          <w:rFonts w:hint="eastAsia"/>
          <w:color w:val="auto"/>
          <w:szCs w:val="32"/>
          <w:lang w:eastAsia="zh-CN"/>
        </w:rPr>
        <w:t>规模工业生产消费量比重达</w:t>
      </w:r>
      <w:r>
        <w:rPr>
          <w:rFonts w:hint="eastAsia"/>
          <w:color w:val="auto"/>
          <w:szCs w:val="32"/>
          <w:lang w:val="en-US" w:eastAsia="zh-CN"/>
        </w:rPr>
        <w:t>89.3</w:t>
      </w:r>
      <w:r>
        <w:rPr>
          <w:rFonts w:hint="eastAsia"/>
          <w:color w:val="auto"/>
          <w:szCs w:val="32"/>
        </w:rPr>
        <w:t>%。</w:t>
      </w:r>
      <w:r>
        <w:rPr>
          <w:rFonts w:hint="eastAsia"/>
          <w:color w:val="auto"/>
          <w:szCs w:val="32"/>
          <w:lang w:eastAsia="zh-CN"/>
        </w:rPr>
        <w:t>电力工业生产消费量为</w:t>
      </w:r>
      <w:r>
        <w:rPr>
          <w:rFonts w:hint="eastAsia"/>
          <w:color w:val="auto"/>
          <w:szCs w:val="32"/>
          <w:lang w:val="en-US" w:eastAsia="zh-CN"/>
        </w:rPr>
        <w:t>35.70万吨标准煤，同比下降10.8%，占规模工业生产消费量的38.4%，比重较上年上升0.5个百分点；</w:t>
      </w:r>
      <w:r>
        <w:rPr>
          <w:rFonts w:hint="eastAsia"/>
          <w:color w:val="auto"/>
          <w:szCs w:val="32"/>
        </w:rPr>
        <w:t>原煤</w:t>
      </w:r>
      <w:r>
        <w:rPr>
          <w:rFonts w:hint="eastAsia"/>
          <w:color w:val="auto"/>
          <w:szCs w:val="32"/>
          <w:lang w:eastAsia="zh-CN"/>
        </w:rPr>
        <w:t>工业生产</w:t>
      </w:r>
      <w:r>
        <w:rPr>
          <w:rFonts w:hint="eastAsia"/>
          <w:color w:val="auto"/>
          <w:szCs w:val="32"/>
        </w:rPr>
        <w:t>消费量</w:t>
      </w:r>
      <w:r>
        <w:rPr>
          <w:rFonts w:hint="eastAsia"/>
          <w:color w:val="auto"/>
          <w:szCs w:val="32"/>
          <w:lang w:eastAsia="zh-CN"/>
        </w:rPr>
        <w:t>为</w:t>
      </w:r>
      <w:r>
        <w:rPr>
          <w:rFonts w:hint="eastAsia"/>
          <w:color w:val="auto"/>
          <w:szCs w:val="32"/>
          <w:lang w:val="en-US" w:eastAsia="zh-CN"/>
        </w:rPr>
        <w:t>8.29万吨标准煤，同比下降34.8%，，占规模工业生产消费量的8.9%，比重较上年下降3.1个百分点；</w:t>
      </w:r>
      <w:r>
        <w:rPr>
          <w:rFonts w:hint="eastAsia"/>
          <w:color w:val="auto"/>
          <w:szCs w:val="32"/>
          <w:lang w:eastAsia="zh-CN"/>
        </w:rPr>
        <w:t>天然气工业生产消费量为</w:t>
      </w:r>
      <w:r>
        <w:rPr>
          <w:rFonts w:hint="eastAsia"/>
          <w:color w:val="auto"/>
          <w:szCs w:val="32"/>
          <w:lang w:val="en-US" w:eastAsia="zh-CN"/>
        </w:rPr>
        <w:t>39.11万吨标准煤，同比下降9.9%，占规模工业生产消费量的42.0%，比重较上年上升1.0个百分点</w:t>
      </w:r>
      <w:r>
        <w:rPr>
          <w:rFonts w:hint="eastAsia"/>
          <w:color w:val="auto"/>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黑体" w:hAnsi="黑体" w:eastAsia="黑体" w:cs="黑体"/>
          <w:bCs/>
          <w:color w:val="auto"/>
          <w:kern w:val="0"/>
          <w:szCs w:val="32"/>
          <w:lang w:eastAsia="zh-CN"/>
        </w:rPr>
      </w:pPr>
      <w:r>
        <w:rPr>
          <w:rFonts w:hint="eastAsia" w:ascii="黑体" w:hAnsi="黑体" w:eastAsia="黑体" w:cs="黑体"/>
          <w:bCs/>
          <w:color w:val="auto"/>
          <w:kern w:val="0"/>
          <w:szCs w:val="32"/>
        </w:rPr>
        <w:t>规模工业</w:t>
      </w:r>
      <w:r>
        <w:rPr>
          <w:rFonts w:hint="eastAsia" w:ascii="黑体" w:hAnsi="黑体" w:eastAsia="黑体" w:cs="黑体"/>
          <w:bCs/>
          <w:color w:val="auto"/>
          <w:kern w:val="0"/>
          <w:szCs w:val="32"/>
          <w:lang w:eastAsia="zh-CN"/>
        </w:rPr>
        <w:t>节能降耗存在的问题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lang w:eastAsia="zh-CN"/>
        </w:rPr>
      </w:pPr>
      <w:r>
        <w:rPr>
          <w:rFonts w:hint="eastAsia" w:ascii="楷体" w:hAnsi="楷体" w:eastAsia="楷体" w:cs="楷体"/>
          <w:color w:val="auto"/>
          <w:szCs w:val="32"/>
          <w:lang w:val="en-US" w:eastAsia="zh-CN"/>
        </w:rPr>
        <w:t>（一）</w:t>
      </w:r>
      <w:r>
        <w:rPr>
          <w:rFonts w:hint="eastAsia" w:ascii="楷体" w:hAnsi="楷体" w:eastAsia="楷体" w:cs="楷体"/>
          <w:bCs/>
          <w:color w:val="auto"/>
          <w:kern w:val="0"/>
          <w:szCs w:val="32"/>
          <w:lang w:eastAsia="zh-CN"/>
        </w:rPr>
        <w:t>节能降耗持续空间小</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FF0000"/>
          <w:szCs w:val="32"/>
          <w:lang w:eastAsia="zh-CN"/>
        </w:rPr>
      </w:pPr>
      <w:r>
        <w:rPr>
          <w:rFonts w:hint="eastAsia"/>
          <w:color w:val="auto"/>
          <w:szCs w:val="32"/>
          <w:lang w:eastAsia="zh-CN"/>
        </w:rPr>
        <w:t>经过节能降耗工作的持续推进，我市企业普遍对落后生产工艺进行技术升级改造，大多数企业按标准、按期限淘汰高能耗、高污染落后产能，为节能降耗工作作出巨大贡献。与此同时，进一步节能降耗的空间却越来越小。一方面，技术升级改造之后短期之内难以继续突破技术或资金上的瓶颈，节能降耗空间难以扩张；另一方面，全社会的经济增长在很大程度上会带动能耗增长，各个企业扩大生产规模时也往往会带动能耗的增长，进一步压缩节能降耗空间。</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楷体" w:hAnsi="楷体" w:eastAsia="楷体" w:cs="楷体"/>
          <w:color w:val="auto"/>
          <w:szCs w:val="32"/>
          <w:lang w:val="en-US" w:eastAsia="zh-CN"/>
        </w:rPr>
      </w:pPr>
      <w:r>
        <w:rPr>
          <w:rFonts w:hint="eastAsia" w:ascii="楷体" w:hAnsi="楷体" w:eastAsia="楷体" w:cs="楷体"/>
          <w:color w:val="auto"/>
          <w:szCs w:val="32"/>
          <w:lang w:val="en-US" w:eastAsia="zh-CN"/>
        </w:rPr>
        <w:t>（二）</w:t>
      </w:r>
      <w:r>
        <w:rPr>
          <w:rFonts w:hint="eastAsia" w:ascii="楷体" w:hAnsi="楷体" w:eastAsia="楷体" w:cs="楷体"/>
          <w:bCs/>
          <w:color w:val="auto"/>
          <w:kern w:val="0"/>
          <w:szCs w:val="32"/>
          <w:lang w:val="en-US" w:eastAsia="zh-CN"/>
        </w:rPr>
        <w:t>节能降耗实施成本大</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FF0000"/>
          <w:szCs w:val="32"/>
          <w:lang w:eastAsia="zh-CN"/>
        </w:rPr>
      </w:pPr>
      <w:r>
        <w:rPr>
          <w:rFonts w:hint="eastAsia"/>
          <w:color w:val="auto"/>
          <w:szCs w:val="32"/>
          <w:lang w:eastAsia="zh-CN"/>
        </w:rPr>
        <w:t>自推行“煤改气”政策以来，我市企业淘汰落后工艺技术，不断优化能源消费结构和产业产品结构，扎实推进绿色发展。“煤改气”等一系列政策的落地实施，对社会经济发展和企业发展造成较大冲击。对多数企业而言，在转型升级时，实际收益远小于机会成本，新型设备的更换费用与天然气的价格因素导致企业生产成本高位运行，而在设备更换期间规模工业产能不能充分释放，生产停滞，生产经营受到较大冲击，甚至有一些企业因此资金链断裂而停产歇业，市场竞争力下滑明显；对全社会经济发展而言，大面积的转型升级伴随着一些高耗能、高污染传统行业的没落和新兴行业的崛起，在淘汰落后产业而新兴产业尚未发展成型时，社会经济发展会受到一定程度的冲击，很长一段时间内处于“阵痛期”。节能降耗实施所需付出的显性成本和隐性成本过大。</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楷体" w:hAnsi="楷体" w:eastAsia="楷体" w:cs="楷体"/>
          <w:color w:val="auto"/>
          <w:szCs w:val="32"/>
          <w:lang w:val="en-US" w:eastAsia="zh-CN"/>
        </w:rPr>
      </w:pPr>
      <w:r>
        <w:rPr>
          <w:rFonts w:hint="eastAsia" w:ascii="楷体" w:hAnsi="楷体" w:eastAsia="楷体" w:cs="楷体"/>
          <w:color w:val="auto"/>
          <w:szCs w:val="32"/>
          <w:lang w:val="en-US" w:eastAsia="zh-CN"/>
        </w:rPr>
        <w:t>（三）</w:t>
      </w:r>
      <w:r>
        <w:rPr>
          <w:rFonts w:hint="eastAsia" w:ascii="楷体" w:hAnsi="楷体" w:eastAsia="楷体" w:cs="楷体"/>
          <w:bCs/>
          <w:color w:val="auto"/>
          <w:kern w:val="0"/>
          <w:szCs w:val="32"/>
          <w:lang w:val="en-US" w:eastAsia="zh-CN"/>
        </w:rPr>
        <w:t>节能降耗主动意识弱</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lang w:eastAsia="zh-CN"/>
        </w:rPr>
      </w:pPr>
      <w:r>
        <w:rPr>
          <w:rFonts w:hint="eastAsia"/>
          <w:color w:val="auto"/>
          <w:szCs w:val="32"/>
          <w:lang w:eastAsia="zh-CN"/>
        </w:rPr>
        <w:t>一是节能降耗技术改造成本大、收益低、外部性居多，获得回报的时间过长，短期内还可能由于成本的提高而失去竞争优势，不符合企业快速获取利益的宗旨；二是部分企业经营状况不佳，资金周转存在问题，内忧外患，一旦强行进行节能降耗的一系列整改很可能导致企业暴毙；三是部分企业视短期效益重于长远效益。一系列的原因导致企业节能降耗的主动意识弱，甚至有些抵触。</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黑体" w:hAnsi="黑体" w:eastAsia="黑体" w:cs="黑体"/>
          <w:bCs/>
          <w:color w:val="auto"/>
          <w:kern w:val="0"/>
          <w:szCs w:val="32"/>
          <w:lang w:eastAsia="zh-CN"/>
        </w:rPr>
      </w:pPr>
      <w:r>
        <w:rPr>
          <w:rFonts w:hint="eastAsia" w:ascii="黑体" w:hAnsi="黑体" w:eastAsia="黑体" w:cs="黑体"/>
          <w:bCs/>
          <w:color w:val="auto"/>
          <w:kern w:val="0"/>
          <w:szCs w:val="32"/>
          <w:lang w:eastAsia="zh-CN"/>
        </w:rPr>
        <w:t>关于</w:t>
      </w:r>
      <w:r>
        <w:rPr>
          <w:rFonts w:hint="eastAsia" w:ascii="黑体" w:hAnsi="黑体" w:eastAsia="黑体" w:cs="黑体"/>
          <w:bCs/>
          <w:color w:val="auto"/>
          <w:kern w:val="0"/>
          <w:szCs w:val="32"/>
        </w:rPr>
        <w:t>规模工业</w:t>
      </w:r>
      <w:r>
        <w:rPr>
          <w:rFonts w:hint="eastAsia" w:ascii="黑体" w:hAnsi="黑体" w:eastAsia="黑体" w:cs="黑体"/>
          <w:bCs/>
          <w:color w:val="auto"/>
          <w:kern w:val="0"/>
          <w:szCs w:val="32"/>
          <w:lang w:eastAsia="zh-CN"/>
        </w:rPr>
        <w:t>节能降耗的建议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楷体" w:hAnsi="楷体" w:eastAsia="楷体" w:cs="楷体"/>
          <w:color w:val="auto"/>
          <w:szCs w:val="32"/>
          <w:lang w:val="en-US" w:eastAsia="zh-CN"/>
        </w:rPr>
      </w:pPr>
      <w:r>
        <w:rPr>
          <w:rFonts w:hint="eastAsia" w:ascii="楷体" w:hAnsi="楷体" w:eastAsia="楷体" w:cs="楷体"/>
          <w:color w:val="auto"/>
          <w:szCs w:val="32"/>
          <w:lang w:val="en-US" w:eastAsia="zh-CN"/>
        </w:rPr>
        <w:t>（一）</w:t>
      </w:r>
      <w:r>
        <w:rPr>
          <w:rFonts w:hint="eastAsia" w:ascii="楷体" w:hAnsi="楷体" w:eastAsia="楷体" w:cs="楷体"/>
          <w:bCs/>
          <w:color w:val="auto"/>
          <w:kern w:val="0"/>
          <w:szCs w:val="32"/>
          <w:lang w:val="en-US" w:eastAsia="zh-CN"/>
        </w:rPr>
        <w:t>思想领航</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lang w:eastAsia="zh-CN"/>
        </w:rPr>
      </w:pPr>
      <w:r>
        <w:rPr>
          <w:rFonts w:hint="eastAsia"/>
          <w:color w:val="auto"/>
          <w:szCs w:val="32"/>
          <w:lang w:eastAsia="zh-CN"/>
        </w:rPr>
        <w:t>在经济下行的大环境下，政府充分发挥节能降耗的“领航人”作用。加强政策宣传引导，帮助企业树立节能降耗意识，增强企业信心，让企业充分认识到节能降耗对自身长远发展的利好所在。意识先行，为实现经济发展和环境保护双赢打下思想基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楷体" w:hAnsi="楷体" w:eastAsia="楷体" w:cs="楷体"/>
          <w:bCs/>
          <w:color w:val="auto"/>
          <w:kern w:val="0"/>
          <w:szCs w:val="32"/>
          <w:lang w:val="en-US" w:eastAsia="zh-CN"/>
        </w:rPr>
      </w:pPr>
      <w:r>
        <w:rPr>
          <w:rFonts w:hint="eastAsia" w:ascii="楷体" w:hAnsi="楷体" w:eastAsia="楷体" w:cs="楷体"/>
          <w:color w:val="auto"/>
          <w:szCs w:val="32"/>
          <w:lang w:val="en-US" w:eastAsia="zh-CN"/>
        </w:rPr>
        <w:t>（二）</w:t>
      </w:r>
      <w:r>
        <w:rPr>
          <w:rFonts w:hint="eastAsia" w:ascii="楷体" w:hAnsi="楷体" w:eastAsia="楷体" w:cs="楷体"/>
          <w:bCs/>
          <w:color w:val="auto"/>
          <w:kern w:val="0"/>
          <w:szCs w:val="32"/>
          <w:lang w:val="en-US" w:eastAsia="zh-CN"/>
        </w:rPr>
        <w:t>政策助航</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FF0000"/>
          <w:szCs w:val="32"/>
          <w:lang w:eastAsia="zh-CN"/>
        </w:rPr>
      </w:pPr>
      <w:r>
        <w:rPr>
          <w:rFonts w:hint="eastAsia"/>
          <w:color w:val="auto"/>
          <w:szCs w:val="32"/>
          <w:lang w:eastAsia="zh-CN"/>
        </w:rPr>
        <w:t>政府作为政策的制定者和推行者，把握政策的导向，积极当好企业节能降耗的“助航人”。通过一系列节能降耗的优惠奖励政策、市场机制循序渐进，引导企业积极转型升级，化被动为主动，帮助企业顺利度过缓冲期，让企业切身体会到转型升级的红利；同时要尊重市场机制，避免过激的一刀切方式，转变工作模式，化教导为引导，化管控为调控，为节能降耗助航。</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ascii="楷体" w:hAnsi="楷体" w:eastAsia="楷体" w:cs="楷体"/>
          <w:bCs/>
          <w:color w:val="auto"/>
          <w:kern w:val="0"/>
          <w:szCs w:val="32"/>
          <w:lang w:val="en-US" w:eastAsia="zh-CN"/>
        </w:rPr>
      </w:pPr>
      <w:r>
        <w:rPr>
          <w:rFonts w:hint="eastAsia" w:ascii="楷体" w:hAnsi="楷体" w:eastAsia="楷体" w:cs="楷体"/>
          <w:color w:val="auto"/>
          <w:szCs w:val="32"/>
          <w:lang w:val="en-US" w:eastAsia="zh-CN"/>
        </w:rPr>
        <w:t>（三）</w:t>
      </w:r>
      <w:r>
        <w:rPr>
          <w:rFonts w:hint="eastAsia" w:ascii="楷体" w:hAnsi="楷体" w:eastAsia="楷体" w:cs="楷体"/>
          <w:bCs/>
          <w:color w:val="auto"/>
          <w:kern w:val="0"/>
          <w:szCs w:val="32"/>
          <w:lang w:val="en-US" w:eastAsia="zh-CN"/>
        </w:rPr>
        <w:t>法律护航</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eastAsia"/>
          <w:color w:val="auto"/>
          <w:szCs w:val="32"/>
          <w:lang w:eastAsia="zh-CN"/>
        </w:rPr>
      </w:pPr>
      <w:r>
        <w:rPr>
          <w:rFonts w:hint="eastAsia"/>
          <w:color w:val="auto"/>
          <w:szCs w:val="32"/>
          <w:lang w:eastAsia="zh-CN"/>
        </w:rPr>
        <w:t>为保障节能降耗这艘大船平稳运行，政府积极通过法律来维稳促进，当好“护航人”的角色。完善企业节能降耗激励约束机制，持续深化节能降耗专项行动，通过法律机制保障节能降耗政策的实施和奖惩机制的运行，逐步淘汰高耗能、高污染企业，杜绝急功近利恶性竞争的发展模式，将节能降耗转化为企业竞争优势而非竞争劣势，营造良好的节能降耗大环境，形成更加健康规范的市场秩序。</w:t>
      </w:r>
    </w:p>
    <w:p>
      <w:pPr>
        <w:ind w:firstLine="632" w:firstLineChars="200"/>
        <w:rPr>
          <w:rFonts w:hint="eastAsia"/>
          <w:color w:val="auto"/>
          <w:szCs w:val="32"/>
          <w:lang w:eastAsia="zh-CN"/>
        </w:rPr>
      </w:pPr>
    </w:p>
    <w:p>
      <w:pPr>
        <w:rPr>
          <w:rFonts w:hint="eastAsia" w:ascii="仿宋_GB2312"/>
          <w:color w:val="auto"/>
          <w:szCs w:val="32"/>
        </w:rPr>
      </w:pPr>
      <w:r>
        <w:rPr>
          <w:rFonts w:hint="eastAsia" w:ascii="仿宋_GB2312"/>
          <w:color w:val="FF0000"/>
          <w:szCs w:val="32"/>
        </w:rPr>
        <w:t xml:space="preserve">                                 </w:t>
      </w:r>
      <w:r>
        <w:rPr>
          <w:rFonts w:hint="eastAsia" w:ascii="仿宋_GB2312"/>
          <w:color w:val="auto"/>
          <w:szCs w:val="32"/>
        </w:rPr>
        <w:t xml:space="preserve">（南安市统计局  </w:t>
      </w:r>
      <w:r>
        <w:rPr>
          <w:rFonts w:hint="eastAsia" w:ascii="仿宋_GB2312"/>
          <w:color w:val="auto"/>
          <w:szCs w:val="32"/>
          <w:lang w:eastAsia="zh-CN"/>
        </w:rPr>
        <w:t>蔡荣江</w:t>
      </w:r>
      <w:r>
        <w:rPr>
          <w:rFonts w:hint="eastAsia" w:ascii="仿宋_GB2312"/>
          <w:color w:val="auto"/>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lang w:val="en-US" w:eastAsia="zh-CN"/>
        </w:rPr>
      </w:pPr>
      <w:r>
        <w:rPr>
          <w:rFonts w:hint="eastAsia" w:eastAsia="仿宋_GB2312"/>
          <w:lang w:eastAsia="zh-CN"/>
        </w:rPr>
        <w:drawing>
          <wp:inline distT="0" distB="0" distL="114300" distR="114300">
            <wp:extent cx="1212850" cy="1212850"/>
            <wp:effectExtent l="0" t="0" r="6350" b="6350"/>
            <wp:docPr id="3" name="图片 1" descr="qrcode_for_gh_1eebab0522fd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rcode_for_gh_1eebab0522fd_258"/>
                    <pic:cNvPicPr>
                      <a:picLocks noChangeAspect="1"/>
                    </pic:cNvPicPr>
                  </pic:nvPicPr>
                  <pic:blipFill>
                    <a:blip r:embed="rId9"/>
                    <a:stretch>
                      <a:fillRect/>
                    </a:stretch>
                  </pic:blipFill>
                  <pic:spPr>
                    <a:xfrm>
                      <a:off x="0" y="0"/>
                      <a:ext cx="1212850" cy="1212850"/>
                    </a:xfrm>
                    <a:prstGeom prst="rect">
                      <a:avLst/>
                    </a:prstGeom>
                    <a:noFill/>
                    <a:ln w="9525">
                      <a:noFill/>
                    </a:ln>
                  </pic:spPr>
                </pic:pic>
              </a:graphicData>
            </a:graphic>
          </wp:inline>
        </w:drawing>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24"/>
          <w:szCs w:val="21"/>
          <w:lang w:val="en-US" w:eastAsia="zh-CN"/>
        </w:rPr>
        <w:t>扫码关注南安市统计局</w:t>
      </w:r>
    </w:p>
    <w:p>
      <w:pPr>
        <w:keepNext w:val="0"/>
        <w:keepLines w:val="0"/>
        <w:pageBreakBefore w:val="0"/>
        <w:widowControl w:val="0"/>
        <w:kinsoku/>
        <w:wordWrap/>
        <w:overflowPunct/>
        <w:topLinePunct w:val="0"/>
        <w:autoSpaceDE/>
        <w:bidi w:val="0"/>
        <w:adjustRightInd/>
        <w:snapToGrid/>
        <w:spacing w:line="600" w:lineRule="exact"/>
        <w:ind w:right="0" w:rightChars="0"/>
        <w:jc w:val="both"/>
        <w:textAlignment w:val="auto"/>
        <w:outlineLvl w:val="9"/>
        <w:rPr>
          <w:rFonts w:hint="eastAsia" w:ascii="Times New Roman" w:hAnsi="Times New Roman" w:eastAsia="仿宋_GB2312" w:cs="Times New Roman"/>
          <w:kern w:val="0"/>
          <w:sz w:val="32"/>
          <w:szCs w:val="32"/>
        </w:rPr>
      </w:pPr>
    </w:p>
    <w:p>
      <w:pPr>
        <w:rPr>
          <w:rFonts w:hint="eastAsia" w:ascii="仿宋_GB2312"/>
          <w:color w:val="auto"/>
          <w:szCs w:val="32"/>
        </w:rPr>
      </w:pPr>
    </w:p>
    <w:sectPr>
      <w:footerReference r:id="rId5" w:type="default"/>
      <w:pgSz w:w="11906" w:h="16838"/>
      <w:pgMar w:top="2098" w:right="1474" w:bottom="1984" w:left="1587" w:header="851" w:footer="992" w:gutter="0"/>
      <w:lnNumType w:countBy="0" w:distance="36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Rounded MT Bold">
    <w:altName w:val="Arial"/>
    <w:panose1 w:val="020F07040305040302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等线简体">
    <w:panose1 w:val="02010601030101010101"/>
    <w:charset w:val="86"/>
    <w:family w:val="auto"/>
    <w:pitch w:val="default"/>
    <w:sig w:usb0="00000001" w:usb1="080E0000" w:usb2="00000000" w:usb3="00000000" w:csb0="00040000" w:csb1="00000000"/>
  </w:font>
  <w:font w:name="方正细黑一繁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水柱繁体">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ind w:right="360"/>
      <w:rPr>
        <w:rFonts w:hint="default"/>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pPr>
                            <w:snapToGrid w:val="0"/>
                            <w:spacing w:beforeLines="0" w:afterLines="0"/>
                            <w:rPr>
                              <w:rFonts w:hint="eastAsia"/>
                              <w:sz w:val="18"/>
                            </w:rPr>
                          </w:pPr>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V+SdAAAAADAQAADwAAAAAAAAABACAAAAAiAAAAZHJzL2Rvd25yZXYueG1sUEsBAhQAFAAAAAgA&#10;h07iQGQRTRC7AQAAUQMAAA4AAAAAAAAAAQAgAAAAHwEAAGRycy9lMm9Eb2MueG1sUEsFBgAAAAAG&#10;AAYAWQEAAEwFAAAAAA==&#10;">
              <v:fill on="f" focussize="0,0"/>
              <v:stroke on="f"/>
              <v:imagedata o:title=""/>
              <o:lock v:ext="edit" aspectratio="f"/>
              <v:textbox inset="0mm,0mm,0mm,0mm" style="mso-fit-shape-to-text:t;">
                <w:txbxContent>
                  <w:p>
                    <w:pPr>
                      <w:snapToGrid w:val="0"/>
                      <w:spacing w:beforeLines="0" w:afterLines="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ind w:right="360"/>
      <w:rPr>
        <w:rFonts w:hint="default"/>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pPr>
                            <w:snapToGrid w:val="0"/>
                            <w:spacing w:beforeLines="0" w:afterLines="0"/>
                            <w:rPr>
                              <w:rFonts w:hint="eastAsia"/>
                              <w:sz w:val="18"/>
                            </w:rPr>
                          </w:pPr>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V+SdAAAAADAQAADwAAAAAAAAABACAAAAAiAAAAZHJzL2Rvd25yZXYueG1sUEsBAhQAFAAAAAgA&#10;h07iQOfnqCC7AQAAUQMAAA4AAAAAAAAAAQAgAAAAHwEAAGRycy9lMm9Eb2MueG1sUEsFBgAAAAAG&#10;AAYAWQEAAEwFAAAAAA==&#10;">
              <v:fill on="f" focussize="0,0"/>
              <v:stroke on="f"/>
              <v:imagedata o:title=""/>
              <o:lock v:ext="edit" aspectratio="f"/>
              <v:textbox inset="0mm,0mm,0mm,0mm" style="mso-fit-shape-to-text:t;">
                <w:txbxContent>
                  <w:p>
                    <w:pPr>
                      <w:snapToGrid w:val="0"/>
                      <w:spacing w:beforeLines="0" w:afterLines="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eastAsia"/>
        <w:sz w:val="32"/>
      </w:rPr>
    </w:pPr>
    <w:r>
      <w:rPr>
        <w:rFonts w:hint="eastAsia"/>
        <w:sz w:val="32"/>
      </w:rPr>
      <w:tab/>
    </w:r>
    <w:r>
      <w:rPr>
        <w:rFonts w:hint="eastAsia"/>
        <w:sz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8002F"/>
    <w:multiLevelType w:val="singleLevel"/>
    <w:tmpl w:val="5CC8002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65E26"/>
    <w:rsid w:val="048F3C0C"/>
    <w:rsid w:val="05DD397D"/>
    <w:rsid w:val="08B927CA"/>
    <w:rsid w:val="0C482288"/>
    <w:rsid w:val="0C74731E"/>
    <w:rsid w:val="0CF4294E"/>
    <w:rsid w:val="0D620347"/>
    <w:rsid w:val="0D6E7D8A"/>
    <w:rsid w:val="0F552410"/>
    <w:rsid w:val="0F5A2D8B"/>
    <w:rsid w:val="105B330F"/>
    <w:rsid w:val="114814AF"/>
    <w:rsid w:val="1248717E"/>
    <w:rsid w:val="141B16C2"/>
    <w:rsid w:val="1681458C"/>
    <w:rsid w:val="181E18B7"/>
    <w:rsid w:val="18A274EC"/>
    <w:rsid w:val="19174567"/>
    <w:rsid w:val="1AC47DBE"/>
    <w:rsid w:val="1B0123D6"/>
    <w:rsid w:val="1DB85BC5"/>
    <w:rsid w:val="1E1E5257"/>
    <w:rsid w:val="1E3426C8"/>
    <w:rsid w:val="209B375F"/>
    <w:rsid w:val="20AB3C7C"/>
    <w:rsid w:val="21323D99"/>
    <w:rsid w:val="21CB4D1F"/>
    <w:rsid w:val="22CC4DF0"/>
    <w:rsid w:val="24B73033"/>
    <w:rsid w:val="25A26405"/>
    <w:rsid w:val="2BA06333"/>
    <w:rsid w:val="2BE31E10"/>
    <w:rsid w:val="2CF55F0E"/>
    <w:rsid w:val="2D484A7A"/>
    <w:rsid w:val="2D530413"/>
    <w:rsid w:val="2E852EB0"/>
    <w:rsid w:val="2F2D77C8"/>
    <w:rsid w:val="31485E95"/>
    <w:rsid w:val="31726129"/>
    <w:rsid w:val="32207BB1"/>
    <w:rsid w:val="3634258F"/>
    <w:rsid w:val="38A866AA"/>
    <w:rsid w:val="3A3653DC"/>
    <w:rsid w:val="3B64176F"/>
    <w:rsid w:val="3BB36CF7"/>
    <w:rsid w:val="3C966664"/>
    <w:rsid w:val="40866CB7"/>
    <w:rsid w:val="40E7761E"/>
    <w:rsid w:val="40F138B8"/>
    <w:rsid w:val="42943A4D"/>
    <w:rsid w:val="44326AA0"/>
    <w:rsid w:val="4456441B"/>
    <w:rsid w:val="44E1558B"/>
    <w:rsid w:val="454D1F46"/>
    <w:rsid w:val="48597F6D"/>
    <w:rsid w:val="491545E3"/>
    <w:rsid w:val="49DE0E63"/>
    <w:rsid w:val="4A5C15BC"/>
    <w:rsid w:val="4C2D0FDC"/>
    <w:rsid w:val="4C3F6503"/>
    <w:rsid w:val="4D205E56"/>
    <w:rsid w:val="4E3B2B75"/>
    <w:rsid w:val="4EA95A9E"/>
    <w:rsid w:val="4F7040D9"/>
    <w:rsid w:val="4FFC705C"/>
    <w:rsid w:val="51F65976"/>
    <w:rsid w:val="53242B92"/>
    <w:rsid w:val="5427671F"/>
    <w:rsid w:val="554F24FD"/>
    <w:rsid w:val="55EB5ADC"/>
    <w:rsid w:val="56662DE9"/>
    <w:rsid w:val="586A030B"/>
    <w:rsid w:val="59334A2D"/>
    <w:rsid w:val="59BF0AF9"/>
    <w:rsid w:val="59C25555"/>
    <w:rsid w:val="5A557093"/>
    <w:rsid w:val="5AFA656B"/>
    <w:rsid w:val="5B4F0F7F"/>
    <w:rsid w:val="5C7814A3"/>
    <w:rsid w:val="5DBC22DC"/>
    <w:rsid w:val="5DD94B61"/>
    <w:rsid w:val="5E976AAB"/>
    <w:rsid w:val="60127293"/>
    <w:rsid w:val="62F17965"/>
    <w:rsid w:val="635F6AE8"/>
    <w:rsid w:val="64D07E72"/>
    <w:rsid w:val="65132355"/>
    <w:rsid w:val="662840A6"/>
    <w:rsid w:val="66CB7E4C"/>
    <w:rsid w:val="67D716C2"/>
    <w:rsid w:val="681650BC"/>
    <w:rsid w:val="6A4E1887"/>
    <w:rsid w:val="6A714452"/>
    <w:rsid w:val="6B7A6C12"/>
    <w:rsid w:val="6BFF22D7"/>
    <w:rsid w:val="6C153AB1"/>
    <w:rsid w:val="6C724D71"/>
    <w:rsid w:val="6D56379B"/>
    <w:rsid w:val="6E8A1DE8"/>
    <w:rsid w:val="70862558"/>
    <w:rsid w:val="722E0840"/>
    <w:rsid w:val="728C7759"/>
    <w:rsid w:val="72A0354C"/>
    <w:rsid w:val="731966D6"/>
    <w:rsid w:val="7418605A"/>
    <w:rsid w:val="75BF14E0"/>
    <w:rsid w:val="771F240C"/>
    <w:rsid w:val="77A54D82"/>
    <w:rsid w:val="780175A3"/>
    <w:rsid w:val="7A683C70"/>
    <w:rsid w:val="7B7211A0"/>
    <w:rsid w:val="7DBF2828"/>
    <w:rsid w:val="7ED94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default" w:ascii="Times New Roman" w:hAnsi="Times New Roman" w:eastAsia="仿宋_GB2312" w:cstheme="minorBidi"/>
      <w:kern w:val="2"/>
      <w:sz w:val="32"/>
      <w:lang w:val="en-US" w:eastAsia="zh-CN"/>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beforeLines="0" w:afterLines="0"/>
      <w:jc w:val="left"/>
    </w:pPr>
    <w:rPr>
      <w:rFonts w:hint="default"/>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0998;&#26512;\&#33021;&#28304;\2019&#24180;&#20840;&#24180;&#25968;&#25454;\&#33021;&#28304;&#24635;&#3732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26700;&#38754;\&#20998;&#26512;\&#33021;&#28304;\2019&#24180;&#20840;&#24180;&#25968;&#25454;\&#33021;&#28304;&#24635;&#3732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6333853354134"/>
          <c:y val="0.0326557814061979"/>
          <c:w val="0.89749349973999"/>
          <c:h val="0.850716427857381"/>
        </c:manualLayout>
      </c:layout>
      <c:barChart>
        <c:barDir val="col"/>
        <c:grouping val="clustered"/>
        <c:varyColors val="0"/>
        <c:ser>
          <c:idx val="0"/>
          <c:order val="0"/>
          <c:tx>
            <c:strRef>
              <c:f>Sheet1!$F$6</c:f>
              <c:strCache>
                <c:ptCount val="1"/>
                <c:pt idx="0">
                  <c:v>能耗（万吨标准煤）</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Sheet1!$G$5:$Q$5</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Sheet1!$G$6:$Q$6</c:f>
              <c:numCache>
                <c:formatCode>0.00_ </c:formatCode>
                <c:ptCount val="11"/>
                <c:pt idx="0">
                  <c:v>14.51</c:v>
                </c:pt>
                <c:pt idx="1">
                  <c:v>23.08</c:v>
                </c:pt>
                <c:pt idx="2">
                  <c:v>32.8</c:v>
                </c:pt>
                <c:pt idx="3">
                  <c:v>41.45</c:v>
                </c:pt>
                <c:pt idx="4">
                  <c:v>49.84</c:v>
                </c:pt>
                <c:pt idx="5">
                  <c:v>58.46</c:v>
                </c:pt>
                <c:pt idx="6">
                  <c:v>66.57</c:v>
                </c:pt>
                <c:pt idx="7">
                  <c:v>69.01</c:v>
                </c:pt>
                <c:pt idx="8">
                  <c:v>77.29</c:v>
                </c:pt>
                <c:pt idx="9">
                  <c:v>85.35</c:v>
                </c:pt>
                <c:pt idx="10">
                  <c:v>91.13</c:v>
                </c:pt>
              </c:numCache>
            </c:numRef>
          </c:val>
        </c:ser>
        <c:dLbls>
          <c:showLegendKey val="0"/>
          <c:showVal val="0"/>
          <c:showCatName val="0"/>
          <c:showSerName val="0"/>
          <c:showPercent val="0"/>
          <c:showBubbleSize val="0"/>
        </c:dLbls>
        <c:gapWidth val="219"/>
        <c:overlap val="-27"/>
        <c:axId val="460783673"/>
        <c:axId val="946632754"/>
      </c:barChart>
      <c:lineChart>
        <c:grouping val="standard"/>
        <c:varyColors val="0"/>
        <c:ser>
          <c:idx val="1"/>
          <c:order val="1"/>
          <c:tx>
            <c:strRef>
              <c:f>Sheet1!$F$7</c:f>
              <c:strCache>
                <c:ptCount val="1"/>
                <c:pt idx="0">
                  <c:v>增长率（%）</c:v>
                </c:pt>
              </c:strCache>
            </c:strRef>
          </c:tx>
          <c:spPr>
            <a:ln w="28575" cap="rnd" cmpd="sng" algn="ctr">
              <a:solidFill>
                <a:schemeClr val="accent2"/>
              </a:solidFill>
              <a:prstDash val="solid"/>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Sheet1!$G$5:$Q$5</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Sheet1!$G$7:$Q$7</c:f>
              <c:numCache>
                <c:formatCode>0.00_ </c:formatCode>
                <c:ptCount val="11"/>
                <c:pt idx="0">
                  <c:v>-2.59</c:v>
                </c:pt>
                <c:pt idx="1">
                  <c:v>1.97</c:v>
                </c:pt>
                <c:pt idx="2">
                  <c:v>4.74</c:v>
                </c:pt>
                <c:pt idx="3">
                  <c:v>2.51</c:v>
                </c:pt>
                <c:pt idx="4">
                  <c:v>-1.5</c:v>
                </c:pt>
                <c:pt idx="5">
                  <c:v>-1.77</c:v>
                </c:pt>
                <c:pt idx="6">
                  <c:v>-2.09</c:v>
                </c:pt>
                <c:pt idx="7">
                  <c:v>-9.44</c:v>
                </c:pt>
                <c:pt idx="8">
                  <c:v>-9.04</c:v>
                </c:pt>
                <c:pt idx="9">
                  <c:v>-8.51</c:v>
                </c:pt>
                <c:pt idx="10">
                  <c:v>-10.31</c:v>
                </c:pt>
              </c:numCache>
            </c:numRef>
          </c:val>
          <c:smooth val="0"/>
        </c:ser>
        <c:dLbls>
          <c:showLegendKey val="0"/>
          <c:showVal val="0"/>
          <c:showCatName val="0"/>
          <c:showSerName val="0"/>
          <c:showPercent val="0"/>
          <c:showBubbleSize val="0"/>
        </c:dLbls>
        <c:marker val="0"/>
        <c:smooth val="0"/>
        <c:axId val="460783673"/>
        <c:axId val="946632754"/>
      </c:lineChart>
      <c:catAx>
        <c:axId val="46078367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632754"/>
        <c:crosses val="autoZero"/>
        <c:auto val="1"/>
        <c:lblAlgn val="ctr"/>
        <c:lblOffset val="100"/>
        <c:noMultiLvlLbl val="0"/>
      </c:catAx>
      <c:valAx>
        <c:axId val="94663275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7836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[能源总量.xls]Sheet1!$F$2</c:f>
              <c:strCache>
                <c:ptCount val="1"/>
                <c:pt idx="0">
                  <c:v>泉州</c:v>
                </c:pt>
              </c:strCache>
            </c:strRef>
          </c:tx>
          <c:spPr>
            <a:ln w="12700" cap="rnd" cmpd="sng" algn="ctr">
              <a:solidFill>
                <a:schemeClr val="accent1"/>
              </a:solidFill>
              <a:prstDash val="lgDash"/>
              <a:round/>
            </a:ln>
            <a:effectLst/>
          </c:spPr>
          <c:marker>
            <c:symbol val="diamond"/>
            <c:size val="7"/>
          </c:marker>
          <c:dLbls>
            <c:dLbl>
              <c:idx val="3"/>
              <c:layout>
                <c:manualLayout>
                  <c:x val="-0.0679245283018868"/>
                  <c:y val="0.041666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49056603773585"/>
                  <c:y val="0.048611111111111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[能源总量.xls]Sheet1!$G$1:$Q$1</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[能源总量.xls]Sheet1!$G$2:$Q$2</c:f>
              <c:numCache>
                <c:formatCode>0.00_ </c:formatCode>
                <c:ptCount val="11"/>
                <c:pt idx="0">
                  <c:v>-1.3</c:v>
                </c:pt>
                <c:pt idx="1">
                  <c:v>-5.33</c:v>
                </c:pt>
                <c:pt idx="2">
                  <c:v>-6.81</c:v>
                </c:pt>
                <c:pt idx="3">
                  <c:v>-7.65</c:v>
                </c:pt>
                <c:pt idx="4">
                  <c:v>-7.51</c:v>
                </c:pt>
                <c:pt idx="5">
                  <c:v>-8.75</c:v>
                </c:pt>
                <c:pt idx="6">
                  <c:v>-9.08</c:v>
                </c:pt>
                <c:pt idx="7">
                  <c:v>-10.51</c:v>
                </c:pt>
                <c:pt idx="8">
                  <c:v>-10.29</c:v>
                </c:pt>
                <c:pt idx="9">
                  <c:v>-7.94470046082949</c:v>
                </c:pt>
                <c:pt idx="10">
                  <c:v>-8.01</c:v>
                </c:pt>
              </c:numCache>
            </c:numRef>
          </c:val>
          <c:smooth val="0"/>
        </c:ser>
        <c:ser>
          <c:idx val="1"/>
          <c:order val="1"/>
          <c:tx>
            <c:strRef>
              <c:f>[能源总量.xls]Sheet1!$F$3</c:f>
              <c:strCache>
                <c:ptCount val="1"/>
                <c:pt idx="0">
                  <c:v>南安</c:v>
                </c:pt>
              </c:strCache>
            </c:strRef>
          </c:tx>
          <c:spPr>
            <a:ln w="28575" cap="rnd" cmpd="sng" algn="ctr">
              <a:solidFill>
                <a:schemeClr val="accent2"/>
              </a:solidFill>
              <a:prstDash val="solid"/>
              <a:round/>
            </a:ln>
            <a:effectLst/>
          </c:spPr>
          <c:dLbls>
            <c:dLbl>
              <c:idx val="5"/>
              <c:layout>
                <c:manualLayout>
                  <c:x val="-0.0226415094339623"/>
                  <c:y val="-0.05208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[能源总量.xls]Sheet1!$G$1:$Q$1</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[能源总量.xls]Sheet1!$G$3:$Q$3</c:f>
              <c:numCache>
                <c:formatCode>0.00_ </c:formatCode>
                <c:ptCount val="11"/>
                <c:pt idx="0">
                  <c:v>-11.1</c:v>
                </c:pt>
                <c:pt idx="1">
                  <c:v>-7.8</c:v>
                </c:pt>
                <c:pt idx="2">
                  <c:v>-4.87</c:v>
                </c:pt>
                <c:pt idx="3">
                  <c:v>-6.38</c:v>
                </c:pt>
                <c:pt idx="4">
                  <c:v>-9.38</c:v>
                </c:pt>
                <c:pt idx="5">
                  <c:v>-8.37</c:v>
                </c:pt>
                <c:pt idx="6">
                  <c:v>-7.98</c:v>
                </c:pt>
                <c:pt idx="7">
                  <c:v>-14.65</c:v>
                </c:pt>
                <c:pt idx="8">
                  <c:v>-14.83</c:v>
                </c:pt>
                <c:pt idx="9">
                  <c:v>-15.1298701298701</c:v>
                </c:pt>
                <c:pt idx="10">
                  <c:v>-15.63</c:v>
                </c:pt>
              </c:numCache>
            </c:numRef>
          </c:val>
          <c:smooth val="0"/>
        </c:ser>
        <c:dLbls>
          <c:showLegendKey val="0"/>
          <c:showVal val="0"/>
          <c:showCatName val="0"/>
          <c:showSerName val="0"/>
          <c:showPercent val="0"/>
          <c:showBubbleSize val="0"/>
        </c:dLbls>
        <c:marker val="1"/>
        <c:smooth val="0"/>
        <c:axId val="953476792"/>
        <c:axId val="913186063"/>
      </c:lineChart>
      <c:catAx>
        <c:axId val="9534767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186063"/>
        <c:crosses val="autoZero"/>
        <c:auto val="1"/>
        <c:lblAlgn val="ctr"/>
        <c:lblOffset val="100"/>
        <c:noMultiLvlLbl val="0"/>
      </c:catAx>
      <c:valAx>
        <c:axId val="91318606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34767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cp:lastPrinted>2020-05-18T07:45:00Z</cp:lastPrinted>
  <dcterms:modified xsi:type="dcterms:W3CDTF">2020-05-22T07:13:43Z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