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宋体"/>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5.95pt;margin-top:140.65pt;height:72.7pt;width:424.6pt;mso-position-horizontal-relative:page;mso-position-vertical-relative:page;z-index:251658240;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lang w:val="en-US" w:eastAsia="zh-CN"/>
        </w:rPr>
        <w:t>12</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南安市统计局  编                     20</w:t>
      </w:r>
      <w:r>
        <w:rPr>
          <w:rFonts w:hint="default"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pict>
          <v:shape id="_x0000_s1027" o:spid="_x0000_s1027" o:spt="109" type="#_x0000_t109" style="position:absolute;left:0pt;flip:y;margin-left:-15.3pt;margin-top:8.15pt;height:6pt;width:482.35pt;z-index:251659264;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uPsOv+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Abj7Dr/gEAAPoDAAAOAAAAAAAAAAEAIAAAACgBAABkcnMv&#10;ZTJvRG9jLnhtbFBLBQYAAAAABgAGAFkBAACYBQAAAAA=&#10;">
            <v:path/>
            <v:fill on="t" focussize="0,0"/>
            <v:stroke weight="1.25pt" color="#FFFFFF" joinstyle="miter"/>
            <v:imagedata o:title=""/>
            <o:lock v:ext="edit" aspectratio="f"/>
          </v:shape>
        </w:pict>
      </w:r>
    </w:p>
    <w:p>
      <w:pPr>
        <w:keepNext w:val="0"/>
        <w:keepLines w:val="0"/>
        <w:pageBreakBefore w:val="0"/>
        <w:widowControl w:val="0"/>
        <w:kinsoku/>
        <w:wordWrap/>
        <w:overflowPunct/>
        <w:topLinePunct w:val="0"/>
        <w:autoSpaceDE/>
        <w:autoSpaceDN/>
        <w:bidi w:val="0"/>
        <w:adjustRightInd/>
        <w:snapToGrid/>
        <w:spacing w:before="160" w:beforeLines="50" w:after="224" w:afterLines="70" w:line="560" w:lineRule="exact"/>
        <w:ind w:left="0" w:leftChars="0" w:right="0" w:rightChars="0" w:firstLine="0" w:firstLineChars="0"/>
        <w:jc w:val="center"/>
        <w:textAlignment w:val="auto"/>
        <w:outlineLvl w:val="9"/>
        <w:rPr>
          <w:rFonts w:ascii="黑体" w:hAnsi="黑体" w:eastAsia="黑体"/>
          <w:sz w:val="44"/>
          <w:szCs w:val="44"/>
        </w:rPr>
      </w:pPr>
      <w:r>
        <w:rPr>
          <w:rFonts w:hint="eastAsia" w:ascii="方正小标宋简体" w:hAnsi="方正小标宋简体" w:eastAsia="方正小标宋简体" w:cs="方正小标宋简体"/>
          <w:b w:val="0"/>
          <w:bCs w:val="0"/>
          <w:sz w:val="44"/>
          <w:szCs w:val="44"/>
        </w:rPr>
        <w:t>关于做好批零住餐业统计工作的一些思考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asciiTheme="majorEastAsia" w:hAnsiTheme="majorEastAsia" w:eastAsiaTheme="majorEastAsia"/>
          <w:b/>
          <w:sz w:val="36"/>
          <w:szCs w:val="36"/>
        </w:rPr>
      </w:pPr>
      <w:r>
        <w:rPr>
          <w:rFonts w:hint="eastAsia" w:ascii="黑体" w:hAnsi="黑体" w:eastAsia="黑体" w:cs="黑体"/>
          <w:b w:val="0"/>
          <w:bCs/>
          <w:sz w:val="32"/>
          <w:szCs w:val="32"/>
        </w:rPr>
        <w:t>一、前言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批发零售业和住宿餐饮业(以下简称批零住餐业)作为第三产业的重要组成部分，是连接生产和消费的纽带。积极发展批零住餐</w:t>
      </w:r>
      <w:r>
        <w:rPr>
          <w:rFonts w:hint="default" w:ascii="Times New Roman" w:hAnsi="Times New Roman" w:eastAsia="仿宋_GB2312" w:cs="Times New Roman"/>
          <w:color w:val="auto"/>
          <w:sz w:val="32"/>
          <w:szCs w:val="32"/>
        </w:rPr>
        <w:t>业对促进国民经济发展、优化产业结构、提高就业水平及改善人民生活等方面具有十分重要的意义，做好批零住餐业统计对如实反映市场流通现状、国民经济发展情况和人民消费水平至关重要。笔者通过分析近五年批零住餐业统计情况，指出批零住餐业统计中存在的一些问题，从而提出相关对策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cs="Times New Roman" w:eastAsiaTheme="majorEastAsia"/>
          <w:b/>
          <w:sz w:val="36"/>
          <w:szCs w:val="36"/>
        </w:rPr>
      </w:pPr>
      <w:r>
        <w:rPr>
          <w:rFonts w:hint="default" w:ascii="Times New Roman" w:hAnsi="Times New Roman" w:eastAsia="黑体" w:cs="Times New Roman"/>
          <w:b w:val="0"/>
          <w:bCs/>
          <w:sz w:val="32"/>
          <w:szCs w:val="32"/>
        </w:rPr>
        <w:t>二、近五年批零住餐业统计情况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sectPr>
          <w:footerReference r:id="rId3" w:type="default"/>
          <w:pgSz w:w="11906" w:h="16838"/>
          <w:pgMar w:top="2098" w:right="1474" w:bottom="1984"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8" w:charSpace="0"/>
        </w:sectPr>
      </w:pPr>
      <w:r>
        <w:rPr>
          <w:rFonts w:hint="default" w:ascii="Times New Roman" w:hAnsi="Times New Roman" w:eastAsia="仿宋_GB2312" w:cs="Times New Roman"/>
          <w:color w:val="auto"/>
          <w:sz w:val="32"/>
          <w:szCs w:val="32"/>
        </w:rPr>
        <w:t>批零住餐业统计分为限上和限下两部分。经普年份（尾数逢3、逢8）对所有行业（包括批零住餐业）法人、产业活动单位进行全面调查，对所有个体户进行全面清查（登记阶段按国家方案进行抽样调查）。非经普年份限上统计采用全面调查，对辖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color w:val="auto"/>
          <w:sz w:val="32"/>
          <w:szCs w:val="32"/>
        </w:rPr>
        <w:t>内年营业收入符合限额标准（见表1）的法人单位进行月报调查，限下统计采用季度抽样调查，利用调查样本数据推断限下总量。整理近五年相关统计数据（表2、表3）发现，我市批零住餐业稳步发展，多项指标均有一定的提升，批零住餐业增加值占GDP比重2019年首次超过10%，占第三产业增加值比重首次超过30%。</w:t>
      </w:r>
    </w:p>
    <w:p>
      <w:pPr>
        <w:keepNext w:val="0"/>
        <w:keepLines w:val="0"/>
        <w:pageBreakBefore w:val="0"/>
        <w:widowControl w:val="0"/>
        <w:kinsoku/>
        <w:wordWrap/>
        <w:overflowPunct/>
        <w:topLinePunct w:val="0"/>
        <w:autoSpaceDE/>
        <w:autoSpaceDN/>
        <w:bidi w:val="0"/>
        <w:adjustRightInd/>
        <w:snapToGrid/>
        <w:spacing w:after="160" w:afterLines="50" w:line="560" w:lineRule="exact"/>
        <w:ind w:left="0" w:leftChars="0" w:right="0" w:rightChars="0" w:firstLine="0" w:firstLineChars="0"/>
        <w:jc w:val="center"/>
        <w:textAlignment w:val="auto"/>
        <w:outlineLvl w:val="9"/>
        <w:rPr>
          <w:rFonts w:asciiTheme="minorEastAsia" w:hAnsiTheme="minorEastAsia"/>
          <w:sz w:val="22"/>
        </w:rPr>
      </w:pPr>
      <w:r>
        <w:rPr>
          <w:rFonts w:hint="eastAsia" w:ascii="楷体" w:hAnsi="楷体" w:eastAsia="楷体" w:cs="楷体"/>
          <w:sz w:val="30"/>
          <w:szCs w:val="30"/>
        </w:rPr>
        <w:t>表1  批零住餐业统计限额标准</w:t>
      </w:r>
    </w:p>
    <w:tbl>
      <w:tblPr>
        <w:tblStyle w:val="8"/>
        <w:tblW w:w="7920" w:type="dxa"/>
        <w:tblInd w:w="4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32"/>
        <w:gridCol w:w="3156"/>
        <w:gridCol w:w="2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4" w:hRule="atLeast"/>
        </w:trPr>
        <w:tc>
          <w:tcPr>
            <w:tcW w:w="2532" w:type="dxa"/>
            <w:tcBorders>
              <w:top w:val="single" w:color="000000" w:themeColor="text1" w:sz="12" w:space="0"/>
              <w:left w:val="nil"/>
              <w:bottom w:val="single" w:color="000000" w:themeColor="text1" w:sz="12" w:space="0"/>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行业类别</w:t>
            </w:r>
          </w:p>
        </w:tc>
        <w:tc>
          <w:tcPr>
            <w:tcW w:w="3156" w:type="dxa"/>
            <w:tcBorders>
              <w:top w:val="single" w:color="000000" w:themeColor="text1" w:sz="12" w:space="0"/>
              <w:bottom w:val="single" w:color="000000" w:themeColor="text1" w:sz="12" w:space="0"/>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统计指标名称</w:t>
            </w:r>
          </w:p>
        </w:tc>
        <w:tc>
          <w:tcPr>
            <w:tcW w:w="2232" w:type="dxa"/>
            <w:tcBorders>
              <w:top w:val="single" w:color="000000" w:themeColor="text1" w:sz="12" w:space="0"/>
              <w:bottom w:val="single" w:color="000000" w:themeColor="text1" w:sz="12" w:space="0"/>
              <w:right w:val="nil"/>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限额标准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0" w:hRule="atLeast"/>
        </w:trPr>
        <w:tc>
          <w:tcPr>
            <w:tcW w:w="2532" w:type="dxa"/>
            <w:tcBorders>
              <w:top w:val="single" w:color="000000" w:themeColor="text1" w:sz="12" w:space="0"/>
              <w:left w:val="nil"/>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批发业</w:t>
            </w:r>
          </w:p>
        </w:tc>
        <w:tc>
          <w:tcPr>
            <w:tcW w:w="3156" w:type="dxa"/>
            <w:tcBorders>
              <w:top w:val="single" w:color="000000" w:themeColor="text1" w:sz="12" w:space="0"/>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年主营业务收入</w:t>
            </w:r>
          </w:p>
        </w:tc>
        <w:tc>
          <w:tcPr>
            <w:tcW w:w="2232" w:type="dxa"/>
            <w:tcBorders>
              <w:top w:val="single" w:color="000000" w:themeColor="text1" w:sz="12" w:space="0"/>
              <w:right w:val="nil"/>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2000万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2532" w:type="dxa"/>
            <w:tcBorders>
              <w:left w:val="nil"/>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零售业</w:t>
            </w:r>
          </w:p>
        </w:tc>
        <w:tc>
          <w:tcPr>
            <w:tcW w:w="3156" w:type="dxa"/>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年主营业务收入</w:t>
            </w:r>
          </w:p>
        </w:tc>
        <w:tc>
          <w:tcPr>
            <w:tcW w:w="2232" w:type="dxa"/>
            <w:tcBorders>
              <w:right w:val="nil"/>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4" w:hRule="atLeast"/>
        </w:trPr>
        <w:tc>
          <w:tcPr>
            <w:tcW w:w="2532" w:type="dxa"/>
            <w:tcBorders>
              <w:left w:val="nil"/>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住宿业</w:t>
            </w:r>
          </w:p>
        </w:tc>
        <w:tc>
          <w:tcPr>
            <w:tcW w:w="3156" w:type="dxa"/>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年主营业务收入</w:t>
            </w:r>
          </w:p>
        </w:tc>
        <w:tc>
          <w:tcPr>
            <w:tcW w:w="2232" w:type="dxa"/>
            <w:tcBorders>
              <w:right w:val="nil"/>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200万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2" w:hRule="atLeast"/>
        </w:trPr>
        <w:tc>
          <w:tcPr>
            <w:tcW w:w="2532" w:type="dxa"/>
            <w:tcBorders>
              <w:left w:val="nil"/>
              <w:bottom w:val="single" w:color="000000" w:themeColor="text1" w:sz="12" w:space="0"/>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餐饮业</w:t>
            </w:r>
          </w:p>
        </w:tc>
        <w:tc>
          <w:tcPr>
            <w:tcW w:w="3156" w:type="dxa"/>
            <w:tcBorders>
              <w:bottom w:val="single" w:color="000000" w:themeColor="text1" w:sz="12" w:space="0"/>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年主营业务收入</w:t>
            </w:r>
          </w:p>
        </w:tc>
        <w:tc>
          <w:tcPr>
            <w:tcW w:w="2232" w:type="dxa"/>
            <w:tcBorders>
              <w:bottom w:val="single" w:color="000000" w:themeColor="text1" w:sz="12" w:space="0"/>
              <w:right w:val="nil"/>
            </w:tcBorders>
            <w:vAlign w:val="top"/>
          </w:tcPr>
          <w:p>
            <w:pPr>
              <w:keepNext w:val="0"/>
              <w:keepLines w:val="0"/>
              <w:pageBreakBefore w:val="0"/>
              <w:widowControl w:val="0"/>
              <w:kinsoku/>
              <w:wordWrap/>
              <w:overflowPunct/>
              <w:topLinePunct w:val="0"/>
              <w:autoSpaceDE/>
              <w:autoSpaceDN/>
              <w:bidi/>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200万</w:t>
            </w:r>
          </w:p>
        </w:tc>
      </w:tr>
    </w:tbl>
    <w:p>
      <w:pPr>
        <w:ind w:firstLine="440" w:firstLineChars="200"/>
        <w:jc w:val="center"/>
        <w:rPr>
          <w:rFonts w:ascii="仿宋" w:hAnsi="仿宋" w:eastAsia="仿宋"/>
          <w:sz w:val="22"/>
        </w:rPr>
      </w:pPr>
    </w:p>
    <w:tbl>
      <w:tblPr>
        <w:tblStyle w:val="7"/>
        <w:tblW w:w="8875" w:type="dxa"/>
        <w:tblInd w:w="93" w:type="dxa"/>
        <w:tblLayout w:type="fixed"/>
        <w:tblCellMar>
          <w:top w:w="0" w:type="dxa"/>
          <w:left w:w="108" w:type="dxa"/>
          <w:bottom w:w="0" w:type="dxa"/>
          <w:right w:w="108" w:type="dxa"/>
        </w:tblCellMar>
      </w:tblPr>
      <w:tblGrid>
        <w:gridCol w:w="2515"/>
        <w:gridCol w:w="1416"/>
        <w:gridCol w:w="1296"/>
        <w:gridCol w:w="1188"/>
        <w:gridCol w:w="1224"/>
        <w:gridCol w:w="1236"/>
      </w:tblGrid>
      <w:tr>
        <w:tblPrEx>
          <w:tblLayout w:type="fixed"/>
          <w:tblCellMar>
            <w:top w:w="0" w:type="dxa"/>
            <w:left w:w="108" w:type="dxa"/>
            <w:bottom w:w="0" w:type="dxa"/>
            <w:right w:w="108" w:type="dxa"/>
          </w:tblCellMar>
        </w:tblPrEx>
        <w:trPr>
          <w:trHeight w:val="270" w:hRule="atLeast"/>
        </w:trPr>
        <w:tc>
          <w:tcPr>
            <w:tcW w:w="8875" w:type="dxa"/>
            <w:gridSpan w:val="6"/>
            <w:tcBorders>
              <w:top w:val="nil"/>
              <w:left w:val="nil"/>
              <w:bottom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宋体" w:hAnsi="宋体" w:eastAsia="宋体" w:cs="宋体"/>
                <w:color w:val="000000"/>
                <w:kern w:val="0"/>
                <w:sz w:val="22"/>
              </w:rPr>
            </w:pPr>
            <w:r>
              <w:rPr>
                <w:rFonts w:hint="eastAsia" w:ascii="楷体" w:hAnsi="楷体" w:eastAsia="楷体" w:cs="楷体"/>
                <w:color w:val="000000"/>
                <w:kern w:val="0"/>
                <w:sz w:val="30"/>
                <w:szCs w:val="30"/>
              </w:rPr>
              <w:t>表2  2015-2019年批发零售业统计相关指标</w:t>
            </w:r>
          </w:p>
        </w:tc>
      </w:tr>
      <w:tr>
        <w:tblPrEx>
          <w:tblLayout w:type="fixed"/>
          <w:tblCellMar>
            <w:top w:w="0" w:type="dxa"/>
            <w:left w:w="108" w:type="dxa"/>
            <w:bottom w:w="0" w:type="dxa"/>
            <w:right w:w="108" w:type="dxa"/>
          </w:tblCellMar>
        </w:tblPrEx>
        <w:trPr>
          <w:trHeight w:val="270" w:hRule="atLeast"/>
        </w:trPr>
        <w:tc>
          <w:tcPr>
            <w:tcW w:w="8875" w:type="dxa"/>
            <w:gridSpan w:val="6"/>
            <w:tcBorders>
              <w:top w:val="nil"/>
              <w:left w:val="nil"/>
              <w:bottom w:val="single" w:color="auto" w:sz="12" w:space="0"/>
            </w:tcBorders>
            <w:shd w:val="clear" w:color="auto" w:fill="auto"/>
            <w:vAlign w:val="center"/>
          </w:tcPr>
          <w:p>
            <w:pPr>
              <w:widowControl/>
              <w:jc w:val="right"/>
              <w:rPr>
                <w:rFonts w:ascii="宋体" w:hAnsi="宋体" w:eastAsia="宋体" w:cs="宋体"/>
                <w:color w:val="000000"/>
                <w:kern w:val="0"/>
                <w:sz w:val="22"/>
              </w:rPr>
            </w:pPr>
            <w:r>
              <w:rPr>
                <w:rFonts w:hint="eastAsia" w:ascii="楷体" w:hAnsi="楷体" w:eastAsia="楷体" w:cs="楷体"/>
                <w:color w:val="000000"/>
                <w:kern w:val="0"/>
                <w:sz w:val="28"/>
                <w:szCs w:val="28"/>
              </w:rPr>
              <w:t>单位：亿元、%</w:t>
            </w:r>
          </w:p>
        </w:tc>
      </w:tr>
      <w:tr>
        <w:tblPrEx>
          <w:tblLayout w:type="fixed"/>
          <w:tblCellMar>
            <w:top w:w="0" w:type="dxa"/>
            <w:left w:w="108" w:type="dxa"/>
            <w:bottom w:w="0" w:type="dxa"/>
            <w:right w:w="108" w:type="dxa"/>
          </w:tblCellMar>
        </w:tblPrEx>
        <w:trPr>
          <w:trHeight w:val="90" w:hRule="atLeast"/>
        </w:trPr>
        <w:tc>
          <w:tcPr>
            <w:tcW w:w="2515" w:type="dxa"/>
            <w:tcBorders>
              <w:top w:val="single" w:color="auto" w:sz="12" w:space="0"/>
              <w:left w:val="nil"/>
              <w:bottom w:val="single" w:color="auto" w:sz="12"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8"/>
                <w:szCs w:val="28"/>
                <w:lang w:eastAsia="zh-CN"/>
              </w:rPr>
            </w:pPr>
            <w:r>
              <w:rPr>
                <w:sz w:val="28"/>
              </w:rPr>
              <w:pict>
                <v:line id="_x0000_s1028" o:spid="_x0000_s1028" o:spt="20" style="position:absolute;left:0pt;margin-left:-5.05pt;margin-top:-0.3pt;height:64.8pt;width:126pt;z-index:251660288;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年份</w:t>
            </w:r>
          </w:p>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指标          </w:t>
            </w:r>
          </w:p>
        </w:tc>
        <w:tc>
          <w:tcPr>
            <w:tcW w:w="1416" w:type="dxa"/>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2015年</w:t>
            </w:r>
          </w:p>
        </w:tc>
        <w:tc>
          <w:tcPr>
            <w:tcW w:w="1296" w:type="dxa"/>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2016年</w:t>
            </w:r>
          </w:p>
        </w:tc>
        <w:tc>
          <w:tcPr>
            <w:tcW w:w="1188" w:type="dxa"/>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2017年</w:t>
            </w:r>
          </w:p>
        </w:tc>
        <w:tc>
          <w:tcPr>
            <w:tcW w:w="1224" w:type="dxa"/>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2018年</w:t>
            </w:r>
          </w:p>
        </w:tc>
        <w:tc>
          <w:tcPr>
            <w:tcW w:w="1236" w:type="dxa"/>
            <w:tcBorders>
              <w:top w:val="single" w:color="auto" w:sz="12" w:space="0"/>
              <w:left w:val="single" w:color="auto" w:sz="4" w:space="0"/>
              <w:bottom w:val="single" w:color="auto" w:sz="12" w:space="0"/>
              <w:right w:val="nil"/>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2019年</w:t>
            </w:r>
          </w:p>
        </w:tc>
      </w:tr>
      <w:tr>
        <w:tblPrEx>
          <w:tblLayout w:type="fixed"/>
          <w:tblCellMar>
            <w:top w:w="0" w:type="dxa"/>
            <w:left w:w="108" w:type="dxa"/>
            <w:bottom w:w="0" w:type="dxa"/>
            <w:right w:w="108" w:type="dxa"/>
          </w:tblCellMar>
        </w:tblPrEx>
        <w:trPr>
          <w:trHeight w:val="566" w:hRule="atLeast"/>
        </w:trPr>
        <w:tc>
          <w:tcPr>
            <w:tcW w:w="2515" w:type="dxa"/>
            <w:tcBorders>
              <w:top w:val="single" w:color="auto" w:sz="12"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GDP</w:t>
            </w:r>
          </w:p>
        </w:tc>
        <w:tc>
          <w:tcPr>
            <w:tcW w:w="1416"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843.38</w:t>
            </w:r>
          </w:p>
        </w:tc>
        <w:tc>
          <w:tcPr>
            <w:tcW w:w="1296"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898.14</w:t>
            </w:r>
          </w:p>
        </w:tc>
        <w:tc>
          <w:tcPr>
            <w:tcW w:w="118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977.38</w:t>
            </w:r>
          </w:p>
        </w:tc>
        <w:tc>
          <w:tcPr>
            <w:tcW w:w="122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1067.82</w:t>
            </w:r>
          </w:p>
        </w:tc>
        <w:tc>
          <w:tcPr>
            <w:tcW w:w="1236" w:type="dxa"/>
            <w:tcBorders>
              <w:top w:val="single" w:color="auto" w:sz="12" w:space="0"/>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1295.44</w:t>
            </w:r>
          </w:p>
        </w:tc>
      </w:tr>
      <w:tr>
        <w:tblPrEx>
          <w:tblLayout w:type="fixed"/>
          <w:tblCellMar>
            <w:top w:w="0" w:type="dxa"/>
            <w:left w:w="108" w:type="dxa"/>
            <w:bottom w:w="0" w:type="dxa"/>
            <w:right w:w="108" w:type="dxa"/>
          </w:tblCellMar>
        </w:tblPrEx>
        <w:trPr>
          <w:trHeight w:val="518" w:hRule="atLeast"/>
        </w:trPr>
        <w:tc>
          <w:tcPr>
            <w:tcW w:w="2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GDP增速</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8.0</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8.6</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8.4</w:t>
            </w:r>
          </w:p>
        </w:tc>
        <w:tc>
          <w:tcPr>
            <w:tcW w:w="1236"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8.0</w:t>
            </w:r>
          </w:p>
        </w:tc>
      </w:tr>
      <w:tr>
        <w:tblPrEx>
          <w:tblLayout w:type="fixed"/>
          <w:tblCellMar>
            <w:top w:w="0" w:type="dxa"/>
            <w:left w:w="108" w:type="dxa"/>
            <w:bottom w:w="0" w:type="dxa"/>
            <w:right w:w="108" w:type="dxa"/>
          </w:tblCellMar>
        </w:tblPrEx>
        <w:trPr>
          <w:trHeight w:val="402" w:hRule="atLeast"/>
        </w:trPr>
        <w:tc>
          <w:tcPr>
            <w:tcW w:w="2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第三产业增加值</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291.18</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332.73</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374.25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427.52</w:t>
            </w:r>
          </w:p>
        </w:tc>
        <w:tc>
          <w:tcPr>
            <w:tcW w:w="1236"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494.53</w:t>
            </w:r>
          </w:p>
        </w:tc>
      </w:tr>
      <w:tr>
        <w:tblPrEx>
          <w:tblLayout w:type="fixed"/>
          <w:tblCellMar>
            <w:top w:w="0" w:type="dxa"/>
            <w:left w:w="108" w:type="dxa"/>
            <w:bottom w:w="0" w:type="dxa"/>
            <w:right w:w="108" w:type="dxa"/>
          </w:tblCellMar>
        </w:tblPrEx>
        <w:trPr>
          <w:trHeight w:val="402" w:hRule="atLeast"/>
        </w:trPr>
        <w:tc>
          <w:tcPr>
            <w:tcW w:w="2515" w:type="dxa"/>
            <w:tcBorders>
              <w:top w:val="single" w:color="auto" w:sz="4" w:space="0"/>
              <w:left w:val="nil"/>
              <w:bottom w:val="single" w:color="auto" w:sz="12"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批发零售业增加值</w:t>
            </w:r>
          </w:p>
        </w:tc>
        <w:tc>
          <w:tcPr>
            <w:tcW w:w="141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74.70</w:t>
            </w:r>
          </w:p>
        </w:tc>
        <w:tc>
          <w:tcPr>
            <w:tcW w:w="129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81.38</w:t>
            </w:r>
          </w:p>
        </w:tc>
        <w:tc>
          <w:tcPr>
            <w:tcW w:w="118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83.28</w:t>
            </w:r>
          </w:p>
        </w:tc>
        <w:tc>
          <w:tcPr>
            <w:tcW w:w="122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94.31</w:t>
            </w:r>
          </w:p>
        </w:tc>
        <w:tc>
          <w:tcPr>
            <w:tcW w:w="1236" w:type="dxa"/>
            <w:tcBorders>
              <w:top w:val="single" w:color="auto" w:sz="4" w:space="0"/>
              <w:left w:val="single" w:color="auto" w:sz="4" w:space="0"/>
              <w:bottom w:val="single" w:color="auto" w:sz="12"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140.46</w:t>
            </w:r>
          </w:p>
        </w:tc>
      </w:tr>
      <w:tr>
        <w:tblPrEx>
          <w:tblLayout w:type="fixed"/>
          <w:tblCellMar>
            <w:top w:w="0" w:type="dxa"/>
            <w:left w:w="108" w:type="dxa"/>
            <w:bottom w:w="0" w:type="dxa"/>
            <w:right w:w="108" w:type="dxa"/>
          </w:tblCellMar>
        </w:tblPrEx>
        <w:trPr>
          <w:trHeight w:val="402" w:hRule="atLeast"/>
        </w:trPr>
        <w:tc>
          <w:tcPr>
            <w:tcW w:w="2515" w:type="dxa"/>
            <w:tcBorders>
              <w:top w:val="single" w:color="auto" w:sz="12"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批发零售业增加值增速</w:t>
            </w:r>
          </w:p>
        </w:tc>
        <w:tc>
          <w:tcPr>
            <w:tcW w:w="1416"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7.3</w:t>
            </w:r>
          </w:p>
        </w:tc>
        <w:tc>
          <w:tcPr>
            <w:tcW w:w="1296"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5.5</w:t>
            </w:r>
          </w:p>
        </w:tc>
        <w:tc>
          <w:tcPr>
            <w:tcW w:w="118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6.6</w:t>
            </w:r>
          </w:p>
        </w:tc>
        <w:tc>
          <w:tcPr>
            <w:tcW w:w="122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8.5</w:t>
            </w:r>
          </w:p>
        </w:tc>
        <w:tc>
          <w:tcPr>
            <w:tcW w:w="1236" w:type="dxa"/>
            <w:tcBorders>
              <w:top w:val="single" w:color="auto" w:sz="12" w:space="0"/>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11.4</w:t>
            </w:r>
          </w:p>
        </w:tc>
      </w:tr>
      <w:tr>
        <w:tblPrEx>
          <w:tblLayout w:type="fixed"/>
          <w:tblCellMar>
            <w:top w:w="0" w:type="dxa"/>
            <w:left w:w="108" w:type="dxa"/>
            <w:bottom w:w="0" w:type="dxa"/>
            <w:right w:w="108" w:type="dxa"/>
          </w:tblCellMar>
        </w:tblPrEx>
        <w:trPr>
          <w:trHeight w:val="402" w:hRule="atLeast"/>
        </w:trPr>
        <w:tc>
          <w:tcPr>
            <w:tcW w:w="25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批发零售业增加值占GDP比重</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8.9</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9.1</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8.5</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8.8</w:t>
            </w:r>
          </w:p>
        </w:tc>
        <w:tc>
          <w:tcPr>
            <w:tcW w:w="1236"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10.8</w:t>
            </w:r>
          </w:p>
        </w:tc>
      </w:tr>
      <w:tr>
        <w:tblPrEx>
          <w:tblLayout w:type="fixed"/>
          <w:tblCellMar>
            <w:top w:w="0" w:type="dxa"/>
            <w:left w:w="108" w:type="dxa"/>
            <w:bottom w:w="0" w:type="dxa"/>
            <w:right w:w="108" w:type="dxa"/>
          </w:tblCellMar>
        </w:tblPrEx>
        <w:trPr>
          <w:trHeight w:val="402" w:hRule="atLeast"/>
        </w:trPr>
        <w:tc>
          <w:tcPr>
            <w:tcW w:w="25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批发零售业增加值贡献率</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5.8</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6.5</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8.3</w:t>
            </w:r>
          </w:p>
        </w:tc>
        <w:tc>
          <w:tcPr>
            <w:tcW w:w="1236"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14.5</w:t>
            </w:r>
          </w:p>
        </w:tc>
      </w:tr>
      <w:tr>
        <w:tblPrEx>
          <w:tblLayout w:type="fixed"/>
          <w:tblCellMar>
            <w:top w:w="0" w:type="dxa"/>
            <w:left w:w="108" w:type="dxa"/>
            <w:bottom w:w="0" w:type="dxa"/>
            <w:right w:w="108" w:type="dxa"/>
          </w:tblCellMar>
        </w:tblPrEx>
        <w:trPr>
          <w:trHeight w:val="402" w:hRule="atLeast"/>
        </w:trPr>
        <w:tc>
          <w:tcPr>
            <w:tcW w:w="25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批发零售业增加值拉动GDP增长</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0.5</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0.6</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0.7</w:t>
            </w:r>
          </w:p>
        </w:tc>
        <w:tc>
          <w:tcPr>
            <w:tcW w:w="1236"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w:t>
            </w:r>
          </w:p>
        </w:tc>
      </w:tr>
      <w:tr>
        <w:tblPrEx>
          <w:tblLayout w:type="fixed"/>
          <w:tblCellMar>
            <w:top w:w="0" w:type="dxa"/>
            <w:left w:w="108" w:type="dxa"/>
            <w:bottom w:w="0" w:type="dxa"/>
            <w:right w:w="108" w:type="dxa"/>
          </w:tblCellMar>
        </w:tblPrEx>
        <w:trPr>
          <w:trHeight w:val="402" w:hRule="atLeast"/>
        </w:trPr>
        <w:tc>
          <w:tcPr>
            <w:tcW w:w="2515" w:type="dxa"/>
            <w:tcBorders>
              <w:top w:val="single" w:color="auto" w:sz="4" w:space="0"/>
              <w:left w:val="nil"/>
              <w:bottom w:val="single" w:color="auto" w:sz="12"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限上批发零售业法人年末纳统数</w:t>
            </w:r>
          </w:p>
        </w:tc>
        <w:tc>
          <w:tcPr>
            <w:tcW w:w="141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93</w:t>
            </w:r>
          </w:p>
        </w:tc>
        <w:tc>
          <w:tcPr>
            <w:tcW w:w="129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91</w:t>
            </w:r>
          </w:p>
        </w:tc>
        <w:tc>
          <w:tcPr>
            <w:tcW w:w="118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85</w:t>
            </w:r>
          </w:p>
        </w:tc>
        <w:tc>
          <w:tcPr>
            <w:tcW w:w="122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98</w:t>
            </w:r>
          </w:p>
        </w:tc>
        <w:tc>
          <w:tcPr>
            <w:tcW w:w="1236" w:type="dxa"/>
            <w:tcBorders>
              <w:top w:val="single" w:color="auto" w:sz="4" w:space="0"/>
              <w:left w:val="single" w:color="auto" w:sz="4" w:space="0"/>
              <w:bottom w:val="single" w:color="auto" w:sz="12"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135</w:t>
            </w: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 w:hAnsi="仿宋" w:eastAsia="仿宋"/>
          <w:sz w:val="32"/>
          <w:szCs w:val="32"/>
        </w:rPr>
      </w:pPr>
    </w:p>
    <w:tbl>
      <w:tblPr>
        <w:tblStyle w:val="7"/>
        <w:tblW w:w="8875" w:type="dxa"/>
        <w:tblInd w:w="93" w:type="dxa"/>
        <w:tblLayout w:type="fixed"/>
        <w:tblCellMar>
          <w:top w:w="0" w:type="dxa"/>
          <w:left w:w="108" w:type="dxa"/>
          <w:bottom w:w="0" w:type="dxa"/>
          <w:right w:w="108" w:type="dxa"/>
        </w:tblCellMar>
      </w:tblPr>
      <w:tblGrid>
        <w:gridCol w:w="2479"/>
        <w:gridCol w:w="1464"/>
        <w:gridCol w:w="1212"/>
        <w:gridCol w:w="1236"/>
        <w:gridCol w:w="1248"/>
        <w:gridCol w:w="1236"/>
      </w:tblGrid>
      <w:tr>
        <w:tblPrEx>
          <w:tblLayout w:type="fixed"/>
          <w:tblCellMar>
            <w:top w:w="0" w:type="dxa"/>
            <w:left w:w="108" w:type="dxa"/>
            <w:bottom w:w="0" w:type="dxa"/>
            <w:right w:w="108" w:type="dxa"/>
          </w:tblCellMar>
        </w:tblPrEx>
        <w:trPr>
          <w:trHeight w:val="270" w:hRule="atLeast"/>
        </w:trPr>
        <w:tc>
          <w:tcPr>
            <w:tcW w:w="8875" w:type="dxa"/>
            <w:gridSpan w:val="6"/>
            <w:tcBorders>
              <w:top w:val="nil"/>
              <w:left w:val="nil"/>
              <w:bottom w:val="nil"/>
            </w:tcBorders>
            <w:shd w:val="clear" w:color="auto" w:fill="auto"/>
            <w:vAlign w:val="center"/>
          </w:tcPr>
          <w:p>
            <w:pPr>
              <w:widowControl/>
              <w:jc w:val="center"/>
              <w:rPr>
                <w:rFonts w:ascii="宋体" w:hAnsi="宋体" w:eastAsia="宋体" w:cs="宋体"/>
                <w:color w:val="000000"/>
                <w:kern w:val="0"/>
                <w:sz w:val="22"/>
              </w:rPr>
            </w:pPr>
            <w:r>
              <w:rPr>
                <w:rFonts w:hint="eastAsia" w:ascii="楷体" w:hAnsi="楷体" w:eastAsia="楷体" w:cs="楷体"/>
                <w:color w:val="000000"/>
                <w:kern w:val="0"/>
                <w:sz w:val="30"/>
                <w:szCs w:val="30"/>
              </w:rPr>
              <w:t>表3  2015-2019年住宿餐饮业统计相关指标</w:t>
            </w:r>
          </w:p>
        </w:tc>
      </w:tr>
      <w:tr>
        <w:tblPrEx>
          <w:tblLayout w:type="fixed"/>
          <w:tblCellMar>
            <w:top w:w="0" w:type="dxa"/>
            <w:left w:w="108" w:type="dxa"/>
            <w:bottom w:w="0" w:type="dxa"/>
            <w:right w:w="108" w:type="dxa"/>
          </w:tblCellMar>
        </w:tblPrEx>
        <w:trPr>
          <w:trHeight w:val="270" w:hRule="atLeast"/>
        </w:trPr>
        <w:tc>
          <w:tcPr>
            <w:tcW w:w="8875" w:type="dxa"/>
            <w:gridSpan w:val="6"/>
            <w:tcBorders>
              <w:top w:val="nil"/>
              <w:left w:val="nil"/>
              <w:bottom w:val="single" w:color="auto" w:sz="12" w:space="0"/>
            </w:tcBorders>
            <w:shd w:val="clear" w:color="auto" w:fill="auto"/>
            <w:vAlign w:val="center"/>
          </w:tcPr>
          <w:p>
            <w:pPr>
              <w:widowControl/>
              <w:jc w:val="right"/>
              <w:rPr>
                <w:rFonts w:ascii="宋体" w:hAnsi="宋体" w:eastAsia="宋体" w:cs="宋体"/>
                <w:color w:val="000000"/>
                <w:kern w:val="0"/>
                <w:sz w:val="22"/>
              </w:rPr>
            </w:pPr>
            <w:r>
              <w:rPr>
                <w:rFonts w:hint="eastAsia" w:ascii="楷体" w:hAnsi="楷体" w:eastAsia="楷体" w:cs="楷体"/>
                <w:color w:val="000000"/>
                <w:kern w:val="0"/>
                <w:sz w:val="28"/>
                <w:szCs w:val="28"/>
              </w:rPr>
              <w:t>单位</w:t>
            </w:r>
            <w:r>
              <w:rPr>
                <w:rFonts w:hint="eastAsia" w:ascii="楷体" w:hAnsi="楷体" w:eastAsia="楷体" w:cs="楷体"/>
                <w:color w:val="000000"/>
                <w:kern w:val="0"/>
                <w:sz w:val="28"/>
                <w:szCs w:val="28"/>
              </w:rPr>
              <w:t>：亿元、%</w:t>
            </w:r>
          </w:p>
        </w:tc>
      </w:tr>
      <w:tr>
        <w:tblPrEx>
          <w:tblLayout w:type="fixed"/>
          <w:tblCellMar>
            <w:top w:w="0" w:type="dxa"/>
            <w:left w:w="108" w:type="dxa"/>
            <w:bottom w:w="0" w:type="dxa"/>
            <w:right w:w="108" w:type="dxa"/>
          </w:tblCellMar>
        </w:tblPrEx>
        <w:trPr>
          <w:trHeight w:val="1022" w:hRule="atLeast"/>
        </w:trPr>
        <w:tc>
          <w:tcPr>
            <w:tcW w:w="2479" w:type="dxa"/>
            <w:tcBorders>
              <w:top w:val="single" w:color="auto" w:sz="12" w:space="0"/>
              <w:left w:val="nil"/>
              <w:bottom w:val="single" w:color="auto" w:sz="12"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464" w:type="dxa"/>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2015年</w:t>
            </w:r>
          </w:p>
        </w:tc>
        <w:tc>
          <w:tcPr>
            <w:tcW w:w="1212" w:type="dxa"/>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2016年</w:t>
            </w:r>
          </w:p>
        </w:tc>
        <w:tc>
          <w:tcPr>
            <w:tcW w:w="1236" w:type="dxa"/>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2017年</w:t>
            </w:r>
          </w:p>
        </w:tc>
        <w:tc>
          <w:tcPr>
            <w:tcW w:w="1248" w:type="dxa"/>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2018年</w:t>
            </w:r>
          </w:p>
        </w:tc>
        <w:tc>
          <w:tcPr>
            <w:tcW w:w="1236" w:type="dxa"/>
            <w:tcBorders>
              <w:top w:val="single" w:color="auto" w:sz="12" w:space="0"/>
              <w:left w:val="single" w:color="auto" w:sz="4" w:space="0"/>
              <w:bottom w:val="single" w:color="auto" w:sz="12"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2019年</w:t>
            </w:r>
          </w:p>
        </w:tc>
      </w:tr>
      <w:tr>
        <w:tblPrEx>
          <w:tblLayout w:type="fixed"/>
          <w:tblCellMar>
            <w:top w:w="0" w:type="dxa"/>
            <w:left w:w="108" w:type="dxa"/>
            <w:bottom w:w="0" w:type="dxa"/>
            <w:right w:w="108" w:type="dxa"/>
          </w:tblCellMar>
        </w:tblPrEx>
        <w:trPr>
          <w:trHeight w:val="662" w:hRule="atLeast"/>
        </w:trPr>
        <w:tc>
          <w:tcPr>
            <w:tcW w:w="2479" w:type="dxa"/>
            <w:tcBorders>
              <w:top w:val="single" w:color="auto" w:sz="12"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GDP</w:t>
            </w:r>
          </w:p>
        </w:tc>
        <w:tc>
          <w:tcPr>
            <w:tcW w:w="146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843.38</w:t>
            </w:r>
          </w:p>
        </w:tc>
        <w:tc>
          <w:tcPr>
            <w:tcW w:w="121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898.14</w:t>
            </w:r>
          </w:p>
        </w:tc>
        <w:tc>
          <w:tcPr>
            <w:tcW w:w="1236"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977.38</w:t>
            </w:r>
          </w:p>
        </w:tc>
        <w:tc>
          <w:tcPr>
            <w:tcW w:w="124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1067.82</w:t>
            </w:r>
          </w:p>
        </w:tc>
        <w:tc>
          <w:tcPr>
            <w:tcW w:w="1236" w:type="dxa"/>
            <w:tcBorders>
              <w:top w:val="single" w:color="auto" w:sz="12" w:space="0"/>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1295.44</w:t>
            </w:r>
          </w:p>
        </w:tc>
      </w:tr>
      <w:tr>
        <w:tblPrEx>
          <w:tblLayout w:type="fixed"/>
          <w:tblCellMar>
            <w:top w:w="0" w:type="dxa"/>
            <w:left w:w="108" w:type="dxa"/>
            <w:bottom w:w="0" w:type="dxa"/>
            <w:right w:w="108" w:type="dxa"/>
          </w:tblCellMar>
        </w:tblPrEx>
        <w:trPr>
          <w:trHeight w:val="648" w:hRule="atLeast"/>
        </w:trPr>
        <w:tc>
          <w:tcPr>
            <w:tcW w:w="2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GDP增速</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8.0</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8.5</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8.4</w:t>
            </w:r>
          </w:p>
        </w:tc>
        <w:tc>
          <w:tcPr>
            <w:tcW w:w="1236"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8.0</w:t>
            </w:r>
          </w:p>
        </w:tc>
      </w:tr>
      <w:tr>
        <w:tblPrEx>
          <w:tblLayout w:type="fixed"/>
          <w:tblCellMar>
            <w:top w:w="0" w:type="dxa"/>
            <w:left w:w="108" w:type="dxa"/>
            <w:bottom w:w="0" w:type="dxa"/>
            <w:right w:w="108" w:type="dxa"/>
          </w:tblCellMar>
        </w:tblPrEx>
        <w:trPr>
          <w:trHeight w:val="708" w:hRule="atLeast"/>
        </w:trPr>
        <w:tc>
          <w:tcPr>
            <w:tcW w:w="2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第三产业增加值</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291.18</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332.73</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374.25</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427.52</w:t>
            </w:r>
          </w:p>
        </w:tc>
        <w:tc>
          <w:tcPr>
            <w:tcW w:w="1236"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494.53</w:t>
            </w:r>
          </w:p>
        </w:tc>
      </w:tr>
      <w:tr>
        <w:tblPrEx>
          <w:tblLayout w:type="fixed"/>
          <w:tblCellMar>
            <w:top w:w="0" w:type="dxa"/>
            <w:left w:w="108" w:type="dxa"/>
            <w:bottom w:w="0" w:type="dxa"/>
            <w:right w:w="108" w:type="dxa"/>
          </w:tblCellMar>
        </w:tblPrEx>
        <w:trPr>
          <w:trHeight w:val="672" w:hRule="atLeast"/>
        </w:trPr>
        <w:tc>
          <w:tcPr>
            <w:tcW w:w="2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住宿餐饮业增加值</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7.49</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7.68</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7.88</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8.74</w:t>
            </w:r>
          </w:p>
        </w:tc>
        <w:tc>
          <w:tcPr>
            <w:tcW w:w="1236"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20.16</w:t>
            </w:r>
          </w:p>
        </w:tc>
      </w:tr>
      <w:tr>
        <w:tblPrEx>
          <w:tblLayout w:type="fixed"/>
          <w:tblCellMar>
            <w:top w:w="0" w:type="dxa"/>
            <w:left w:w="108" w:type="dxa"/>
            <w:bottom w:w="0" w:type="dxa"/>
            <w:right w:w="108" w:type="dxa"/>
          </w:tblCellMar>
        </w:tblPrEx>
        <w:trPr>
          <w:trHeight w:val="402" w:hRule="atLeast"/>
        </w:trPr>
        <w:tc>
          <w:tcPr>
            <w:tcW w:w="24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住宿餐饮业增加值增速</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w:t>
            </w:r>
          </w:p>
        </w:tc>
        <w:tc>
          <w:tcPr>
            <w:tcW w:w="123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4.3</w:t>
            </w:r>
          </w:p>
        </w:tc>
        <w:tc>
          <w:tcPr>
            <w:tcW w:w="1236"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5.5</w:t>
            </w:r>
          </w:p>
        </w:tc>
      </w:tr>
      <w:tr>
        <w:tblPrEx>
          <w:tblLayout w:type="fixed"/>
          <w:tblCellMar>
            <w:top w:w="0" w:type="dxa"/>
            <w:left w:w="108" w:type="dxa"/>
            <w:bottom w:w="0" w:type="dxa"/>
            <w:right w:w="108" w:type="dxa"/>
          </w:tblCellMar>
        </w:tblPrEx>
        <w:trPr>
          <w:trHeight w:val="402" w:hRule="atLeast"/>
        </w:trPr>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住宿餐饮业增加值占GDP比重</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0.9</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0.8</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0.8</w:t>
            </w:r>
          </w:p>
        </w:tc>
        <w:tc>
          <w:tcPr>
            <w:tcW w:w="1236"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w:t>
            </w:r>
          </w:p>
        </w:tc>
      </w:tr>
      <w:tr>
        <w:tblPrEx>
          <w:tblLayout w:type="fixed"/>
          <w:tblCellMar>
            <w:top w:w="0" w:type="dxa"/>
            <w:left w:w="108" w:type="dxa"/>
            <w:bottom w:w="0" w:type="dxa"/>
            <w:right w:w="108" w:type="dxa"/>
          </w:tblCellMar>
        </w:tblPrEx>
        <w:trPr>
          <w:trHeight w:val="402" w:hRule="atLeast"/>
        </w:trPr>
        <w:tc>
          <w:tcPr>
            <w:tcW w:w="2479" w:type="dxa"/>
            <w:tcBorders>
              <w:top w:val="single" w:color="auto" w:sz="4" w:space="0"/>
              <w:left w:val="nil"/>
              <w:bottom w:val="single" w:color="auto" w:sz="12"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住宿餐饮业增加值贡献率</w:t>
            </w:r>
          </w:p>
        </w:tc>
        <w:tc>
          <w:tcPr>
            <w:tcW w:w="146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0.3</w:t>
            </w:r>
          </w:p>
        </w:tc>
        <w:tc>
          <w:tcPr>
            <w:tcW w:w="1212"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0.2</w:t>
            </w:r>
          </w:p>
        </w:tc>
        <w:tc>
          <w:tcPr>
            <w:tcW w:w="123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0.4</w:t>
            </w:r>
          </w:p>
        </w:tc>
        <w:tc>
          <w:tcPr>
            <w:tcW w:w="124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0.4</w:t>
            </w:r>
          </w:p>
        </w:tc>
        <w:tc>
          <w:tcPr>
            <w:tcW w:w="1236" w:type="dxa"/>
            <w:tcBorders>
              <w:top w:val="single" w:color="auto" w:sz="4" w:space="0"/>
              <w:left w:val="single" w:color="auto" w:sz="4" w:space="0"/>
              <w:bottom w:val="single" w:color="auto" w:sz="12"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w:t>
            </w:r>
          </w:p>
        </w:tc>
      </w:tr>
      <w:tr>
        <w:tblPrEx>
          <w:tblLayout w:type="fixed"/>
          <w:tblCellMar>
            <w:top w:w="0" w:type="dxa"/>
            <w:left w:w="108" w:type="dxa"/>
            <w:bottom w:w="0" w:type="dxa"/>
            <w:right w:w="108" w:type="dxa"/>
          </w:tblCellMar>
        </w:tblPrEx>
        <w:trPr>
          <w:trHeight w:val="402" w:hRule="atLeast"/>
        </w:trPr>
        <w:tc>
          <w:tcPr>
            <w:tcW w:w="2479" w:type="dxa"/>
            <w:tcBorders>
              <w:top w:val="single" w:color="auto" w:sz="12"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住宿餐饮业增加值拉动GDP增长</w:t>
            </w:r>
          </w:p>
        </w:tc>
        <w:tc>
          <w:tcPr>
            <w:tcW w:w="146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0.0</w:t>
            </w:r>
          </w:p>
        </w:tc>
        <w:tc>
          <w:tcPr>
            <w:tcW w:w="121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0.0</w:t>
            </w:r>
          </w:p>
        </w:tc>
        <w:tc>
          <w:tcPr>
            <w:tcW w:w="1236"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0.0</w:t>
            </w:r>
          </w:p>
        </w:tc>
        <w:tc>
          <w:tcPr>
            <w:tcW w:w="124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0.0</w:t>
            </w:r>
          </w:p>
        </w:tc>
        <w:tc>
          <w:tcPr>
            <w:tcW w:w="1236" w:type="dxa"/>
            <w:tcBorders>
              <w:top w:val="single" w:color="auto" w:sz="12" w:space="0"/>
              <w:left w:val="nil"/>
              <w:bottom w:val="single" w:color="auto" w:sz="4"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0.1</w:t>
            </w:r>
          </w:p>
        </w:tc>
      </w:tr>
      <w:tr>
        <w:tblPrEx>
          <w:tblLayout w:type="fixed"/>
          <w:tblCellMar>
            <w:top w:w="0" w:type="dxa"/>
            <w:left w:w="108" w:type="dxa"/>
            <w:bottom w:w="0" w:type="dxa"/>
            <w:right w:w="108" w:type="dxa"/>
          </w:tblCellMar>
        </w:tblPrEx>
        <w:trPr>
          <w:trHeight w:val="402" w:hRule="atLeast"/>
        </w:trPr>
        <w:tc>
          <w:tcPr>
            <w:tcW w:w="2479" w:type="dxa"/>
            <w:tcBorders>
              <w:top w:val="single" w:color="auto" w:sz="4" w:space="0"/>
              <w:left w:val="nil"/>
              <w:bottom w:val="single" w:color="auto" w:sz="12"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限上住宿餐饮业法人年末纳统数</w:t>
            </w:r>
          </w:p>
        </w:tc>
        <w:tc>
          <w:tcPr>
            <w:tcW w:w="146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w:t>
            </w:r>
          </w:p>
        </w:tc>
        <w:tc>
          <w:tcPr>
            <w:tcW w:w="1212"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w:t>
            </w:r>
          </w:p>
        </w:tc>
        <w:tc>
          <w:tcPr>
            <w:tcW w:w="123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w:t>
            </w:r>
          </w:p>
        </w:tc>
        <w:tc>
          <w:tcPr>
            <w:tcW w:w="124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w:t>
            </w:r>
          </w:p>
        </w:tc>
        <w:tc>
          <w:tcPr>
            <w:tcW w:w="1236" w:type="dxa"/>
            <w:tcBorders>
              <w:top w:val="single" w:color="auto" w:sz="4" w:space="0"/>
              <w:left w:val="single" w:color="auto" w:sz="4" w:space="0"/>
              <w:bottom w:val="single" w:color="auto" w:sz="12" w:space="0"/>
              <w:right w:val="nil"/>
            </w:tcBorders>
            <w:shd w:val="clear" w:color="auto" w:fill="auto"/>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w:t>
            </w:r>
          </w:p>
        </w:tc>
      </w:tr>
    </w:tbl>
    <w:p>
      <w:pPr>
        <w:keepNext w:val="0"/>
        <w:keepLines w:val="0"/>
        <w:pageBreakBefore w:val="0"/>
        <w:widowControl w:val="0"/>
        <w:kinsoku/>
        <w:wordWrap/>
        <w:overflowPunct/>
        <w:topLinePunct w:val="0"/>
        <w:autoSpaceDE/>
        <w:autoSpaceDN/>
        <w:bidi w:val="0"/>
        <w:adjustRightInd/>
        <w:snapToGrid/>
        <w:spacing w:before="224" w:beforeLines="70"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color w:val="auto"/>
          <w:sz w:val="32"/>
          <w:szCs w:val="32"/>
        </w:rPr>
        <w:t>2015-2019年南安市批发零售业和住宿餐饮业统计相关指标显示，2015-2018年批发零售业和住宿餐饮业增加值占GDP比重分别保持在9.0%和0.8%左右，2019年GDP核算以经普数据为基数，批发零售业增加值占比较上一年提高了2个百分点，住宿餐饮业则提高了0.8个百分点，批零住餐业在国民经济中的作用日益显现，在拉动GDP增长的幅度和对GDP的贡献率方面也逐步提高。分析其主要原因，一方面，相关主管部门积极督促达到限上标准的企业入库，2019年开始我市限上批发零售业法人（以下简称限上批零法人）纳统数有了较大幅度增长，截至2020年3月，限上批零法人已达206个，较2019年12月净增71个。另一方面，我市在对限上企业应统尽统的同时，认真做好限下企业（个体户）抽样调查，为批发零售业和住宿餐饮业增加值核算提供了比较翔实的统计数据。第四次经济普查摸清了我市批发零售和住宿餐饮业的家底，普查数据显示，2018年末我市批发零售业法人单位达到7055个，比2013年末增长354.9%；住宿餐饮业法人单位达到258个，比2013年末增长91.1%。财务指标方面，2018年末批发零售业法人企业营业收入和资产合计达到796.63亿元和261.77亿元，分别比2013年末增长214.3%和55.8%。法人单位数量和相关财务指标的快速增长为批零住餐业增加值的增长提供了基础。以批发零售业来看，2018年开始批发零售业增加值增速超过GDP增速，2019年甚至快于GDP增速3.4个百分点，其增加值比重在2019年达到近五年的最高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cs="Times New Roman" w:eastAsiaTheme="majorEastAsia"/>
          <w:b/>
          <w:sz w:val="36"/>
          <w:szCs w:val="36"/>
        </w:rPr>
      </w:pPr>
      <w:r>
        <w:rPr>
          <w:rFonts w:hint="default" w:ascii="Times New Roman" w:hAnsi="Times New Roman" w:eastAsia="黑体" w:cs="Times New Roman"/>
          <w:b w:val="0"/>
          <w:bCs/>
          <w:sz w:val="32"/>
          <w:szCs w:val="32"/>
        </w:rPr>
        <w:t>三、批零住餐业统计中应关注的几个问题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得益于我市近几年持续推进“第三产业提升年”活动，大力推动第三产业发展升级，通过“入库攻坚”引导企业“限下转限上”，批零住餐业步入快速发展通道。与此同时，我们也应该看到，行业统计中仍有一些问题值得关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楷体" w:hAnsi="楷体" w:eastAsia="楷体" w:cs="楷体"/>
          <w:color w:val="auto"/>
          <w:sz w:val="32"/>
          <w:szCs w:val="32"/>
        </w:rPr>
        <w:t>一是限上入库条件越来越严格。</w:t>
      </w:r>
      <w:r>
        <w:rPr>
          <w:rFonts w:hint="default" w:ascii="Times New Roman" w:hAnsi="Times New Roman" w:eastAsia="仿宋_GB2312" w:cs="Times New Roman"/>
          <w:color w:val="auto"/>
          <w:sz w:val="32"/>
          <w:szCs w:val="32"/>
        </w:rPr>
        <w:t>首先，国家统计制度规定限上企业只能按注册地法人统计，即注册地不在南安但实际销售经营在南安的法人公司和注册地在南安的非独立核算分公司无法入库纳统。比如城镇街道上常见的医药连锁公司因注册地不在南安，销售（零售）额只能在注册地统计。其次，2017年开始国家新增限上入库规定企业必须提供税务部门盖章的增值税纳税申报表，有一些实际经营达到限上标准的企业由于没有开票（增值税发票）而无法提供，原因是客户（个人消费者）不要求企业开具增值税发票用于抵扣进项或者报销。特别是住宿餐饮行业，长期以来消费者没有索要发票的习惯，以致出现很多实际规模达标的企业因税务申报收入未达标而无法纳统的情况。因此近几年限上住宿餐饮纳统数波动不大，维持在20-30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rPr>
        <w:t>二是企业统计基础工作薄弱，有待夯实。</w:t>
      </w:r>
      <w:r>
        <w:rPr>
          <w:rFonts w:hint="default" w:ascii="Times New Roman" w:hAnsi="Times New Roman" w:eastAsia="仿宋_GB2312" w:cs="Times New Roman"/>
          <w:color w:val="auto"/>
          <w:sz w:val="32"/>
          <w:szCs w:val="32"/>
        </w:rPr>
        <w:t>首先，统计工作不受企业管理层重视，统计部门和岗位大多被合并，由会计人员兼任统计（有的企业因人手不足甚至叫文员负责统计），统计工作并不是他们的主要工作，使得有些统计人员对统计工作敷衍应付，业务不熟，填报时随意性大，没有对待会计工作那种“一丝不苟”的严谨态度。其次，统计人员变动频繁，工作交接不规范，统计数据存在前后口径不一致等数据混乱的情况。举例来说，部分会计人员在统计和会计概念上对销售额这个指标的理解有误区，统计上的销售额包含销项税，会计上的销售额实际上是不含税的销售收入，前者统计范畴大于后者。很多会计人员初次上报统计报表时把两个概念等同起来，上报的销售额变成了销售收入，造成了漏统错统，虽然不是会计人员主观上想瞒报，但客观上使得该企业统计数据准确性受到了影响。再比如，有的企业有注册分公司，由于分公司作为产业活动单位无法进行独立核算，按照统计制度规定，其销售额要汇总到总公司统一申报，但企业统计人员要么基于省事的想法，要么由于业务不熟只上报公司本部的数据，这样另一种形式的数据流失就产生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rPr>
        <w:t>三是统计台账和统计原始记录不健全。</w:t>
      </w:r>
      <w:r>
        <w:rPr>
          <w:rFonts w:hint="default" w:ascii="Times New Roman" w:hAnsi="Times New Roman" w:eastAsia="仿宋_GB2312" w:cs="Times New Roman"/>
          <w:color w:val="auto"/>
          <w:sz w:val="32"/>
          <w:szCs w:val="32"/>
        </w:rPr>
        <w:t>有些企业统计人员身兼数职，有些企业干脆将财务外账委托给会计师事务所，企业统计人员或财务外账人员平时忙于报税做账，未对原始凭证进行整理归类，没有及时做好统计台账。报表期来临时存在“临时抱佛脚”现象，为了完成任务或者经统计部门催报后仓促填报，在报表上报系统审核出现核实（提示性）错误后没有认真思考相关数据的逻辑关系，利用原始记录核实数据，只是简单草率地填写说明，造成统计数据差错率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rPr>
        <w:t>四是新业态统计出现难点。</w:t>
      </w:r>
      <w:r>
        <w:rPr>
          <w:rFonts w:hint="default" w:ascii="Times New Roman" w:hAnsi="Times New Roman" w:eastAsia="仿宋_GB2312" w:cs="Times New Roman"/>
          <w:color w:val="auto"/>
          <w:sz w:val="32"/>
          <w:szCs w:val="32"/>
        </w:rPr>
        <w:t>作为新业态、新商业模式的典型代表，电子商务的出现为商贸流通业带来了变革，极大地改变了商业业态以及销售者和消费者的沟通方式，方便了人民的生活。然而，目前我国对电子商务的税收征管并未全面开展，很多达标的电商企业对入库纳统存在疑虑，担心一旦入库报送统计数据，税务部门会“秋后算账”找上门来，导致经营成本大幅上升。目前入库纳统的限上电商企业较多缺乏专业的财务人员，统计工作基本由其他人员兼任，这些人员没有相应的会计、统计知识，无法胜任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cs="Times New Roman" w:eastAsiaTheme="majorEastAsia"/>
          <w:b/>
          <w:sz w:val="36"/>
          <w:szCs w:val="36"/>
        </w:rPr>
      </w:pPr>
      <w:r>
        <w:rPr>
          <w:rFonts w:hint="eastAsia" w:ascii="黑体" w:hAnsi="黑体" w:eastAsia="黑体" w:cs="黑体"/>
          <w:b w:val="0"/>
          <w:bCs/>
          <w:sz w:val="32"/>
          <w:szCs w:val="32"/>
        </w:rPr>
        <w:t>四、对策及建议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rPr>
        <w:t>一是加大宣传工作，引导企业自上而下重视统计工作。</w:t>
      </w:r>
      <w:r>
        <w:rPr>
          <w:rFonts w:hint="default" w:ascii="Times New Roman" w:hAnsi="Times New Roman" w:eastAsia="仿宋_GB2312" w:cs="Times New Roman"/>
          <w:color w:val="auto"/>
          <w:sz w:val="32"/>
          <w:szCs w:val="32"/>
        </w:rPr>
        <w:t>积极向社会宣传统计法，让社会大众和企业相关人员重视统计工作，充分认识到统计是掌握社会经济发展规律的有力工具，不但是政府进行科学决策和宏观调控前的重要手段，而且能在企业管理和经营中提供参考依据，发挥重要作用，保障企业健康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rPr>
        <w:t>二是引导企业规范经营，如实申报统计数据。</w:t>
      </w:r>
      <w:r>
        <w:rPr>
          <w:rFonts w:hint="default" w:ascii="Times New Roman" w:hAnsi="Times New Roman" w:eastAsia="仿宋_GB2312" w:cs="Times New Roman"/>
          <w:color w:val="auto"/>
          <w:sz w:val="32"/>
          <w:szCs w:val="32"/>
        </w:rPr>
        <w:t>通过有奖发票活动鼓励消费者向商家索取发票，养成消费后及时索要发票的好习惯，依法维护自身的合法权益。通过此举倒逼企业规范发票开具和使用，既可以避免国家税收流失，又可以督促企业依法纳统。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rPr>
        <w:t>三是健全统计工作基础，从源头提高数据质量。</w:t>
      </w:r>
      <w:r>
        <w:rPr>
          <w:rFonts w:hint="default" w:ascii="Times New Roman" w:hAnsi="Times New Roman" w:eastAsia="仿宋_GB2312" w:cs="Times New Roman"/>
          <w:color w:val="auto"/>
          <w:sz w:val="32"/>
          <w:szCs w:val="32"/>
        </w:rPr>
        <w:t>政府统计部门要采取定期统一培训、个别指导帮助相结合的方式加大对企业统计人员的业务指导力度，提前消除统计指标的盲区。建议企业逐步提高统计人员工资待遇，激发统计人员的积极性，不再把统计工作简单化，认为统计是简单的加减乘除，从而只停留在“要数、算数、报数”层面。鼓励企业统计人员加强统计分析，发掘数据背后的规律，正确评价企业生产经营活动成果，找出薄弱环节，总结成功经验，为企业提出有价值的建议，促进企业不断提高生产管理水平，并对未来进行科学预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w:t>
      </w:r>
      <w:bookmarkStart w:id="0" w:name="_GoBack"/>
      <w:bookmarkEnd w:id="0"/>
      <w:r>
        <w:rPr>
          <w:rFonts w:hint="eastAsia" w:ascii="仿宋_GB2312" w:hAnsi="仿宋_GB2312" w:eastAsia="仿宋_GB2312" w:cs="仿宋_GB2312"/>
          <w:color w:val="000000"/>
          <w:kern w:val="0"/>
          <w:sz w:val="32"/>
          <w:szCs w:val="32"/>
          <w:lang w:val="en-US" w:eastAsia="zh-CN" w:bidi="ar-SA"/>
        </w:rPr>
        <w:t>（南安市统计局 王志伟）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val="en-US" w:eastAsia="zh-CN"/>
        </w:rPr>
      </w:pPr>
      <w:r>
        <w:rPr>
          <w:rFonts w:hint="eastAsia" w:eastAsia="仿宋_GB2312"/>
          <w:lang w:eastAsia="zh-CN"/>
        </w:rPr>
        <w:drawing>
          <wp:inline distT="0" distB="0" distL="114300" distR="114300">
            <wp:extent cx="1212850" cy="1212850"/>
            <wp:effectExtent l="0" t="0" r="6350" b="6350"/>
            <wp:docPr id="1" name="图片 1"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1eebab0522fd_258"/>
                    <pic:cNvPicPr>
                      <a:picLocks noChangeAspect="1"/>
                    </pic:cNvPicPr>
                  </pic:nvPicPr>
                  <pic:blipFill>
                    <a:blip r:embed="rId6"/>
                    <a:stretch>
                      <a:fillRect/>
                    </a:stretch>
                  </pic:blipFill>
                  <pic:spPr>
                    <a:xfrm>
                      <a:off x="0" y="0"/>
                      <a:ext cx="1212850" cy="1212850"/>
                    </a:xfrm>
                    <a:prstGeom prst="rect">
                      <a:avLst/>
                    </a:prstGeom>
                    <a:noFill/>
                    <a:ln w="9525">
                      <a:noFill/>
                    </a:ln>
                  </pic:spPr>
                </pic:pic>
              </a:graphicData>
            </a:graphic>
          </wp:inline>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24"/>
          <w:szCs w:val="21"/>
          <w:lang w:val="en-US" w:eastAsia="zh-CN"/>
        </w:rPr>
        <w:t>扫码关注南安市统计局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p>
    <w:sectPr>
      <w:footerReference r:id="rId4" w:type="default"/>
      <w:pgSz w:w="11906" w:h="16838"/>
      <w:pgMar w:top="2098" w:right="1474" w:bottom="1984"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51094086"/>
                </w:sdtPr>
                <w:sdt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F4D4E"/>
    <w:rsid w:val="00021A7F"/>
    <w:rsid w:val="0002638D"/>
    <w:rsid w:val="00070B40"/>
    <w:rsid w:val="00087F69"/>
    <w:rsid w:val="000A4064"/>
    <w:rsid w:val="000E77CE"/>
    <w:rsid w:val="000F2DAB"/>
    <w:rsid w:val="00100614"/>
    <w:rsid w:val="00144A3F"/>
    <w:rsid w:val="001451DC"/>
    <w:rsid w:val="0018501D"/>
    <w:rsid w:val="001851B8"/>
    <w:rsid w:val="001E2B4B"/>
    <w:rsid w:val="001E6A5D"/>
    <w:rsid w:val="0022118E"/>
    <w:rsid w:val="00235F87"/>
    <w:rsid w:val="00236ECA"/>
    <w:rsid w:val="00265118"/>
    <w:rsid w:val="00291F75"/>
    <w:rsid w:val="002A468D"/>
    <w:rsid w:val="002C2DB4"/>
    <w:rsid w:val="002C31E2"/>
    <w:rsid w:val="002C4B91"/>
    <w:rsid w:val="002E4D61"/>
    <w:rsid w:val="00330CAB"/>
    <w:rsid w:val="00351B9B"/>
    <w:rsid w:val="00396674"/>
    <w:rsid w:val="003D700D"/>
    <w:rsid w:val="003F3B80"/>
    <w:rsid w:val="004343A0"/>
    <w:rsid w:val="00452E65"/>
    <w:rsid w:val="00461C6F"/>
    <w:rsid w:val="004866BF"/>
    <w:rsid w:val="00497A15"/>
    <w:rsid w:val="004D23BB"/>
    <w:rsid w:val="005475B2"/>
    <w:rsid w:val="00552644"/>
    <w:rsid w:val="0057659A"/>
    <w:rsid w:val="00577C84"/>
    <w:rsid w:val="005A441B"/>
    <w:rsid w:val="005A7B4F"/>
    <w:rsid w:val="005F4E3C"/>
    <w:rsid w:val="006054CB"/>
    <w:rsid w:val="00605796"/>
    <w:rsid w:val="00614895"/>
    <w:rsid w:val="0062254D"/>
    <w:rsid w:val="0063402C"/>
    <w:rsid w:val="00640996"/>
    <w:rsid w:val="00667CEE"/>
    <w:rsid w:val="00677B7A"/>
    <w:rsid w:val="006C6906"/>
    <w:rsid w:val="006E0DE0"/>
    <w:rsid w:val="00704F5E"/>
    <w:rsid w:val="00766553"/>
    <w:rsid w:val="007F273D"/>
    <w:rsid w:val="008315B5"/>
    <w:rsid w:val="00866E2F"/>
    <w:rsid w:val="008C0720"/>
    <w:rsid w:val="008D561F"/>
    <w:rsid w:val="008F3BFA"/>
    <w:rsid w:val="0091067F"/>
    <w:rsid w:val="00917ED8"/>
    <w:rsid w:val="00986AB9"/>
    <w:rsid w:val="009B4F04"/>
    <w:rsid w:val="009D6A16"/>
    <w:rsid w:val="009E7DBD"/>
    <w:rsid w:val="009F1215"/>
    <w:rsid w:val="00A01AE3"/>
    <w:rsid w:val="00A04934"/>
    <w:rsid w:val="00A200A4"/>
    <w:rsid w:val="00A273B2"/>
    <w:rsid w:val="00A559F6"/>
    <w:rsid w:val="00A62A56"/>
    <w:rsid w:val="00A90CD4"/>
    <w:rsid w:val="00AA2400"/>
    <w:rsid w:val="00AC293D"/>
    <w:rsid w:val="00B05749"/>
    <w:rsid w:val="00B24BAF"/>
    <w:rsid w:val="00B3132B"/>
    <w:rsid w:val="00B4556C"/>
    <w:rsid w:val="00B83E83"/>
    <w:rsid w:val="00B9167A"/>
    <w:rsid w:val="00BB0F00"/>
    <w:rsid w:val="00BC1641"/>
    <w:rsid w:val="00BC5B8F"/>
    <w:rsid w:val="00BE39DE"/>
    <w:rsid w:val="00C101EA"/>
    <w:rsid w:val="00C42C66"/>
    <w:rsid w:val="00CA1BE3"/>
    <w:rsid w:val="00CD772D"/>
    <w:rsid w:val="00CE2FB6"/>
    <w:rsid w:val="00CF0041"/>
    <w:rsid w:val="00D101C1"/>
    <w:rsid w:val="00D46782"/>
    <w:rsid w:val="00D47840"/>
    <w:rsid w:val="00D8539E"/>
    <w:rsid w:val="00DE7C61"/>
    <w:rsid w:val="00E12B7D"/>
    <w:rsid w:val="00E201EB"/>
    <w:rsid w:val="00E73F3F"/>
    <w:rsid w:val="00E92A53"/>
    <w:rsid w:val="00E93F04"/>
    <w:rsid w:val="00ED2B1A"/>
    <w:rsid w:val="00ED4BF6"/>
    <w:rsid w:val="00F73F4A"/>
    <w:rsid w:val="00F84EBB"/>
    <w:rsid w:val="00F90861"/>
    <w:rsid w:val="00FA247B"/>
    <w:rsid w:val="00FA7214"/>
    <w:rsid w:val="00FA7CE7"/>
    <w:rsid w:val="00FB7EB2"/>
    <w:rsid w:val="00FC7929"/>
    <w:rsid w:val="00FE1354"/>
    <w:rsid w:val="00FF4D4E"/>
    <w:rsid w:val="354D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3"/>
    <w:unhideWhenUsed/>
    <w:qFormat/>
    <w:uiPriority w:val="99"/>
    <w:rPr>
      <w:rFonts w:ascii="宋体" w:eastAsia="宋体"/>
      <w:sz w:val="18"/>
      <w:szCs w:val="18"/>
    </w:rPr>
  </w:style>
  <w:style w:type="paragraph" w:styleId="3">
    <w:name w:val="Balloon Text"/>
    <w:basedOn w:val="1"/>
    <w:link w:val="12"/>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 w:type="character" w:customStyle="1" w:styleId="12">
    <w:name w:val="批注框文本 Char"/>
    <w:basedOn w:val="6"/>
    <w:link w:val="3"/>
    <w:semiHidden/>
    <w:qFormat/>
    <w:uiPriority w:val="99"/>
    <w:rPr>
      <w:sz w:val="18"/>
      <w:szCs w:val="18"/>
    </w:rPr>
  </w:style>
  <w:style w:type="character" w:customStyle="1" w:styleId="13">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03972-96A2-432C-9084-BC5D272A69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601</Words>
  <Characters>3427</Characters>
  <Lines>28</Lines>
  <Paragraphs>8</Paragraphs>
  <TotalTime>0</TotalTime>
  <ScaleCrop>false</ScaleCrop>
  <LinksUpToDate>false</LinksUpToDate>
  <CharactersWithSpaces>4020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2020-04-26T01:40:00Z</dcterms:created>
  <dc:creator>User</dc:creator>
  <cp:lastModifiedBy>HP</cp:lastModifiedBy>
  <cp:lastPrinted>2020-04-27T02:50:00Z</cp:lastPrinted>
  <dcterms:modified xsi:type="dcterms:W3CDTF">2020-04-28T07:50:28Z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