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/>
          <w:sz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南水〔2020〕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85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kern w:val="0"/>
          <w:sz w:val="44"/>
          <w:szCs w:val="44"/>
          <w:lang w:eastAsia="zh-CN"/>
        </w:rPr>
        <w:t>南安市水利局关于2020年度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kern w:val="0"/>
          <w:sz w:val="44"/>
          <w:szCs w:val="44"/>
          <w:lang w:eastAsia="zh-CN"/>
        </w:rPr>
        <w:t>水电站安全生产检查情况的通报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17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各有关乡镇（街道）人民政府（办事处），水电站主管单位，各水电站业主：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《泉州市水利局关于规范和加强农村水电安全生产的通知》和《南安市水利行业安全生产百日攻坚行动方案》的通知要求，我局已通知各水电站和相关责任单位开展安全生产隐患大排查，落实整改措施，消除安全隐患。3月27日至4月27日期间，我局安排相关技术人员，重点抽查东溪主河道4座电站（新兰、梅山蓉溪、梅山梅峰、洪濑西林）、西溪主河道1座电站（仑苍兴华），共5座电站安全生产隐患排查，并对存在重大安全隐患的电站，现场开具整改通知书，限期整改。现将有关检查情况通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（一）新兰水电站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1、厂房车间堆放杂物，环境卫生差；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2、安全警示标志和安全设施不完善，消防灭火器、安全工器具配备不全，摆放位置不规范。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（二）蓉溪水电站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1、厂房车间堆放杂物，卫生脏乱差，车间内晾晒衣物，门窗缺失破损严重，电缆沟内电缆布线杂乱，盖板缺失，极易发生电气短路火灾，水轮机皮带轮未设置安全防护栏；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2、控制室杂乱（三合一），控制台、配电屏布线混乱，存在重大消防安全隐患；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3、机电设备老化严重，带电设备未悬挂警示标志；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4、安全设施不完善，消防灭火器、安全工器具配备不全，摆放位置不规范；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5、电站未做度汛预案。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（三）梅峰水电站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1、厂房屋面为木</w:t>
      </w:r>
      <w:r>
        <w:rPr>
          <w:rFonts w:hint="eastAsia" w:eastAsia="仿宋_GB2312" w:cs="Times New Roman"/>
          <w:sz w:val="32"/>
          <w:szCs w:val="32"/>
          <w:lang w:eastAsia="zh-CN"/>
        </w:rPr>
        <w:t>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结构和瓦片，车间地面为木</w:t>
      </w:r>
      <w:r>
        <w:rPr>
          <w:rFonts w:hint="eastAsia" w:eastAsia="仿宋_GB2312" w:cs="Times New Roman"/>
          <w:sz w:val="32"/>
          <w:szCs w:val="32"/>
          <w:lang w:eastAsia="zh-CN"/>
        </w:rPr>
        <w:t>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结构地板，存在安全隐患，车间堆放杂物；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2、控制室内，控制台、配电屏锈蚀严重，布线混乱，极易发生电气短路火灾；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3、水轮发电机组、升压站设备老化严重，布局混乱，带电设备未悬挂警示标志；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4、安全设施不完善，消防灭火器、安全工器具配备不全，摆放位置不规范；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5、电站未做度汛预案。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（四）洪濑西林水电站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1、进站路、桥、临水边坡、拦污栅工作桥未设置安全防护栏或设置不规范；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2、厂房车间堆放杂物，卫生脏乱差，门窗扇未安装，发电机出线电缆布线杂乱，极易发生电气短路火灾，水轮机皮带轮未设置安全防护栏，水轮机检修口（吊物口）安全防护不规范；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3、控制室杂乱（三合一），隔墙（板）材料未符合防火要求，控制台、配电屏布线混乱，极易发生电气短路火灾；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4、安全警示标志和安全设施不完善，消防灭火器、安全工器具配备不全，摆放位置不规范；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5、电站未做度汛预案；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6、电站运行人员已超龄。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（五）仑苍兴华水电站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1、厂房车间堆放杂物，环境卫生差；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2、安全警示标志和安全设施不完善，消防灭火器、安全工器具配备不全，摆放位置不规范。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（一）新兰、仑苍兴华水电站对安全生产管理比较到位，但也存在一些薄弱环节，主要体现在：安全警示标志和安全设施不完善，安全工器具不足，请电站业主单位抓紧整改；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（二）蓉溪水电站存在重大安全隐患，建议停运整改，整改合格后方可投入运行；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（三）梅峰水电站建于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20世纪70年代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，至今已运行40多年，厂房结构存在安全隐患，机组设备严重老化，建议退出运行或技术改造；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（四）西林水电站存在重大安全隐患，建议停运整改，整改合格后再投入运行；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三、下一步工作意见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我市已建成水电站105座，现已有25座电站退出或停运。大多数水电站建于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20世纪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七八十年代，开发早，装机容量小，运行时限长，机电设备老化严重。因资金投入不足，多数电站存在重大安全隐患。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进一步规范和加强农村水电安全生产工作，及时发现并消除安全隐患，压实安全生产责任，提高安全生产管理水平，按照《泉州市水利局转发关于做好防疫条件下小水电安全度汛工作的通知》《泉州市水利局关于做好10万立方米以下重点小水电站排查工作的通知》和《泉州市水利局关于加强农村水电站厂房、办公楼、宿舍等建筑物安全生产管理的通知》的通知要求，请各有关乡镇（街道）人民政府（办事处），按照水电站安全生产“四类责任主体”责任制，做好以下安全生产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（一）统筹做好本辖区内所有的农村水电站安全度汛工作，全面开展隐患排查治理，督促电站业主做好值班值守和通信保障，加强监督检查和技术指导；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（二）做好10万立方米以下重点小水电站安全生产隐患排查整治工作，要突出挡水建筑物、前池等关键部位，开展隐患排查，落实值班值守制度，严防出现垮坝、溃决等重大安全事件；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各有关乡镇（街道）人民政府（办事处）要对本辖区内所有的农村水电站厂房、办公楼、宿舍等建筑物开展全面排查“四无”（无审批手续、无专业设计、无专业施工、无竣工验收）房屋，并造册登记管理，特别是排查擅自改变使用功能、加层、改扩建，改变承重结构的房屋，做到应查尽查，不漏一厂一房一舍；对排查出有安全隐患的房屋，责成业主委托有资质的单位进行安全性鉴定，并根据鉴定结果采取相应的处置措施，确保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leftChars="0" w:right="0" w:rightChars="0" w:hanging="5280" w:hangingChars="165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南安市水利局</w:t>
      </w:r>
    </w:p>
    <w:p>
      <w:pPr>
        <w:keepNext w:val="0"/>
        <w:keepLines w:val="0"/>
        <w:pageBreakBefore w:val="0"/>
        <w:widowControl w:val="0"/>
        <w:tabs>
          <w:tab w:val="left" w:pos="7350"/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leftChars="0" w:right="0" w:rightChars="0" w:hanging="5280" w:hangingChars="165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350"/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211" w:right="1474" w:bottom="1984" w:left="164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</w:rPr>
        <w:t>抄送：</w:t>
      </w:r>
      <w:r>
        <w:rPr>
          <w:rFonts w:hint="eastAsia" w:eastAsia="仿宋"/>
          <w:sz w:val="28"/>
          <w:szCs w:val="28"/>
          <w:lang w:eastAsia="zh-CN"/>
        </w:rPr>
        <w:t>泉州市水利局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南安市水利局办公室                    </w:t>
      </w:r>
      <w:r>
        <w:rPr>
          <w:rFonts w:hint="eastAsia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20</w:t>
      </w:r>
      <w:r>
        <w:rPr>
          <w:rFonts w:hint="eastAsia" w:eastAsia="仿宋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月13日印发</w:t>
      </w:r>
    </w:p>
    <w:sectPr>
      <w:footerReference r:id="rId6" w:type="default"/>
      <w:pgSz w:w="11906" w:h="16838"/>
      <w:pgMar w:top="2211" w:right="1474" w:bottom="1984" w:left="1644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149B2"/>
    <w:rsid w:val="249B42F4"/>
    <w:rsid w:val="27525782"/>
    <w:rsid w:val="288F5603"/>
    <w:rsid w:val="291D5424"/>
    <w:rsid w:val="3268405C"/>
    <w:rsid w:val="374339B7"/>
    <w:rsid w:val="3F541693"/>
    <w:rsid w:val="67546A38"/>
    <w:rsid w:val="676F68ED"/>
    <w:rsid w:val="6EE227F9"/>
    <w:rsid w:val="767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line="500" w:lineRule="exact"/>
      <w:ind w:firstLine="720" w:firstLineChars="22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9">
    <w:name w:val="_Style 3"/>
    <w:basedOn w:val="2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2020-03-10T01:25:00Z</cp:lastPrinted>
  <dcterms:modified xsi:type="dcterms:W3CDTF">2020-05-14T07:42:26Z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