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48" w:rsidRPr="00557610" w:rsidRDefault="004A1748" w:rsidP="004A1748">
      <w:pPr>
        <w:rPr>
          <w:rFonts w:ascii="黑体" w:eastAsia="黑体" w:hAnsi="黑体"/>
          <w:sz w:val="32"/>
          <w:szCs w:val="32"/>
        </w:rPr>
      </w:pPr>
    </w:p>
    <w:p w:rsidR="004A1748" w:rsidRDefault="004A1748" w:rsidP="00894D4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2019年度南安市直机关普法责任清单</w:t>
      </w:r>
    </w:p>
    <w:p w:rsidR="004A1748" w:rsidRDefault="004A1748" w:rsidP="00894D4F">
      <w:pPr>
        <w:rPr>
          <w:rFonts w:ascii="仿宋_GB2312" w:eastAsia="仿宋_GB2312"/>
          <w:sz w:val="32"/>
          <w:szCs w:val="32"/>
        </w:rPr>
      </w:pPr>
    </w:p>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2209"/>
        <w:gridCol w:w="2209"/>
        <w:gridCol w:w="2730"/>
        <w:gridCol w:w="1688"/>
        <w:gridCol w:w="2210"/>
      </w:tblGrid>
      <w:tr w:rsidR="004A1748" w:rsidTr="00555BBB">
        <w:trPr>
          <w:trHeight w:val="1120"/>
        </w:trPr>
        <w:tc>
          <w:tcPr>
            <w:tcW w:w="2209" w:type="dxa"/>
            <w:tcBorders>
              <w:tl2br w:val="single" w:sz="4" w:space="0" w:color="auto"/>
            </w:tcBorders>
          </w:tcPr>
          <w:p w:rsidR="004A1748" w:rsidRDefault="004A1748" w:rsidP="00894D4F">
            <w:pPr>
              <w:ind w:firstLineChars="400" w:firstLine="1280"/>
              <w:rPr>
                <w:rFonts w:ascii="黑体" w:eastAsia="黑体" w:hAnsi="黑体" w:cs="黑体"/>
                <w:sz w:val="32"/>
                <w:szCs w:val="32"/>
              </w:rPr>
            </w:pPr>
            <w:r>
              <w:rPr>
                <w:rFonts w:ascii="黑体" w:eastAsia="黑体" w:hAnsi="黑体" w:cs="黑体" w:hint="eastAsia"/>
                <w:sz w:val="32"/>
                <w:szCs w:val="32"/>
              </w:rPr>
              <w:t>任务</w:t>
            </w:r>
          </w:p>
          <w:p w:rsidR="004A1748" w:rsidRDefault="004A1748" w:rsidP="00894D4F">
            <w:pPr>
              <w:rPr>
                <w:rFonts w:ascii="黑体" w:eastAsia="黑体" w:hAnsi="黑体" w:cs="黑体"/>
                <w:sz w:val="32"/>
                <w:szCs w:val="32"/>
              </w:rPr>
            </w:pPr>
            <w:r>
              <w:rPr>
                <w:rFonts w:ascii="黑体" w:eastAsia="黑体" w:hAnsi="黑体" w:cs="黑体" w:hint="eastAsia"/>
                <w:sz w:val="32"/>
                <w:szCs w:val="32"/>
              </w:rPr>
              <w:t>单位</w:t>
            </w:r>
          </w:p>
        </w:tc>
        <w:tc>
          <w:tcPr>
            <w:tcW w:w="2209" w:type="dxa"/>
            <w:vAlign w:val="center"/>
          </w:tcPr>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年度重点宣传</w:t>
            </w:r>
          </w:p>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普及法律法规</w:t>
            </w:r>
          </w:p>
        </w:tc>
        <w:tc>
          <w:tcPr>
            <w:tcW w:w="2209" w:type="dxa"/>
            <w:vAlign w:val="center"/>
          </w:tcPr>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机关内部</w:t>
            </w:r>
          </w:p>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学法活动</w:t>
            </w:r>
          </w:p>
        </w:tc>
        <w:tc>
          <w:tcPr>
            <w:tcW w:w="2730" w:type="dxa"/>
            <w:vAlign w:val="center"/>
          </w:tcPr>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面向执法（服务、管理）对象及社会公众开展的普法活动</w:t>
            </w:r>
          </w:p>
        </w:tc>
        <w:tc>
          <w:tcPr>
            <w:tcW w:w="1688" w:type="dxa"/>
            <w:vAlign w:val="center"/>
          </w:tcPr>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重点普法</w:t>
            </w:r>
          </w:p>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对象</w:t>
            </w:r>
          </w:p>
        </w:tc>
        <w:tc>
          <w:tcPr>
            <w:tcW w:w="2210" w:type="dxa"/>
            <w:vAlign w:val="center"/>
          </w:tcPr>
          <w:p w:rsidR="004A1748" w:rsidRDefault="004A1748" w:rsidP="00894D4F">
            <w:pPr>
              <w:spacing w:line="400" w:lineRule="exact"/>
              <w:rPr>
                <w:rFonts w:ascii="黑体" w:eastAsia="黑体" w:hAnsi="黑体" w:cs="黑体"/>
                <w:sz w:val="28"/>
                <w:szCs w:val="28"/>
              </w:rPr>
            </w:pPr>
            <w:r>
              <w:rPr>
                <w:rFonts w:ascii="黑体" w:eastAsia="黑体" w:hAnsi="黑体" w:cs="黑体" w:hint="eastAsia"/>
                <w:sz w:val="28"/>
                <w:szCs w:val="28"/>
              </w:rPr>
              <w:t>与其他部门联合开展的普法活动</w:t>
            </w:r>
          </w:p>
        </w:tc>
      </w:tr>
      <w:tr w:rsidR="004A1748" w:rsidTr="00894D4F">
        <w:trPr>
          <w:trHeight w:val="5333"/>
        </w:trPr>
        <w:tc>
          <w:tcPr>
            <w:tcW w:w="2209" w:type="dxa"/>
          </w:tcPr>
          <w:p w:rsidR="004A1748" w:rsidRDefault="00555BBB" w:rsidP="00894D4F">
            <w:pPr>
              <w:rPr>
                <w:rFonts w:ascii="仿宋_GB2312" w:eastAsia="仿宋_GB2312"/>
                <w:sz w:val="32"/>
                <w:szCs w:val="32"/>
              </w:rPr>
            </w:pPr>
            <w:r>
              <w:rPr>
                <w:rFonts w:ascii="仿宋_GB2312" w:eastAsia="仿宋_GB2312" w:hint="eastAsia"/>
                <w:sz w:val="32"/>
                <w:szCs w:val="32"/>
              </w:rPr>
              <w:t>南安市审计局</w:t>
            </w:r>
          </w:p>
        </w:tc>
        <w:tc>
          <w:tcPr>
            <w:tcW w:w="2209" w:type="dxa"/>
          </w:tcPr>
          <w:p w:rsidR="004A1748" w:rsidRPr="00647206" w:rsidRDefault="00555BBB" w:rsidP="00894D4F">
            <w:pPr>
              <w:rPr>
                <w:rFonts w:asciiTheme="minorEastAsia" w:eastAsiaTheme="minorEastAsia" w:hAnsiTheme="minorEastAsia"/>
                <w:sz w:val="32"/>
                <w:szCs w:val="32"/>
              </w:rPr>
            </w:pPr>
            <w:r w:rsidRPr="00647206">
              <w:rPr>
                <w:rFonts w:asciiTheme="minorEastAsia" w:eastAsiaTheme="minorEastAsia" w:hAnsiTheme="minorEastAsia" w:hint="eastAsia"/>
                <w:sz w:val="24"/>
              </w:rPr>
              <w:t>《宪法》、《审计法》《审计法实施条例》、《预算法》、《财政</w:t>
            </w:r>
            <w:r w:rsidR="007D54A2">
              <w:rPr>
                <w:rFonts w:asciiTheme="minorEastAsia" w:eastAsiaTheme="minorEastAsia" w:hAnsiTheme="minorEastAsia" w:hint="eastAsia"/>
                <w:sz w:val="24"/>
              </w:rPr>
              <w:t>违法</w:t>
            </w:r>
            <w:bookmarkStart w:id="0" w:name="_GoBack"/>
            <w:bookmarkEnd w:id="0"/>
            <w:r w:rsidRPr="00647206">
              <w:rPr>
                <w:rFonts w:asciiTheme="minorEastAsia" w:eastAsiaTheme="minorEastAsia" w:hAnsiTheme="minorEastAsia" w:hint="eastAsia"/>
                <w:sz w:val="24"/>
              </w:rPr>
              <w:t>行为处罚处分条例》、《领导干部自然资源资产离任审计规定（试行）》、《审计署关于内部审计工作的规定》</w:t>
            </w:r>
            <w:r w:rsidR="00EE1A51">
              <w:rPr>
                <w:rFonts w:asciiTheme="minorEastAsia" w:eastAsiaTheme="minorEastAsia" w:hAnsiTheme="minorEastAsia" w:hint="eastAsia"/>
                <w:sz w:val="24"/>
              </w:rPr>
              <w:t>、《党政主要领导干部和国有企事业单位主要领导人员经济责任审计规定》</w:t>
            </w:r>
            <w:r w:rsidRPr="00647206">
              <w:rPr>
                <w:rFonts w:asciiTheme="minorEastAsia" w:eastAsiaTheme="minorEastAsia" w:hAnsiTheme="minorEastAsia" w:hint="eastAsia"/>
                <w:sz w:val="24"/>
              </w:rPr>
              <w:t>等法律、法规、规章</w:t>
            </w:r>
            <w:r w:rsidR="00EB6348" w:rsidRPr="00647206">
              <w:rPr>
                <w:rFonts w:asciiTheme="minorEastAsia" w:eastAsiaTheme="minorEastAsia" w:hAnsiTheme="minorEastAsia" w:hint="eastAsia"/>
                <w:sz w:val="24"/>
              </w:rPr>
              <w:t>。</w:t>
            </w:r>
          </w:p>
        </w:tc>
        <w:tc>
          <w:tcPr>
            <w:tcW w:w="2209" w:type="dxa"/>
          </w:tcPr>
          <w:p w:rsidR="00555BBB" w:rsidRPr="00647206" w:rsidRDefault="00555BBB" w:rsidP="00894D4F">
            <w:pPr>
              <w:rPr>
                <w:rFonts w:asciiTheme="minorEastAsia" w:eastAsiaTheme="minorEastAsia" w:hAnsiTheme="minorEastAsia"/>
                <w:sz w:val="24"/>
              </w:rPr>
            </w:pPr>
            <w:r w:rsidRPr="00647206">
              <w:rPr>
                <w:rFonts w:asciiTheme="minorEastAsia" w:eastAsiaTheme="minorEastAsia" w:hAnsiTheme="minorEastAsia" w:hint="eastAsia"/>
                <w:sz w:val="24"/>
              </w:rPr>
              <w:t>1、举办法律法规专题学习</w:t>
            </w:r>
            <w:r w:rsidR="000D7F2C">
              <w:rPr>
                <w:rFonts w:asciiTheme="minorEastAsia" w:eastAsiaTheme="minorEastAsia" w:hAnsiTheme="minorEastAsia" w:hint="eastAsia"/>
                <w:sz w:val="24"/>
              </w:rPr>
              <w:t>会</w:t>
            </w:r>
            <w:r w:rsidRPr="00647206">
              <w:rPr>
                <w:rFonts w:asciiTheme="minorEastAsia" w:eastAsiaTheme="minorEastAsia" w:hAnsiTheme="minorEastAsia" w:hint="eastAsia"/>
                <w:sz w:val="24"/>
              </w:rPr>
              <w:t>、培训、讲座等；</w:t>
            </w:r>
          </w:p>
          <w:p w:rsidR="00555BBB" w:rsidRPr="00647206" w:rsidRDefault="00555BBB" w:rsidP="00894D4F">
            <w:pPr>
              <w:rPr>
                <w:rFonts w:asciiTheme="minorEastAsia" w:eastAsiaTheme="minorEastAsia" w:hAnsiTheme="minorEastAsia"/>
                <w:sz w:val="24"/>
              </w:rPr>
            </w:pPr>
            <w:r w:rsidRPr="00647206">
              <w:rPr>
                <w:rFonts w:asciiTheme="minorEastAsia" w:eastAsiaTheme="minorEastAsia" w:hAnsiTheme="minorEastAsia" w:hint="eastAsia"/>
                <w:sz w:val="24"/>
              </w:rPr>
              <w:t>2、</w:t>
            </w:r>
            <w:r w:rsidR="00EE1A51">
              <w:rPr>
                <w:rFonts w:asciiTheme="minorEastAsia" w:eastAsiaTheme="minorEastAsia" w:hAnsiTheme="minorEastAsia" w:hint="eastAsia"/>
                <w:sz w:val="24"/>
              </w:rPr>
              <w:t>征订</w:t>
            </w:r>
            <w:r w:rsidRPr="00647206">
              <w:rPr>
                <w:rFonts w:asciiTheme="minorEastAsia" w:eastAsiaTheme="minorEastAsia" w:hAnsiTheme="minorEastAsia" w:hint="eastAsia"/>
                <w:sz w:val="24"/>
              </w:rPr>
              <w:t>并发放相关学习书籍资料；</w:t>
            </w:r>
          </w:p>
          <w:p w:rsidR="004A1748" w:rsidRPr="00647206" w:rsidRDefault="00555BBB" w:rsidP="00894D4F">
            <w:pPr>
              <w:rPr>
                <w:rFonts w:asciiTheme="minorEastAsia" w:eastAsiaTheme="minorEastAsia" w:hAnsiTheme="minorEastAsia"/>
                <w:sz w:val="32"/>
                <w:szCs w:val="32"/>
              </w:rPr>
            </w:pPr>
            <w:r w:rsidRPr="00647206">
              <w:rPr>
                <w:rFonts w:asciiTheme="minorEastAsia" w:eastAsiaTheme="minorEastAsia" w:hAnsiTheme="minorEastAsia" w:hint="eastAsia"/>
                <w:sz w:val="24"/>
              </w:rPr>
              <w:t>3、</w:t>
            </w:r>
            <w:r w:rsidR="00647206">
              <w:rPr>
                <w:rFonts w:asciiTheme="minorEastAsia" w:eastAsiaTheme="minorEastAsia" w:hAnsiTheme="minorEastAsia" w:hint="eastAsia"/>
                <w:sz w:val="24"/>
              </w:rPr>
              <w:t>征集审计案例并</w:t>
            </w:r>
            <w:r w:rsidRPr="00647206">
              <w:rPr>
                <w:rFonts w:asciiTheme="minorEastAsia" w:eastAsiaTheme="minorEastAsia" w:hAnsiTheme="minorEastAsia" w:hint="eastAsia"/>
                <w:sz w:val="24"/>
              </w:rPr>
              <w:t>组织开展优秀审计项目评选活动，增强“以案释法”的效果。</w:t>
            </w:r>
          </w:p>
        </w:tc>
        <w:tc>
          <w:tcPr>
            <w:tcW w:w="2730" w:type="dxa"/>
          </w:tcPr>
          <w:p w:rsidR="004A1748" w:rsidRPr="00647206" w:rsidRDefault="00555BBB" w:rsidP="00894D4F">
            <w:pPr>
              <w:rPr>
                <w:rFonts w:asciiTheme="minorEastAsia" w:eastAsiaTheme="minorEastAsia" w:hAnsiTheme="minorEastAsia"/>
                <w:sz w:val="32"/>
                <w:szCs w:val="32"/>
              </w:rPr>
            </w:pPr>
            <w:r w:rsidRPr="00647206">
              <w:rPr>
                <w:rFonts w:asciiTheme="minorEastAsia" w:eastAsiaTheme="minorEastAsia" w:hAnsiTheme="minorEastAsia" w:hint="eastAsia"/>
                <w:sz w:val="24"/>
              </w:rPr>
              <w:t>结合审计项目，利用审计现场、审计宣讲、征订普法资料等</w:t>
            </w:r>
            <w:r w:rsidR="00EC6272">
              <w:rPr>
                <w:rFonts w:asciiTheme="minorEastAsia" w:eastAsiaTheme="minorEastAsia" w:hAnsiTheme="minorEastAsia" w:hint="eastAsia"/>
                <w:sz w:val="24"/>
              </w:rPr>
              <w:t>方</w:t>
            </w:r>
            <w:r w:rsidRPr="00647206">
              <w:rPr>
                <w:rFonts w:asciiTheme="minorEastAsia" w:eastAsiaTheme="minorEastAsia" w:hAnsiTheme="minorEastAsia" w:hint="eastAsia"/>
                <w:sz w:val="24"/>
              </w:rPr>
              <w:t>式对被审计</w:t>
            </w:r>
            <w:r w:rsidR="007E5CCF">
              <w:rPr>
                <w:rFonts w:asciiTheme="minorEastAsia" w:eastAsiaTheme="minorEastAsia" w:hAnsiTheme="minorEastAsia" w:hint="eastAsia"/>
                <w:sz w:val="24"/>
              </w:rPr>
              <w:t>对象</w:t>
            </w:r>
            <w:r w:rsidRPr="00647206">
              <w:rPr>
                <w:rFonts w:asciiTheme="minorEastAsia" w:eastAsiaTheme="minorEastAsia" w:hAnsiTheme="minorEastAsia" w:hint="eastAsia"/>
                <w:sz w:val="24"/>
              </w:rPr>
              <w:t>进行宣传</w:t>
            </w:r>
            <w:r w:rsidR="00EB6348" w:rsidRPr="00647206">
              <w:rPr>
                <w:rFonts w:asciiTheme="minorEastAsia" w:eastAsiaTheme="minorEastAsia" w:hAnsiTheme="minorEastAsia" w:hint="eastAsia"/>
                <w:sz w:val="24"/>
              </w:rPr>
              <w:t>。</w:t>
            </w:r>
          </w:p>
        </w:tc>
        <w:tc>
          <w:tcPr>
            <w:tcW w:w="1688" w:type="dxa"/>
          </w:tcPr>
          <w:p w:rsidR="004A1748" w:rsidRPr="00647206" w:rsidRDefault="00555BBB" w:rsidP="00894D4F">
            <w:pPr>
              <w:rPr>
                <w:rFonts w:asciiTheme="minorEastAsia" w:eastAsiaTheme="minorEastAsia" w:hAnsiTheme="minorEastAsia"/>
                <w:sz w:val="32"/>
                <w:szCs w:val="32"/>
              </w:rPr>
            </w:pPr>
            <w:r w:rsidRPr="00647206">
              <w:rPr>
                <w:rFonts w:asciiTheme="minorEastAsia" w:eastAsiaTheme="minorEastAsia" w:hAnsiTheme="minorEastAsia" w:hint="eastAsia"/>
                <w:sz w:val="24"/>
              </w:rPr>
              <w:t>被审计</w:t>
            </w:r>
            <w:r w:rsidR="007E5CCF">
              <w:rPr>
                <w:rFonts w:asciiTheme="minorEastAsia" w:eastAsiaTheme="minorEastAsia" w:hAnsiTheme="minorEastAsia" w:hint="eastAsia"/>
                <w:sz w:val="24"/>
              </w:rPr>
              <w:t>对象</w:t>
            </w:r>
          </w:p>
        </w:tc>
        <w:tc>
          <w:tcPr>
            <w:tcW w:w="2210" w:type="dxa"/>
          </w:tcPr>
          <w:p w:rsidR="004A1748" w:rsidRDefault="004A1748" w:rsidP="00894D4F">
            <w:pPr>
              <w:rPr>
                <w:rFonts w:ascii="仿宋_GB2312" w:eastAsia="仿宋_GB2312"/>
                <w:sz w:val="32"/>
                <w:szCs w:val="32"/>
              </w:rPr>
            </w:pPr>
          </w:p>
        </w:tc>
      </w:tr>
    </w:tbl>
    <w:p w:rsidR="000F4FD1" w:rsidRPr="004A1748" w:rsidRDefault="000F4FD1" w:rsidP="000B041D"/>
    <w:sectPr w:rsidR="000F4FD1" w:rsidRPr="004A1748" w:rsidSect="004A1748">
      <w:footerReference w:type="even" r:id="rId6"/>
      <w:footerReference w:type="default" r:id="rId7"/>
      <w:pgSz w:w="16838" w:h="11906" w:orient="landscape"/>
      <w:pgMar w:top="1531" w:right="2098" w:bottom="1531" w:left="209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76" w:rsidRPr="003913F6" w:rsidRDefault="008E7076" w:rsidP="008C715C">
      <w:pPr>
        <w:rPr>
          <w:rFonts w:eastAsia="仿宋_GB2312"/>
          <w:sz w:val="24"/>
          <w:szCs w:val="20"/>
        </w:rPr>
      </w:pPr>
      <w:r>
        <w:separator/>
      </w:r>
    </w:p>
  </w:endnote>
  <w:endnote w:type="continuationSeparator" w:id="0">
    <w:p w:rsidR="008E7076" w:rsidRPr="003913F6" w:rsidRDefault="008E7076" w:rsidP="008C715C">
      <w:pPr>
        <w:rPr>
          <w:rFonts w:eastAsia="仿宋_GB2312"/>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CE" w:rsidRDefault="00F353EB">
    <w:pPr>
      <w:pStyle w:val="a4"/>
      <w:framePr w:h="0" w:wrap="around" w:vAnchor="text" w:hAnchor="margin" w:xAlign="outside" w:y="1"/>
      <w:rPr>
        <w:rStyle w:val="a3"/>
      </w:rPr>
    </w:pPr>
    <w:r>
      <w:fldChar w:fldCharType="begin"/>
    </w:r>
    <w:r w:rsidR="000B041D">
      <w:rPr>
        <w:rStyle w:val="a3"/>
      </w:rPr>
      <w:instrText xml:space="preserve">PAGE  </w:instrText>
    </w:r>
    <w:r>
      <w:fldChar w:fldCharType="end"/>
    </w:r>
  </w:p>
  <w:p w:rsidR="00D746CE" w:rsidRDefault="008E707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CE" w:rsidRDefault="000B041D">
    <w:pPr>
      <w:pStyle w:val="a4"/>
      <w:framePr w:h="0" w:wrap="around" w:vAnchor="text" w:hAnchor="margin" w:xAlign="outside" w:y="1"/>
      <w:rPr>
        <w:rStyle w:val="a3"/>
        <w:sz w:val="28"/>
        <w:szCs w:val="28"/>
      </w:rPr>
    </w:pPr>
    <w:r>
      <w:rPr>
        <w:rStyle w:val="a3"/>
        <w:rFonts w:hint="eastAsia"/>
        <w:sz w:val="28"/>
        <w:szCs w:val="28"/>
      </w:rPr>
      <w:t>—</w:t>
    </w:r>
    <w:r w:rsidR="00F353EB">
      <w:rPr>
        <w:sz w:val="28"/>
        <w:szCs w:val="28"/>
      </w:rPr>
      <w:fldChar w:fldCharType="begin"/>
    </w:r>
    <w:r>
      <w:rPr>
        <w:rStyle w:val="a3"/>
        <w:sz w:val="28"/>
        <w:szCs w:val="28"/>
      </w:rPr>
      <w:instrText xml:space="preserve">PAGE  </w:instrText>
    </w:r>
    <w:r w:rsidR="00F353EB">
      <w:rPr>
        <w:sz w:val="28"/>
        <w:szCs w:val="28"/>
      </w:rPr>
      <w:fldChar w:fldCharType="separate"/>
    </w:r>
    <w:r w:rsidR="007D54A2">
      <w:rPr>
        <w:rStyle w:val="a3"/>
        <w:noProof/>
        <w:sz w:val="28"/>
        <w:szCs w:val="28"/>
      </w:rPr>
      <w:t>1</w:t>
    </w:r>
    <w:r w:rsidR="00F353EB">
      <w:rPr>
        <w:sz w:val="28"/>
        <w:szCs w:val="28"/>
      </w:rPr>
      <w:fldChar w:fldCharType="end"/>
    </w:r>
    <w:r>
      <w:rPr>
        <w:rStyle w:val="a3"/>
        <w:rFonts w:hint="eastAsia"/>
        <w:sz w:val="28"/>
        <w:szCs w:val="28"/>
      </w:rPr>
      <w:t>—</w:t>
    </w:r>
  </w:p>
  <w:p w:rsidR="00D746CE" w:rsidRDefault="008E707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76" w:rsidRPr="003913F6" w:rsidRDefault="008E7076" w:rsidP="008C715C">
      <w:pPr>
        <w:rPr>
          <w:rFonts w:eastAsia="仿宋_GB2312"/>
          <w:sz w:val="24"/>
          <w:szCs w:val="20"/>
        </w:rPr>
      </w:pPr>
      <w:r>
        <w:separator/>
      </w:r>
    </w:p>
  </w:footnote>
  <w:footnote w:type="continuationSeparator" w:id="0">
    <w:p w:rsidR="008E7076" w:rsidRPr="003913F6" w:rsidRDefault="008E7076" w:rsidP="008C715C">
      <w:pPr>
        <w:rPr>
          <w:rFonts w:eastAsia="仿宋_GB2312"/>
          <w:sz w:val="24"/>
          <w:szCs w:val="2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1748"/>
    <w:rsid w:val="000105AA"/>
    <w:rsid w:val="00083040"/>
    <w:rsid w:val="000B041D"/>
    <w:rsid w:val="000D7F2C"/>
    <w:rsid w:val="000F4FD1"/>
    <w:rsid w:val="00186CC9"/>
    <w:rsid w:val="00196C54"/>
    <w:rsid w:val="001C2145"/>
    <w:rsid w:val="00222409"/>
    <w:rsid w:val="003A5206"/>
    <w:rsid w:val="003D5CEB"/>
    <w:rsid w:val="00440F3E"/>
    <w:rsid w:val="004A1748"/>
    <w:rsid w:val="00511693"/>
    <w:rsid w:val="00527E09"/>
    <w:rsid w:val="00555BBB"/>
    <w:rsid w:val="00557610"/>
    <w:rsid w:val="005B4F9F"/>
    <w:rsid w:val="00607A7A"/>
    <w:rsid w:val="00647206"/>
    <w:rsid w:val="007B6DC9"/>
    <w:rsid w:val="007D54A2"/>
    <w:rsid w:val="007E5CCF"/>
    <w:rsid w:val="007F6734"/>
    <w:rsid w:val="00894D4F"/>
    <w:rsid w:val="008C715C"/>
    <w:rsid w:val="008E7076"/>
    <w:rsid w:val="00922E7B"/>
    <w:rsid w:val="009C4CD0"/>
    <w:rsid w:val="009E17B7"/>
    <w:rsid w:val="00A63E34"/>
    <w:rsid w:val="00AD54F6"/>
    <w:rsid w:val="00B017BB"/>
    <w:rsid w:val="00B73115"/>
    <w:rsid w:val="00C015E9"/>
    <w:rsid w:val="00C44A4D"/>
    <w:rsid w:val="00CF6C80"/>
    <w:rsid w:val="00D67000"/>
    <w:rsid w:val="00EB6348"/>
    <w:rsid w:val="00EC6272"/>
    <w:rsid w:val="00EE1A51"/>
    <w:rsid w:val="00F35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8DA73-F4FB-414E-8EC1-4D398327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4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A1748"/>
  </w:style>
  <w:style w:type="paragraph" w:styleId="a4">
    <w:name w:val="footer"/>
    <w:basedOn w:val="a"/>
    <w:link w:val="Char"/>
    <w:rsid w:val="004A1748"/>
    <w:pPr>
      <w:tabs>
        <w:tab w:val="center" w:pos="4153"/>
        <w:tab w:val="right" w:pos="8306"/>
      </w:tabs>
      <w:snapToGrid w:val="0"/>
      <w:jc w:val="left"/>
    </w:pPr>
    <w:rPr>
      <w:sz w:val="18"/>
      <w:szCs w:val="18"/>
    </w:rPr>
  </w:style>
  <w:style w:type="character" w:customStyle="1" w:styleId="Char">
    <w:name w:val="页脚 Char"/>
    <w:basedOn w:val="a0"/>
    <w:link w:val="a4"/>
    <w:rsid w:val="004A1748"/>
    <w:rPr>
      <w:rFonts w:ascii="Times New Roman" w:eastAsia="宋体" w:hAnsi="Times New Roman" w:cs="Times New Roman"/>
      <w:sz w:val="18"/>
      <w:szCs w:val="18"/>
    </w:rPr>
  </w:style>
  <w:style w:type="paragraph" w:styleId="a5">
    <w:name w:val="header"/>
    <w:basedOn w:val="a"/>
    <w:link w:val="Char0"/>
    <w:uiPriority w:val="99"/>
    <w:semiHidden/>
    <w:unhideWhenUsed/>
    <w:rsid w:val="00196C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96C5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13</cp:revision>
  <dcterms:created xsi:type="dcterms:W3CDTF">2019-07-16T08:49:00Z</dcterms:created>
  <dcterms:modified xsi:type="dcterms:W3CDTF">2024-03-01T02:15:00Z</dcterms:modified>
</cp:coreProperties>
</file>