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300" w:lineRule="exact"/>
        <w:ind w:left="-26" w:leftChars="-85" w:right="1308" w:rightChars="623" w:hanging="152" w:hangingChars="25"/>
        <w:jc w:val="distribute"/>
        <w:rPr>
          <w:rFonts w:ascii="Times New Roman" w:hAnsi="Times New Roman" w:eastAsia="方正小标宋简体"/>
          <w:bCs/>
          <w:color w:val="FF0000"/>
          <w:spacing w:val="-46"/>
          <w:w w:val="70"/>
          <w:sz w:val="100"/>
          <w:szCs w:val="100"/>
        </w:rPr>
      </w:pPr>
      <w:r>
        <w:rPr>
          <w:rFonts w:ascii="Times New Roman" w:hAnsi="Times New Roman" w:eastAsia="方正小标宋简体"/>
          <w:bCs/>
          <w:color w:val="FF0000"/>
          <w:spacing w:val="-46"/>
          <w:w w:val="70"/>
          <w:sz w:val="100"/>
          <w:szCs w:val="100"/>
        </w:rPr>
        <mc:AlternateContent>
          <mc:Choice Requires="wps">
            <w:drawing>
              <wp:anchor distT="0" distB="0" distL="114300" distR="114300" simplePos="0" relativeHeight="251660288" behindDoc="0" locked="0" layoutInCell="1" allowOverlap="1">
                <wp:simplePos x="0" y="0"/>
                <wp:positionH relativeFrom="column">
                  <wp:posOffset>4770755</wp:posOffset>
                </wp:positionH>
                <wp:positionV relativeFrom="paragraph">
                  <wp:posOffset>339090</wp:posOffset>
                </wp:positionV>
                <wp:extent cx="1137920" cy="16459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137920" cy="1645920"/>
                        </a:xfrm>
                        <a:prstGeom prst="rect">
                          <a:avLst/>
                        </a:prstGeom>
                        <a:noFill/>
                        <a:ln>
                          <a:noFill/>
                        </a:ln>
                        <a:effectLst/>
                      </wps:spPr>
                      <wps:txbx>
                        <w:txbxContent>
                          <w:p>
                            <w:pPr>
                              <w:ind w:right="-118" w:rightChars="-56"/>
                              <w:rPr>
                                <w:rFonts w:ascii="方正小标宋简体" w:hAnsi="方正小标宋简体" w:eastAsia="方正小标宋简体" w:cs="方正小标宋简体"/>
                                <w:bCs/>
                                <w:color w:val="FF0000"/>
                                <w:spacing w:val="-30"/>
                                <w:w w:val="75"/>
                                <w:sz w:val="110"/>
                                <w:szCs w:val="110"/>
                              </w:rPr>
                            </w:pPr>
                            <w:r>
                              <w:rPr>
                                <w:rFonts w:hint="eastAsia" w:ascii="方正小标宋简体" w:hAnsi="方正小标宋简体" w:eastAsia="方正小标宋简体" w:cs="方正小标宋简体"/>
                                <w:bCs/>
                                <w:color w:val="FF0000"/>
                                <w:spacing w:val="-30"/>
                                <w:w w:val="75"/>
                                <w:sz w:val="110"/>
                                <w:szCs w:val="110"/>
                              </w:rPr>
                              <w:t>文件</w:t>
                            </w:r>
                          </w:p>
                        </w:txbxContent>
                      </wps:txbx>
                      <wps:bodyPr vert="horz" wrap="square" anchor="t" anchorCtr="0" upright="1"/>
                    </wps:wsp>
                  </a:graphicData>
                </a:graphic>
              </wp:anchor>
            </w:drawing>
          </mc:Choice>
          <mc:Fallback>
            <w:pict>
              <v:shape id="_x0000_s1026" o:spid="_x0000_s1026" o:spt="202" type="#_x0000_t202" style="position:absolute;left:0pt;margin-left:375.65pt;margin-top:26.7pt;height:129.6pt;width:89.6pt;z-index:251660288;mso-width-relative:page;mso-height-relative:page;" filled="f" stroked="f" coordsize="21600,21600" o:gfxdata="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TvMW5tgAAAAKAQAADwAAAAAAAAABACAAAAAiAAAA&#10;ZHJzL2Rvd25yZXYueG1sUEsBAhQAFAAAAAgAh07iQK32uAbOAQAAkAMAAA4AAAAAAAAAAQAgAAAA&#10;JwEAAGRycy9lMm9Eb2MueG1sUEsFBgAAAAAGAAYAWQEAAGcFAAAAAA==&#10;">
                <v:fill on="f" focussize="0,0"/>
                <v:stroke on="f"/>
                <v:imagedata o:title=""/>
                <o:lock v:ext="edit" aspectratio="f"/>
                <v:textbox>
                  <w:txbxContent>
                    <w:p>
                      <w:pPr>
                        <w:ind w:right="-118" w:rightChars="-56"/>
                        <w:rPr>
                          <w:rFonts w:ascii="方正小标宋简体" w:hAnsi="方正小标宋简体" w:eastAsia="方正小标宋简体" w:cs="方正小标宋简体"/>
                          <w:bCs/>
                          <w:color w:val="FF0000"/>
                          <w:spacing w:val="-30"/>
                          <w:w w:val="75"/>
                          <w:sz w:val="110"/>
                          <w:szCs w:val="110"/>
                        </w:rPr>
                      </w:pPr>
                      <w:r>
                        <w:rPr>
                          <w:rFonts w:hint="eastAsia" w:ascii="方正小标宋简体" w:hAnsi="方正小标宋简体" w:eastAsia="方正小标宋简体" w:cs="方正小标宋简体"/>
                          <w:bCs/>
                          <w:color w:val="FF0000"/>
                          <w:spacing w:val="-30"/>
                          <w:w w:val="75"/>
                          <w:sz w:val="110"/>
                          <w:szCs w:val="110"/>
                        </w:rPr>
                        <w:t>文件</w:t>
                      </w:r>
                    </w:p>
                  </w:txbxContent>
                </v:textbox>
              </v:shape>
            </w:pict>
          </mc:Fallback>
        </mc:AlternateContent>
      </w:r>
      <w:r>
        <w:rPr>
          <w:rFonts w:ascii="Times New Roman" w:hAnsi="Times New Roman" w:eastAsia="方正小标宋简体"/>
          <w:bCs/>
          <w:color w:val="FF0000"/>
          <w:spacing w:val="-46"/>
          <w:w w:val="70"/>
          <w:sz w:val="100"/>
          <w:szCs w:val="100"/>
        </w:rPr>
        <w:t>南安市市场监督管理局</w:t>
      </w:r>
    </w:p>
    <w:p>
      <w:pPr>
        <w:spacing w:line="1300" w:lineRule="exact"/>
        <w:ind w:left="9" w:leftChars="-85" w:right="1130" w:rightChars="538" w:hanging="187" w:hangingChars="25"/>
        <w:jc w:val="distribute"/>
        <w:rPr>
          <w:rFonts w:ascii="Times New Roman" w:hAnsi="Times New Roman" w:eastAsia="方正小标宋简体"/>
          <w:bCs/>
          <w:color w:val="FF0000"/>
          <w:w w:val="75"/>
          <w:sz w:val="100"/>
          <w:szCs w:val="100"/>
        </w:rPr>
      </w:pPr>
      <w:r>
        <w:rPr>
          <w:rFonts w:ascii="Times New Roman" w:hAnsi="Times New Roman" w:eastAsia="方正小标宋简体"/>
          <w:bCs/>
          <w:color w:val="FF0000"/>
          <w:w w:val="75"/>
          <w:sz w:val="100"/>
          <w:szCs w:val="100"/>
        </w:rPr>
        <w:t>南安市教育局</w:t>
      </w:r>
    </w:p>
    <w:p>
      <w:pPr>
        <w:adjustRightInd w:val="0"/>
        <w:snapToGrid w:val="0"/>
        <w:spacing w:line="560" w:lineRule="exact"/>
        <w:jc w:val="center"/>
        <w:rPr>
          <w:rFonts w:ascii="Times New Roman" w:hAnsi="Times New Roman" w:eastAsia="方正仿宋_GB2312"/>
          <w:sz w:val="32"/>
          <w:szCs w:val="32"/>
        </w:rPr>
      </w:pPr>
    </w:p>
    <w:p>
      <w:pPr>
        <w:pStyle w:val="5"/>
        <w:rPr>
          <w:rFonts w:ascii="Times New Roman" w:hAnsi="Times New Roman"/>
        </w:rPr>
      </w:pPr>
    </w:p>
    <w:p>
      <w:pPr>
        <w:adjustRightInd w:val="0"/>
        <w:snapToGrid w:val="0"/>
        <w:spacing w:line="560" w:lineRule="exact"/>
        <w:jc w:val="center"/>
        <w:rPr>
          <w:rFonts w:ascii="Times New Roman" w:hAnsi="Times New Roman" w:eastAsia="仿宋_GB2312"/>
          <w:sz w:val="32"/>
          <w:szCs w:val="22"/>
        </w:rPr>
      </w:pPr>
      <w:r>
        <w:rPr>
          <w:rFonts w:ascii="Times New Roman" w:hAnsi="Times New Roman" w:eastAsia="仿宋_GB2312"/>
          <w:sz w:val="32"/>
          <w:szCs w:val="22"/>
        </w:rPr>
        <w:t>南市监</w:t>
      </w:r>
      <w:r>
        <w:rPr>
          <w:rFonts w:ascii="Times New Roman" w:hAnsi="Times New Roman" w:eastAsia="方正仿宋简体"/>
          <w:sz w:val="32"/>
          <w:szCs w:val="32"/>
        </w:rPr>
        <w:t>〔2023〕</w:t>
      </w:r>
      <w:r>
        <w:rPr>
          <w:rFonts w:hint="eastAsia" w:ascii="Times New Roman" w:hAnsi="Times New Roman" w:eastAsia="方正仿宋简体"/>
          <w:sz w:val="32"/>
          <w:szCs w:val="32"/>
        </w:rPr>
        <w:t>121</w:t>
      </w:r>
      <w:r>
        <w:rPr>
          <w:rFonts w:ascii="Times New Roman" w:hAnsi="Times New Roman" w:eastAsia="仿宋_GB2312"/>
          <w:sz w:val="32"/>
          <w:szCs w:val="22"/>
        </w:rPr>
        <w:t>号</w:t>
      </w:r>
    </w:p>
    <w:p>
      <w:pPr>
        <w:spacing w:line="600" w:lineRule="exact"/>
        <w:ind w:firstLine="105" w:firstLineChars="50"/>
        <w:rPr>
          <w:rFonts w:ascii="Times New Roman" w:hAnsi="Times New Roman" w:eastAsia="方正小标宋简体"/>
          <w:sz w:val="44"/>
          <w:szCs w:val="44"/>
        </w:rPr>
      </w:pP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89535</wp:posOffset>
                </wp:positionV>
                <wp:extent cx="5991860" cy="40005"/>
                <wp:effectExtent l="0" t="19050" r="8890" b="36195"/>
                <wp:wrapNone/>
                <wp:docPr id="2" name="直接箭头连接符 2"/>
                <wp:cNvGraphicFramePr/>
                <a:graphic xmlns:a="http://schemas.openxmlformats.org/drawingml/2006/main">
                  <a:graphicData uri="http://schemas.microsoft.com/office/word/2010/wordprocessingShape">
                    <wps:wsp>
                      <wps:cNvCnPr/>
                      <wps:spPr>
                        <a:xfrm flipV="1">
                          <a:off x="0" y="0"/>
                          <a:ext cx="5991860" cy="40005"/>
                        </a:xfrm>
                        <a:prstGeom prst="straightConnector1">
                          <a:avLst/>
                        </a:prstGeom>
                        <a:ln w="38100" cap="flat" cmpd="sng">
                          <a:solidFill>
                            <a:srgbClr val="FF0000"/>
                          </a:solidFill>
                          <a:prstDash val="solid"/>
                          <a:headEnd type="none" w="med" len="med"/>
                          <a:tailEnd type="none" w="med" len="med"/>
                        </a:ln>
                        <a:effectLst/>
                      </wps:spPr>
                      <wps:bodyPr/>
                    </wps:wsp>
                  </a:graphicData>
                </a:graphic>
              </wp:anchor>
            </w:drawing>
          </mc:Choice>
          <mc:Fallback>
            <w:pict>
              <v:shape id="_x0000_s1026" o:spid="_x0000_s1026" o:spt="32" type="#_x0000_t32" style="position:absolute;left:0pt;flip:y;margin-left:-9pt;margin-top:7.05pt;height:3.15pt;width:471.8pt;z-index:251659264;mso-width-relative:page;mso-height-relative:page;" filled="f" stroked="t" coordsize="21600,21600" o:gfxdata="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FgutibZAAAACQEAAA8AAAAAAAAA&#10;AQAgAAAAIgAAAGRycy9kb3ducmV2LnhtbFBLAQIUABQAAAAIAIdO4kCCIScXEAIAAAkEAAAOAAAA&#10;AAAAAAEAIAAAACgBAABkcnMvZTJvRG9jLnhtbFBLBQYAAAAABgAGAFkBAACqBQAAAAA=&#10;">
                <v:fill on="f" focussize="0,0"/>
                <v:stroke weight="3pt" color="#FF0000" joinstyle="round"/>
                <v:imagedata o:title=""/>
                <o:lock v:ext="edit" aspectratio="f"/>
              </v:shape>
            </w:pict>
          </mc:Fallback>
        </mc:AlternateContent>
      </w:r>
    </w:p>
    <w:p>
      <w:pPr>
        <w:spacing w:line="600" w:lineRule="exact"/>
        <w:jc w:val="center"/>
        <w:rPr>
          <w:rFonts w:ascii="Times New Roman" w:hAnsi="Times New Roman" w:eastAsia="方正小标宋简体"/>
          <w:sz w:val="44"/>
          <w:szCs w:val="44"/>
        </w:rPr>
      </w:pPr>
      <w:r>
        <w:rPr>
          <w:rFonts w:ascii="Times New Roman" w:hAnsi="Times New Roman" w:eastAsia="方正小标宋简体"/>
          <w:sz w:val="44"/>
          <w:szCs w:val="44"/>
        </w:rPr>
        <w:t>南安市市场监督管理局  南安市教育局</w:t>
      </w:r>
    </w:p>
    <w:p>
      <w:pPr>
        <w:spacing w:line="600" w:lineRule="exact"/>
        <w:jc w:val="center"/>
        <w:rPr>
          <w:rFonts w:hint="eastAsia" w:ascii="Times New Roman" w:hAnsi="Times New Roman" w:eastAsia="方正小标宋简体"/>
          <w:sz w:val="44"/>
          <w:szCs w:val="44"/>
        </w:rPr>
      </w:pPr>
      <w:r>
        <w:rPr>
          <w:rFonts w:ascii="Times New Roman" w:hAnsi="Times New Roman" w:eastAsia="方正小标宋简体"/>
          <w:sz w:val="44"/>
          <w:szCs w:val="44"/>
        </w:rPr>
        <w:t>关于印发2023年学校食品安全“双随机</w:t>
      </w:r>
      <w:r>
        <w:rPr>
          <w:rFonts w:hint="eastAsia" w:ascii="Times New Roman" w:hAnsi="Times New Roman" w:eastAsia="方正小标宋简体"/>
          <w:sz w:val="44"/>
          <w:szCs w:val="44"/>
        </w:rPr>
        <w:t>、一</w:t>
      </w:r>
    </w:p>
    <w:p>
      <w:pPr>
        <w:spacing w:line="600" w:lineRule="exact"/>
        <w:jc w:val="center"/>
        <w:rPr>
          <w:rFonts w:ascii="Times New Roman" w:hAnsi="Times New Roman" w:eastAsia="方正小标宋简体"/>
          <w:sz w:val="44"/>
          <w:szCs w:val="44"/>
        </w:rPr>
      </w:pPr>
      <w:r>
        <w:rPr>
          <w:rFonts w:hint="eastAsia" w:ascii="Times New Roman" w:hAnsi="Times New Roman" w:eastAsia="方正小标宋简体"/>
          <w:sz w:val="44"/>
          <w:szCs w:val="44"/>
        </w:rPr>
        <w:t>公开</w:t>
      </w:r>
      <w:r>
        <w:rPr>
          <w:rFonts w:ascii="Times New Roman" w:hAnsi="Times New Roman" w:eastAsia="方正小标宋简体"/>
          <w:sz w:val="44"/>
          <w:szCs w:val="44"/>
        </w:rPr>
        <w:t>”联合抽查工作方案的通知</w:t>
      </w:r>
    </w:p>
    <w:p>
      <w:pPr>
        <w:rPr>
          <w:rFonts w:ascii="Times New Roman" w:hAnsi="Times New Roman" w:eastAsia="仿宋_GB2312"/>
          <w:sz w:val="32"/>
          <w:szCs w:val="32"/>
        </w:rPr>
      </w:pPr>
    </w:p>
    <w:p>
      <w:pPr>
        <w:spacing w:line="560" w:lineRule="exact"/>
        <w:rPr>
          <w:rFonts w:ascii="Times New Roman" w:hAnsi="Times New Roman" w:eastAsia="仿宋_GB2312"/>
          <w:sz w:val="32"/>
          <w:szCs w:val="22"/>
        </w:rPr>
      </w:pPr>
      <w:r>
        <w:rPr>
          <w:rFonts w:ascii="Times New Roman" w:hAnsi="Times New Roman" w:eastAsia="仿宋_GB2312"/>
          <w:sz w:val="32"/>
          <w:szCs w:val="22"/>
        </w:rPr>
        <w:t>各乡镇（街道）市场监管所和各学校：</w:t>
      </w:r>
    </w:p>
    <w:p>
      <w:pPr>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现将《南安市2023年学校食品安全“双随机</w:t>
      </w:r>
      <w:r>
        <w:rPr>
          <w:rFonts w:hint="eastAsia" w:ascii="Times New Roman" w:hAnsi="Times New Roman" w:eastAsia="仿宋_GB2312"/>
          <w:sz w:val="32"/>
          <w:szCs w:val="22"/>
        </w:rPr>
        <w:t>、一公开</w:t>
      </w:r>
      <w:r>
        <w:rPr>
          <w:rFonts w:ascii="Times New Roman" w:hAnsi="Times New Roman" w:eastAsia="仿宋_GB2312"/>
          <w:sz w:val="32"/>
          <w:szCs w:val="22"/>
        </w:rPr>
        <w:t>”联合抽查工作方案》印发给你们，请认真抓好贯彻落实。</w:t>
      </w:r>
    </w:p>
    <w:p>
      <w:pPr>
        <w:spacing w:line="560" w:lineRule="exact"/>
        <w:ind w:firstLine="640" w:firstLineChars="200"/>
        <w:rPr>
          <w:rFonts w:ascii="Times New Roman" w:hAnsi="Times New Roman" w:eastAsia="仿宋_GB2312"/>
          <w:sz w:val="32"/>
          <w:szCs w:val="22"/>
        </w:rPr>
      </w:pPr>
    </w:p>
    <w:p>
      <w:pPr>
        <w:spacing w:line="560" w:lineRule="exact"/>
        <w:ind w:firstLine="640" w:firstLineChars="200"/>
        <w:jc w:val="right"/>
        <w:rPr>
          <w:rFonts w:ascii="Times New Roman" w:hAnsi="Times New Roman" w:eastAsia="方正仿宋简体"/>
          <w:sz w:val="32"/>
          <w:szCs w:val="32"/>
        </w:rPr>
      </w:pPr>
    </w:p>
    <w:p>
      <w:pPr>
        <w:spacing w:line="560" w:lineRule="exact"/>
        <w:ind w:right="840" w:rightChars="400" w:firstLine="640" w:firstLineChars="200"/>
        <w:rPr>
          <w:rFonts w:hint="eastAsia" w:ascii="仿宋_GB2312" w:hAnsi="Times New Roman" w:eastAsia="仿宋_GB2312"/>
          <w:sz w:val="32"/>
          <w:szCs w:val="32"/>
        </w:rPr>
      </w:pPr>
      <w:r>
        <w:rPr>
          <w:rFonts w:hint="eastAsia" w:ascii="仿宋_GB2312" w:hAnsi="Times New Roman" w:eastAsia="仿宋_GB2312"/>
          <w:sz w:val="32"/>
          <w:szCs w:val="32"/>
        </w:rPr>
        <w:t>南安市市场监督管理局            南安市教育局</w:t>
      </w:r>
    </w:p>
    <w:p>
      <w:pPr>
        <w:spacing w:line="560" w:lineRule="exact"/>
        <w:ind w:firstLine="640" w:firstLineChars="200"/>
        <w:rPr>
          <w:rFonts w:ascii="Times New Roman" w:hAnsi="Times New Roman" w:eastAsia="仿宋_GB2312"/>
          <w:sz w:val="32"/>
          <w:szCs w:val="22"/>
        </w:rPr>
      </w:pPr>
      <w:r>
        <w:rPr>
          <w:rFonts w:ascii="Times New Roman" w:hAnsi="Times New Roman" w:eastAsia="方正仿宋简体"/>
          <w:sz w:val="32"/>
          <w:szCs w:val="32"/>
        </w:rPr>
        <w:t xml:space="preserve">             </w:t>
      </w:r>
      <w:r>
        <w:rPr>
          <w:rFonts w:ascii="Times New Roman" w:hAnsi="Times New Roman" w:eastAsia="仿宋_GB2312"/>
          <w:sz w:val="32"/>
          <w:szCs w:val="22"/>
        </w:rPr>
        <w:t xml:space="preserve">              </w:t>
      </w:r>
      <w:r>
        <w:rPr>
          <w:rFonts w:hint="eastAsia" w:ascii="Times New Roman" w:hAnsi="Times New Roman" w:eastAsia="仿宋_GB2312"/>
          <w:sz w:val="32"/>
          <w:szCs w:val="22"/>
        </w:rPr>
        <w:t xml:space="preserve">   </w:t>
      </w:r>
      <w:r>
        <w:rPr>
          <w:rFonts w:ascii="Times New Roman" w:hAnsi="Times New Roman" w:eastAsia="仿宋_GB2312"/>
          <w:sz w:val="32"/>
          <w:szCs w:val="22"/>
        </w:rPr>
        <w:t>2023年12月</w:t>
      </w:r>
      <w:r>
        <w:rPr>
          <w:rFonts w:hint="eastAsia" w:ascii="Times New Roman" w:hAnsi="Times New Roman" w:eastAsia="仿宋_GB2312"/>
          <w:sz w:val="32"/>
          <w:szCs w:val="22"/>
        </w:rPr>
        <w:t>8</w:t>
      </w:r>
      <w:r>
        <w:rPr>
          <w:rFonts w:ascii="Times New Roman" w:hAnsi="Times New Roman" w:eastAsia="仿宋_GB2312"/>
          <w:sz w:val="32"/>
          <w:szCs w:val="22"/>
        </w:rPr>
        <w:t>日</w:t>
      </w:r>
    </w:p>
    <w:p>
      <w:pPr>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 xml:space="preserve"> </w:t>
      </w:r>
    </w:p>
    <w:p>
      <w:pPr>
        <w:spacing w:line="560" w:lineRule="exact"/>
        <w:ind w:firstLine="640" w:firstLineChars="200"/>
        <w:rPr>
          <w:rFonts w:ascii="Times New Roman" w:hAnsi="Times New Roman" w:eastAsia="仿宋_GB2312"/>
          <w:sz w:val="32"/>
          <w:szCs w:val="22"/>
        </w:rPr>
      </w:pPr>
      <w:r>
        <w:rPr>
          <w:rFonts w:ascii="Times New Roman" w:hAnsi="Times New Roman" w:eastAsia="仿宋_GB2312"/>
          <w:sz w:val="32"/>
          <w:szCs w:val="22"/>
        </w:rPr>
        <w:t>（公开属性：主动公开）</w:t>
      </w:r>
    </w:p>
    <w:p>
      <w:pPr>
        <w:pStyle w:val="2"/>
        <w:ind w:firstLine="320"/>
        <w:rPr>
          <w:rFonts w:ascii="Times New Roman" w:hAnsi="Times New Roman" w:eastAsia="仿宋_GB2312" w:cs="Times New Roman"/>
          <w:sz w:val="32"/>
          <w:szCs w:val="22"/>
          <w:lang w:eastAsia="zh-CN"/>
        </w:rPr>
      </w:pP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2023年南安市学校食品安全“双随机</w:t>
      </w:r>
      <w:r>
        <w:rPr>
          <w:rFonts w:ascii="Times New Roman" w:hAnsi="Times New Roman" w:eastAsia="仿宋_GB2312"/>
          <w:sz w:val="32"/>
        </w:rPr>
        <w:t>、</w:t>
      </w:r>
      <w:r>
        <w:rPr>
          <w:rFonts w:ascii="Times New Roman" w:hAnsi="Times New Roman" w:eastAsia="方正小标宋简体"/>
          <w:bCs/>
          <w:sz w:val="44"/>
          <w:szCs w:val="44"/>
        </w:rPr>
        <w:t>一公开”</w:t>
      </w:r>
    </w:p>
    <w:p>
      <w:pPr>
        <w:spacing w:line="560" w:lineRule="exact"/>
        <w:jc w:val="center"/>
        <w:rPr>
          <w:rFonts w:ascii="Times New Roman" w:hAnsi="Times New Roman" w:eastAsia="方正小标宋简体"/>
          <w:bCs/>
          <w:sz w:val="44"/>
          <w:szCs w:val="44"/>
        </w:rPr>
      </w:pPr>
      <w:r>
        <w:rPr>
          <w:rFonts w:ascii="Times New Roman" w:hAnsi="Times New Roman" w:eastAsia="方正小标宋简体"/>
          <w:bCs/>
          <w:sz w:val="44"/>
          <w:szCs w:val="44"/>
        </w:rPr>
        <w:t>联合抽查工作方案</w:t>
      </w:r>
    </w:p>
    <w:p>
      <w:pPr>
        <w:pStyle w:val="2"/>
        <w:spacing w:line="560" w:lineRule="exact"/>
        <w:ind w:firstLine="0" w:firstLineChars="0"/>
        <w:rPr>
          <w:rFonts w:ascii="Times New Roman" w:hAnsi="Times New Roman" w:eastAsia="仿宋_GB2312" w:cs="Times New Roman"/>
          <w:sz w:val="32"/>
          <w:szCs w:val="22"/>
          <w:lang w:eastAsia="zh-CN"/>
        </w:rPr>
      </w:pPr>
    </w:p>
    <w:p>
      <w:pPr>
        <w:spacing w:line="560" w:lineRule="exact"/>
        <w:ind w:firstLine="640" w:firstLineChars="200"/>
        <w:rPr>
          <w:rFonts w:ascii="Times New Roman" w:hAnsi="Times New Roman" w:eastAsia="仿宋_GB2312"/>
          <w:spacing w:val="3"/>
          <w:sz w:val="32"/>
          <w:szCs w:val="32"/>
        </w:rPr>
      </w:pPr>
      <w:r>
        <w:rPr>
          <w:rFonts w:ascii="Times New Roman" w:hAnsi="Times New Roman" w:eastAsia="仿宋_GB2312"/>
          <w:sz w:val="32"/>
        </w:rPr>
        <w:t>为落实《泉州市市场监督管理局关于印发2023年度餐饮服务食品安全监督检查计划的通知》（泉市监〔2023〕59号）、《南安市2023年“双随机、一公开”联合抽查工作计划》等文件精神，</w:t>
      </w:r>
      <w:r>
        <w:rPr>
          <w:rFonts w:ascii="Times New Roman" w:hAnsi="Times New Roman" w:eastAsia="仿宋_GB2312"/>
          <w:spacing w:val="3"/>
          <w:sz w:val="32"/>
          <w:szCs w:val="32"/>
        </w:rPr>
        <w:t>结合省纪委监委和市纪委监委关于中小学配餐及食堂食品安全“点题整治”工作方案要求，</w:t>
      </w:r>
      <w:r>
        <w:rPr>
          <w:rFonts w:ascii="Times New Roman" w:hAnsi="Times New Roman" w:eastAsia="仿宋_GB2312"/>
          <w:sz w:val="32"/>
        </w:rPr>
        <w:t>为切实加强学校和供校配餐企业食品安全监管工作，南安市市场监督管理局、市教育局决定开展2023年学校食品安全“双随机、一公开”联合抽查。现制定工作方案如下：</w:t>
      </w:r>
    </w:p>
    <w:p>
      <w:pPr>
        <w:spacing w:line="560" w:lineRule="exact"/>
        <w:ind w:firstLine="604" w:firstLineChars="200"/>
        <w:outlineLvl w:val="0"/>
        <w:rPr>
          <w:rFonts w:ascii="Times New Roman" w:hAnsi="Times New Roman" w:eastAsia="黑体"/>
          <w:sz w:val="32"/>
          <w:szCs w:val="32"/>
        </w:rPr>
      </w:pPr>
      <w:r>
        <w:rPr>
          <w:rFonts w:ascii="Times New Roman" w:hAnsi="Times New Roman" w:eastAsia="黑体"/>
          <w:bCs/>
          <w:spacing w:val="-9"/>
          <w:sz w:val="32"/>
          <w:szCs w:val="32"/>
        </w:rPr>
        <w:t>一、抽查内容</w:t>
      </w:r>
    </w:p>
    <w:p>
      <w:pPr>
        <w:spacing w:line="560" w:lineRule="exact"/>
        <w:ind w:left="10" w:leftChars="5" w:right="204"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（一）</w:t>
      </w:r>
      <w:r>
        <w:rPr>
          <w:rFonts w:ascii="Times New Roman" w:hAnsi="Times New Roman" w:eastAsia="楷体_GB2312"/>
          <w:spacing w:val="3"/>
          <w:sz w:val="32"/>
          <w:szCs w:val="32"/>
        </w:rPr>
        <w:t>抽查对象：</w:t>
      </w:r>
      <w:r>
        <w:rPr>
          <w:rFonts w:ascii="Times New Roman" w:hAnsi="Times New Roman" w:eastAsia="仿宋_GB2312"/>
          <w:spacing w:val="3"/>
          <w:sz w:val="32"/>
          <w:szCs w:val="32"/>
        </w:rPr>
        <w:t>由市市场监管局从已获得《食品经营许可证》的学校食堂（除高校外）、向学校供餐的集体用餐配送单位名单中抽取一定比例形成具体抽查对象，原则上抽取比例不低于5%。</w:t>
      </w:r>
    </w:p>
    <w:p>
      <w:pPr>
        <w:spacing w:line="560" w:lineRule="exact"/>
        <w:ind w:left="10" w:leftChars="5"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（二）抽查事项：</w:t>
      </w:r>
      <w:r>
        <w:rPr>
          <w:rFonts w:ascii="Times New Roman" w:hAnsi="Times New Roman" w:eastAsia="仿宋_GB2312"/>
          <w:spacing w:val="3"/>
          <w:sz w:val="32"/>
          <w:szCs w:val="32"/>
        </w:rPr>
        <w:t>根据《食品生产经营日常监督检查管理办法》、《餐饮服务食品安全监督检查操作指南》及市场监管、教育部门监管责任清单，确定本次“双随机”联合抽查事项目录。抽查事项包括抽查类别、抽查事项、具体要求等内容，汇总形成《南安市学校食品安全“双随机”联合抽查事项清单》（详见附件1）。</w:t>
      </w:r>
    </w:p>
    <w:p>
      <w:pPr>
        <w:spacing w:line="560" w:lineRule="exact"/>
        <w:ind w:left="10" w:leftChars="5"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（三）抽查频率：</w:t>
      </w:r>
      <w:r>
        <w:rPr>
          <w:rFonts w:ascii="Times New Roman" w:hAnsi="Times New Roman" w:eastAsia="仿宋_GB2312"/>
          <w:spacing w:val="3"/>
          <w:sz w:val="32"/>
          <w:szCs w:val="32"/>
        </w:rPr>
        <w:t>原则上每年度开展不少于1次，可根据工作需要，适当调整。</w:t>
      </w:r>
    </w:p>
    <w:p>
      <w:pPr>
        <w:spacing w:line="560" w:lineRule="exact"/>
        <w:ind w:left="10" w:leftChars="5"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（四）抽查人员：</w:t>
      </w:r>
      <w:r>
        <w:rPr>
          <w:rFonts w:ascii="Times New Roman" w:hAnsi="Times New Roman" w:eastAsia="仿宋_GB2312"/>
          <w:spacing w:val="3"/>
          <w:sz w:val="32"/>
          <w:szCs w:val="32"/>
        </w:rPr>
        <w:t>市市场监管局、教育局根据工作实际共同建立“双随机”联合抽查人员库，原则上两部门检查人员比例各占50%。</w:t>
      </w:r>
    </w:p>
    <w:p>
      <w:pPr>
        <w:spacing w:line="560" w:lineRule="exact"/>
        <w:ind w:left="10" w:leftChars="5"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（五）抽查方式：</w:t>
      </w:r>
      <w:r>
        <w:rPr>
          <w:rFonts w:ascii="Times New Roman" w:hAnsi="Times New Roman" w:eastAsia="仿宋_GB2312"/>
          <w:spacing w:val="3"/>
          <w:sz w:val="32"/>
          <w:szCs w:val="32"/>
        </w:rPr>
        <w:t>联合抽查应当以实地检查为主，综合利用查看资料、听取汇报等方式开展，不得影响学校的正常教学秩序，原则上一个单位的抽查时间不得超过半天。</w:t>
      </w:r>
    </w:p>
    <w:p>
      <w:pPr>
        <w:spacing w:line="560" w:lineRule="exact"/>
        <w:ind w:left="624"/>
        <w:outlineLvl w:val="0"/>
        <w:rPr>
          <w:rFonts w:ascii="Times New Roman" w:hAnsi="Times New Roman" w:eastAsia="黑体"/>
          <w:bCs/>
          <w:spacing w:val="-9"/>
          <w:sz w:val="32"/>
          <w:szCs w:val="32"/>
        </w:rPr>
      </w:pPr>
      <w:r>
        <w:rPr>
          <w:rFonts w:ascii="Times New Roman" w:hAnsi="Times New Roman" w:eastAsia="黑体"/>
          <w:bCs/>
          <w:spacing w:val="-9"/>
          <w:sz w:val="32"/>
          <w:szCs w:val="32"/>
        </w:rPr>
        <w:t>二、抽查步骤</w:t>
      </w:r>
    </w:p>
    <w:p>
      <w:pPr>
        <w:spacing w:line="560" w:lineRule="exact"/>
        <w:ind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（一）抽查准备阶段。</w:t>
      </w:r>
      <w:r>
        <w:rPr>
          <w:rFonts w:ascii="Times New Roman" w:hAnsi="Times New Roman" w:eastAsia="仿宋_GB2312"/>
          <w:spacing w:val="3"/>
          <w:sz w:val="32"/>
          <w:szCs w:val="32"/>
        </w:rPr>
        <w:t>市市场监管局、教育局根据实际制定本年度学校食品“双随机”抽查实施方案，更新学校食品安全“双随机”主体库和检查人员库。</w:t>
      </w:r>
    </w:p>
    <w:p>
      <w:pPr>
        <w:spacing w:line="560" w:lineRule="exact"/>
        <w:ind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（二）确认对象阶段。</w:t>
      </w:r>
      <w:r>
        <w:rPr>
          <w:rFonts w:ascii="Times New Roman" w:hAnsi="Times New Roman" w:eastAsia="仿宋_GB2312"/>
          <w:spacing w:val="3"/>
          <w:sz w:val="32"/>
          <w:szCs w:val="32"/>
        </w:rPr>
        <w:t>实施联合抽查前，结合我市实际，综合运用随机摇号、抽签等方式共同确定“双随机”抽查对象和检查人员名单，形成《南安市2023年学校食品安全“双随机”联合抽查安排表》（附件2）。</w:t>
      </w:r>
    </w:p>
    <w:p>
      <w:pPr>
        <w:spacing w:line="560" w:lineRule="exact"/>
        <w:ind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（三）实施抽查阶段。</w:t>
      </w:r>
      <w:r>
        <w:rPr>
          <w:rFonts w:ascii="Times New Roman" w:hAnsi="Times New Roman" w:eastAsia="仿宋_GB2312"/>
          <w:spacing w:val="3"/>
          <w:sz w:val="32"/>
          <w:szCs w:val="32"/>
        </w:rPr>
        <w:t>按照抽查方案，组织确定的抽查人员组成若干联合检查小组，并按照《南安市学校食品安全“双随机”联合抽查事项清单》逐项对照开展抽查工作。抽查结束后，抽查人员应出具《南安市学校食品安全“双随机”联合抽查结果记录表》（附件3），并要求被抽查学校签字盖章确认。</w:t>
      </w:r>
    </w:p>
    <w:p>
      <w:pPr>
        <w:spacing w:line="560" w:lineRule="exact"/>
        <w:ind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（四）结果公示阶段。</w:t>
      </w:r>
      <w:r>
        <w:rPr>
          <w:rFonts w:ascii="Times New Roman" w:hAnsi="Times New Roman" w:eastAsia="仿宋_GB2312"/>
          <w:spacing w:val="3"/>
          <w:sz w:val="32"/>
          <w:szCs w:val="32"/>
        </w:rPr>
        <w:t>按照“谁抽查、谁公开”的原则，市市场监管局、教育局在“双随机”抽查结束后，及时将抽查结果（涉及商业秘密的内容除外）通过门户网站、微信公众号、媒体等渠道向社会公开。对抽查中发现违法违规行为的相关单位将依法依规做出处理并向社会公示。</w:t>
      </w:r>
    </w:p>
    <w:p>
      <w:pPr>
        <w:spacing w:line="560" w:lineRule="exact"/>
        <w:ind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（五）结果运用阶段。</w:t>
      </w:r>
      <w:r>
        <w:rPr>
          <w:rFonts w:ascii="Times New Roman" w:hAnsi="Times New Roman" w:eastAsia="仿宋_GB2312"/>
          <w:spacing w:val="3"/>
          <w:sz w:val="32"/>
          <w:szCs w:val="32"/>
        </w:rPr>
        <w:t>各市场监管所要将此次“双随机”抽查结果纳入食品生产经营风险分级管理、信用风险分级管理的评级依据，把检查的次数计入风险分级监督检查频次。检查发现存在违法行为，可适时组织“回头看”检查，确保“双随机”工作形成良性闭环。</w:t>
      </w:r>
    </w:p>
    <w:p>
      <w:pPr>
        <w:spacing w:line="560" w:lineRule="exact"/>
        <w:ind w:left="624"/>
        <w:outlineLvl w:val="0"/>
        <w:rPr>
          <w:rFonts w:ascii="Times New Roman" w:hAnsi="Times New Roman" w:eastAsia="黑体"/>
          <w:bCs/>
          <w:spacing w:val="-9"/>
          <w:sz w:val="32"/>
          <w:szCs w:val="32"/>
        </w:rPr>
      </w:pPr>
      <w:r>
        <w:rPr>
          <w:rFonts w:ascii="Times New Roman" w:hAnsi="Times New Roman" w:eastAsia="黑体"/>
          <w:bCs/>
          <w:spacing w:val="-9"/>
          <w:sz w:val="32"/>
          <w:szCs w:val="32"/>
        </w:rPr>
        <w:t>三、抽查时限</w:t>
      </w:r>
    </w:p>
    <w:p>
      <w:pPr>
        <w:spacing w:line="560" w:lineRule="exact"/>
        <w:ind w:firstLine="652" w:firstLineChars="200"/>
        <w:outlineLvl w:val="0"/>
        <w:rPr>
          <w:rFonts w:ascii="Times New Roman" w:hAnsi="Times New Roman" w:eastAsia="仿宋_GB2312"/>
          <w:spacing w:val="3"/>
          <w:sz w:val="32"/>
          <w:szCs w:val="32"/>
        </w:rPr>
      </w:pPr>
      <w:r>
        <w:rPr>
          <w:rFonts w:ascii="Times New Roman" w:hAnsi="Times New Roman" w:eastAsia="仿宋_GB2312"/>
          <w:spacing w:val="3"/>
          <w:sz w:val="32"/>
          <w:szCs w:val="32"/>
        </w:rPr>
        <w:t>2023年12月11日至12月17日。检查人员要合理安排时间、路线，在规定时限内完成检查任务。</w:t>
      </w:r>
    </w:p>
    <w:p>
      <w:pPr>
        <w:spacing w:line="560" w:lineRule="exact"/>
        <w:ind w:left="624"/>
        <w:outlineLvl w:val="0"/>
        <w:rPr>
          <w:rFonts w:ascii="Times New Roman" w:hAnsi="Times New Roman" w:eastAsia="黑体"/>
          <w:bCs/>
          <w:spacing w:val="-9"/>
          <w:sz w:val="32"/>
          <w:szCs w:val="32"/>
        </w:rPr>
      </w:pPr>
      <w:r>
        <w:rPr>
          <w:rFonts w:ascii="Times New Roman" w:hAnsi="Times New Roman" w:eastAsia="黑体"/>
          <w:bCs/>
          <w:spacing w:val="-9"/>
          <w:sz w:val="32"/>
          <w:szCs w:val="32"/>
        </w:rPr>
        <w:t>四、工作要求</w:t>
      </w:r>
    </w:p>
    <w:p>
      <w:pPr>
        <w:spacing w:line="560" w:lineRule="exact"/>
        <w:ind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（一）提高思想认识，强化组织领导。</w:t>
      </w:r>
      <w:r>
        <w:rPr>
          <w:rFonts w:ascii="Times New Roman" w:hAnsi="Times New Roman" w:eastAsia="仿宋_GB2312"/>
          <w:spacing w:val="3"/>
          <w:sz w:val="32"/>
          <w:szCs w:val="32"/>
        </w:rPr>
        <w:t>推广“双随机”联合抽查工作是优化营商环境的重要举措，也是落实食品安全监管责任，提升食品安全监管效能的有力抓手。各单位要进一步增强责任意识，切实加强协商联动，推动监管措施创新，逐步完善学校食品安全“督查互动、信息互通、应急互助、工作互促”的齐抓共管工作机制。</w:t>
      </w:r>
    </w:p>
    <w:p>
      <w:pPr>
        <w:spacing w:line="560" w:lineRule="exact"/>
        <w:ind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（二）加强协调配合，强化制度保障。</w:t>
      </w:r>
      <w:r>
        <w:rPr>
          <w:rFonts w:ascii="Times New Roman" w:hAnsi="Times New Roman" w:eastAsia="仿宋_GB2312"/>
          <w:spacing w:val="3"/>
          <w:sz w:val="32"/>
          <w:szCs w:val="32"/>
        </w:rPr>
        <w:t>各市场监管所要将学校食品安全“双随机”联合抽查与今年省纪委监委和市纪委监委关于中小学配餐及食堂食品安全“点题整治”、落实企业主体责任和制止餐饮浪费等工作相结合，完善配套制度，形成保障广大师生饮食安全和身体健康的强大工作合力。</w:t>
      </w:r>
    </w:p>
    <w:p>
      <w:pPr>
        <w:spacing w:line="560" w:lineRule="exact"/>
        <w:ind w:firstLine="632" w:firstLineChars="200"/>
        <w:rPr>
          <w:rFonts w:ascii="Times New Roman" w:hAnsi="Times New Roman" w:eastAsia="仿宋_GB2312"/>
          <w:spacing w:val="3"/>
          <w:sz w:val="32"/>
          <w:szCs w:val="32"/>
        </w:rPr>
      </w:pPr>
      <w:r>
        <w:rPr>
          <w:rFonts w:ascii="Times New Roman" w:hAnsi="Times New Roman" w:eastAsia="楷体_GB2312"/>
          <w:spacing w:val="-2"/>
          <w:sz w:val="32"/>
          <w:szCs w:val="32"/>
        </w:rPr>
        <w:t>（三）严肃工作纪律，加强督查考评。</w:t>
      </w:r>
      <w:r>
        <w:rPr>
          <w:rFonts w:ascii="Times New Roman" w:hAnsi="Times New Roman" w:eastAsia="仿宋_GB2312"/>
          <w:spacing w:val="3"/>
          <w:sz w:val="32"/>
          <w:szCs w:val="32"/>
        </w:rPr>
        <w:t>要进一步严明工作纪律，规范抽查流程。抽查时间尽量避开学校用餐高峰期，不得影响学校正常的教学秩序。</w:t>
      </w:r>
    </w:p>
    <w:p>
      <w:pPr>
        <w:pStyle w:val="2"/>
        <w:ind w:firstLine="632" w:firstLineChars="200"/>
        <w:rPr>
          <w:rFonts w:ascii="Times New Roman" w:hAnsi="Times New Roman" w:eastAsia="仿宋_GB2312" w:cs="Times New Roman"/>
          <w:spacing w:val="3"/>
          <w:kern w:val="2"/>
          <w:sz w:val="32"/>
          <w:szCs w:val="32"/>
          <w:lang w:eastAsia="zh-CN"/>
        </w:rPr>
      </w:pPr>
      <w:r>
        <w:rPr>
          <w:rFonts w:ascii="Times New Roman" w:hAnsi="Times New Roman" w:eastAsia="楷体_GB2312" w:cs="Times New Roman"/>
          <w:spacing w:val="-2"/>
          <w:kern w:val="2"/>
          <w:sz w:val="32"/>
          <w:szCs w:val="32"/>
          <w:lang w:eastAsia="zh-CN"/>
        </w:rPr>
        <w:t>（四）及时报送结果，强化信息公示。</w:t>
      </w:r>
      <w:r>
        <w:rPr>
          <w:rFonts w:ascii="Times New Roman" w:hAnsi="Times New Roman" w:eastAsia="仿宋_GB2312" w:cs="Times New Roman"/>
          <w:spacing w:val="3"/>
          <w:kern w:val="2"/>
          <w:sz w:val="32"/>
          <w:szCs w:val="32"/>
          <w:lang w:eastAsia="zh-CN"/>
        </w:rPr>
        <w:t>各检查组的第一名人员为本组组长。请各组组长于12月17日前将《南安市学校食品安全“双随机”联合抽查结果记录表》（扫描件）及检查图片通过OA报送至市监局食品市场科汇总。</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联系人：</w:t>
      </w:r>
      <w:r>
        <w:rPr>
          <w:rFonts w:hint="eastAsia" w:ascii="Times New Roman" w:hAnsi="Times New Roman" w:eastAsia="仿宋_GB2312"/>
          <w:spacing w:val="3"/>
          <w:sz w:val="32"/>
          <w:szCs w:val="32"/>
        </w:rPr>
        <w:t>市市场监管局</w:t>
      </w:r>
      <w:r>
        <w:rPr>
          <w:rFonts w:ascii="Times New Roman" w:hAnsi="Times New Roman" w:eastAsia="仿宋_GB2312"/>
          <w:spacing w:val="3"/>
          <w:sz w:val="32"/>
          <w:szCs w:val="32"/>
        </w:rPr>
        <w:t>食品市场科 刘巧珺</w:t>
      </w:r>
      <w:r>
        <w:rPr>
          <w:rFonts w:ascii="Times New Roman" w:hAnsi="Times New Roman" w:eastAsia="仿宋_GB2312"/>
          <w:sz w:val="32"/>
          <w:szCs w:val="32"/>
        </w:rPr>
        <w:t xml:space="preserve"> 86393511</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 xml:space="preserve">        </w:t>
      </w:r>
      <w:r>
        <w:rPr>
          <w:rFonts w:ascii="Times New Roman" w:hAnsi="Times New Roman" w:eastAsia="仿宋_GB2312"/>
          <w:spacing w:val="3"/>
          <w:sz w:val="32"/>
          <w:szCs w:val="32"/>
        </w:rPr>
        <w:t xml:space="preserve">市教育局体卫艺科 </w:t>
      </w:r>
      <w:r>
        <w:rPr>
          <w:rFonts w:hint="eastAsia" w:ascii="Times New Roman" w:hAnsi="Times New Roman" w:eastAsia="仿宋_GB2312"/>
          <w:spacing w:val="3"/>
          <w:sz w:val="32"/>
          <w:szCs w:val="32"/>
        </w:rPr>
        <w:t xml:space="preserve">     </w:t>
      </w:r>
      <w:r>
        <w:rPr>
          <w:rFonts w:ascii="Times New Roman" w:hAnsi="Times New Roman" w:eastAsia="仿宋_GB2312"/>
          <w:spacing w:val="3"/>
          <w:sz w:val="32"/>
          <w:szCs w:val="32"/>
        </w:rPr>
        <w:t>尤毓清</w:t>
      </w:r>
      <w:r>
        <w:rPr>
          <w:rFonts w:ascii="Times New Roman" w:hAnsi="Times New Roman" w:eastAsia="仿宋_GB2312"/>
          <w:sz w:val="32"/>
          <w:szCs w:val="32"/>
        </w:rPr>
        <w:t xml:space="preserve"> 86367827</w:t>
      </w:r>
    </w:p>
    <w:p>
      <w:pPr>
        <w:spacing w:line="560" w:lineRule="exact"/>
        <w:ind w:firstLine="640" w:firstLineChars="200"/>
        <w:jc w:val="left"/>
        <w:rPr>
          <w:rFonts w:ascii="Times New Roman" w:hAnsi="Times New Roman" w:eastAsia="仿宋_GB2312"/>
          <w:sz w:val="32"/>
          <w:szCs w:val="32"/>
        </w:rPr>
      </w:pPr>
    </w:p>
    <w:p>
      <w:pPr>
        <w:spacing w:line="560" w:lineRule="exact"/>
        <w:ind w:firstLine="640"/>
        <w:rPr>
          <w:rFonts w:ascii="Times New Roman" w:hAnsi="Times New Roman" w:eastAsia="仿宋_GB2312"/>
          <w:spacing w:val="3"/>
          <w:sz w:val="32"/>
          <w:szCs w:val="32"/>
        </w:rPr>
      </w:pPr>
      <w:r>
        <w:rPr>
          <w:rFonts w:ascii="Times New Roman" w:hAnsi="Times New Roman" w:eastAsia="仿宋_GB2312"/>
          <w:sz w:val="32"/>
          <w:szCs w:val="32"/>
        </w:rPr>
        <w:t>附件：1.</w:t>
      </w:r>
      <w:r>
        <w:rPr>
          <w:rFonts w:ascii="Times New Roman" w:hAnsi="Times New Roman" w:eastAsia="仿宋_GB2312"/>
          <w:spacing w:val="3"/>
          <w:sz w:val="32"/>
          <w:szCs w:val="32"/>
        </w:rPr>
        <w:t>南安市学校食品安全“双随机”联合抽查事项清单</w:t>
      </w:r>
    </w:p>
    <w:p>
      <w:pPr>
        <w:spacing w:line="560" w:lineRule="exact"/>
        <w:ind w:left="1596" w:leftChars="760"/>
        <w:rPr>
          <w:rFonts w:ascii="Times New Roman" w:hAnsi="Times New Roman" w:eastAsia="仿宋_GB2312"/>
          <w:sz w:val="32"/>
          <w:szCs w:val="32"/>
        </w:rPr>
      </w:pPr>
      <w:r>
        <w:rPr>
          <w:rFonts w:ascii="Times New Roman" w:hAnsi="Times New Roman" w:eastAsia="仿宋_GB2312"/>
          <w:sz w:val="32"/>
          <w:szCs w:val="32"/>
        </w:rPr>
        <w:t>2.</w:t>
      </w:r>
      <w:r>
        <w:rPr>
          <w:rFonts w:ascii="Times New Roman" w:hAnsi="Times New Roman" w:eastAsia="仿宋_GB2312"/>
          <w:w w:val="93"/>
          <w:sz w:val="32"/>
          <w:szCs w:val="32"/>
        </w:rPr>
        <w:t>南安市2023年学校食品安全“双随机”联合抽查安排表</w:t>
      </w:r>
    </w:p>
    <w:p>
      <w:pPr>
        <w:spacing w:line="560" w:lineRule="exact"/>
        <w:ind w:firstLine="1609" w:firstLineChars="503"/>
        <w:rPr>
          <w:rFonts w:ascii="Times New Roman" w:hAnsi="Times New Roman" w:eastAsia="仿宋_GB2312"/>
          <w:w w:val="97"/>
          <w:sz w:val="32"/>
          <w:szCs w:val="32"/>
        </w:rPr>
      </w:pPr>
      <w:r>
        <w:rPr>
          <w:rFonts w:ascii="Times New Roman" w:hAnsi="Times New Roman" w:eastAsia="仿宋_GB2312"/>
          <w:sz w:val="32"/>
          <w:szCs w:val="32"/>
        </w:rPr>
        <w:t>3.</w:t>
      </w:r>
      <w:r>
        <w:rPr>
          <w:rFonts w:ascii="Times New Roman" w:hAnsi="Times New Roman" w:eastAsia="仿宋_GB2312"/>
          <w:w w:val="99"/>
          <w:sz w:val="32"/>
          <w:szCs w:val="32"/>
        </w:rPr>
        <w:t>南安市学校食品安全“双随机”联合抽查结果记录表</w:t>
      </w:r>
      <w:r>
        <w:rPr>
          <w:rFonts w:ascii="Times New Roman" w:hAnsi="Times New Roman" w:eastAsia="仿宋_GB2312"/>
          <w:w w:val="97"/>
          <w:sz w:val="32"/>
          <w:szCs w:val="32"/>
        </w:rPr>
        <w:t xml:space="preserve"> </w:t>
      </w:r>
    </w:p>
    <w:p>
      <w:pPr>
        <w:spacing w:line="560" w:lineRule="exact"/>
        <w:ind w:firstLine="640"/>
        <w:rPr>
          <w:rFonts w:ascii="Times New Roman" w:hAnsi="Times New Roman" w:eastAsia="仿宋_GB2312"/>
          <w:sz w:val="32"/>
          <w:szCs w:val="32"/>
        </w:rPr>
      </w:pPr>
      <w:r>
        <w:rPr>
          <w:rFonts w:ascii="Times New Roman" w:hAnsi="Times New Roman" w:eastAsia="仿宋_GB2312"/>
          <w:sz w:val="32"/>
          <w:szCs w:val="32"/>
        </w:rPr>
        <w:tab/>
      </w: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r>
        <w:rPr>
          <w:rFonts w:ascii="Times New Roman" w:hAnsi="Times New Roman" w:eastAsia="仿宋_GB2312" w:cs="Times New Roman"/>
          <w:spacing w:val="3"/>
          <w:sz w:val="32"/>
          <w:szCs w:val="32"/>
          <w:lang w:eastAsia="zh-CN"/>
        </w:rPr>
        <w:t xml:space="preserve">                            </w:t>
      </w: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spacing w:line="480" w:lineRule="exact"/>
        <w:ind w:left="-840" w:leftChars="-400" w:right="-1153" w:rightChars="-549" w:firstLine="640" w:firstLineChars="200"/>
        <w:rPr>
          <w:rFonts w:hint="eastAsia" w:ascii="黑体" w:hAnsi="黑体" w:eastAsia="黑体" w:cs="黑体"/>
          <w:sz w:val="32"/>
          <w:szCs w:val="32"/>
        </w:rPr>
      </w:pPr>
      <w:r>
        <w:rPr>
          <w:rFonts w:hint="eastAsia" w:ascii="黑体" w:hAnsi="黑体" w:eastAsia="黑体" w:cs="黑体"/>
          <w:sz w:val="32"/>
          <w:szCs w:val="32"/>
        </w:rPr>
        <w:t>附件1</w:t>
      </w:r>
    </w:p>
    <w:p>
      <w:pPr>
        <w:spacing w:line="480" w:lineRule="exact"/>
        <w:ind w:left="-840" w:leftChars="-400" w:right="-1153" w:rightChars="-549"/>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南安市学校食品安全“双随机”联合抽查</w:t>
      </w:r>
    </w:p>
    <w:p>
      <w:pPr>
        <w:spacing w:line="480" w:lineRule="exact"/>
        <w:ind w:left="-840" w:leftChars="-400" w:right="-1153" w:rightChars="-549"/>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事项清单</w:t>
      </w:r>
    </w:p>
    <w:p>
      <w:pPr>
        <w:spacing w:line="480" w:lineRule="auto"/>
        <w:ind w:left="-199" w:leftChars="-95"/>
        <w:jc w:val="left"/>
        <w:rPr>
          <w:rFonts w:hint="eastAsia" w:ascii="黑体" w:hAnsi="黑体" w:eastAsia="黑体" w:cs="黑体"/>
          <w:sz w:val="28"/>
          <w:szCs w:val="28"/>
        </w:rPr>
      </w:pPr>
      <w:r>
        <w:rPr>
          <w:rFonts w:hint="eastAsia" w:ascii="黑体" w:hAnsi="黑体" w:eastAsia="黑体" w:cs="黑体"/>
          <w:sz w:val="28"/>
          <w:szCs w:val="28"/>
        </w:rPr>
        <w:t>被检查主体（盖章）：                          检查时间：</w:t>
      </w:r>
    </w:p>
    <w:tbl>
      <w:tblPr>
        <w:tblStyle w:val="9"/>
        <w:tblW w:w="10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1"/>
        <w:gridCol w:w="671"/>
        <w:gridCol w:w="970"/>
        <w:gridCol w:w="731"/>
        <w:gridCol w:w="5128"/>
        <w:gridCol w:w="1186"/>
        <w:gridCol w:w="809"/>
      </w:tblGrid>
      <w:tr>
        <w:tblPrEx>
          <w:tblCellMar>
            <w:top w:w="0" w:type="dxa"/>
            <w:left w:w="108" w:type="dxa"/>
            <w:bottom w:w="0" w:type="dxa"/>
            <w:right w:w="108" w:type="dxa"/>
          </w:tblCellMar>
        </w:tblPrEx>
        <w:trPr>
          <w:trHeight w:val="615" w:hRule="atLeast"/>
          <w:jc w:val="center"/>
        </w:trPr>
        <w:tc>
          <w:tcPr>
            <w:tcW w:w="1011" w:type="dxa"/>
            <w:vAlign w:val="center"/>
          </w:tcPr>
          <w:p>
            <w:pPr>
              <w:jc w:val="center"/>
              <w:rPr>
                <w:rFonts w:hint="eastAsia" w:ascii="黑体" w:hAnsi="黑体" w:eastAsia="黑体" w:cs="黑体"/>
                <w:bCs/>
              </w:rPr>
            </w:pPr>
            <w:r>
              <w:rPr>
                <w:rFonts w:hint="eastAsia" w:ascii="黑体" w:hAnsi="黑体" w:eastAsia="黑体" w:cs="黑体"/>
                <w:bCs/>
              </w:rPr>
              <w:t>重点检查点位</w:t>
            </w:r>
          </w:p>
        </w:tc>
        <w:tc>
          <w:tcPr>
            <w:tcW w:w="671" w:type="dxa"/>
            <w:vAlign w:val="center"/>
          </w:tcPr>
          <w:p>
            <w:pPr>
              <w:jc w:val="center"/>
              <w:rPr>
                <w:rFonts w:hint="eastAsia" w:ascii="黑体" w:hAnsi="黑体" w:eastAsia="黑体" w:cs="黑体"/>
                <w:bCs/>
              </w:rPr>
            </w:pPr>
            <w:r>
              <w:rPr>
                <w:rFonts w:hint="eastAsia" w:ascii="黑体" w:hAnsi="黑体" w:eastAsia="黑体" w:cs="黑体"/>
                <w:bCs/>
              </w:rPr>
              <w:t>项目序号</w:t>
            </w:r>
          </w:p>
        </w:tc>
        <w:tc>
          <w:tcPr>
            <w:tcW w:w="970" w:type="dxa"/>
            <w:vAlign w:val="center"/>
          </w:tcPr>
          <w:p>
            <w:pPr>
              <w:jc w:val="center"/>
              <w:rPr>
                <w:rFonts w:hint="eastAsia" w:ascii="黑体" w:hAnsi="黑体" w:eastAsia="黑体" w:cs="黑体"/>
                <w:bCs/>
              </w:rPr>
            </w:pPr>
            <w:r>
              <w:rPr>
                <w:rFonts w:hint="eastAsia" w:ascii="黑体" w:hAnsi="黑体" w:eastAsia="黑体" w:cs="黑体"/>
                <w:bCs/>
              </w:rPr>
              <w:t>检查项目</w:t>
            </w:r>
          </w:p>
        </w:tc>
        <w:tc>
          <w:tcPr>
            <w:tcW w:w="731" w:type="dxa"/>
            <w:vAlign w:val="center"/>
          </w:tcPr>
          <w:p>
            <w:pPr>
              <w:jc w:val="center"/>
              <w:rPr>
                <w:rFonts w:hint="eastAsia" w:ascii="黑体" w:hAnsi="黑体" w:eastAsia="黑体" w:cs="黑体"/>
                <w:bCs/>
              </w:rPr>
            </w:pPr>
            <w:r>
              <w:rPr>
                <w:rFonts w:hint="eastAsia" w:ascii="黑体" w:hAnsi="黑体" w:eastAsia="黑体" w:cs="黑体"/>
                <w:bCs/>
              </w:rPr>
              <w:t>检查序号</w:t>
            </w:r>
          </w:p>
        </w:tc>
        <w:tc>
          <w:tcPr>
            <w:tcW w:w="5128" w:type="dxa"/>
            <w:vAlign w:val="center"/>
          </w:tcPr>
          <w:p>
            <w:pPr>
              <w:jc w:val="center"/>
              <w:rPr>
                <w:rFonts w:hint="eastAsia" w:ascii="黑体" w:hAnsi="黑体" w:eastAsia="黑体" w:cs="黑体"/>
                <w:bCs/>
              </w:rPr>
            </w:pPr>
            <w:r>
              <w:rPr>
                <w:rFonts w:hint="eastAsia" w:ascii="黑体" w:hAnsi="黑体" w:eastAsia="黑体" w:cs="黑体"/>
                <w:bCs/>
              </w:rPr>
              <w:t>检查内容</w:t>
            </w:r>
          </w:p>
        </w:tc>
        <w:tc>
          <w:tcPr>
            <w:tcW w:w="1186" w:type="dxa"/>
            <w:vAlign w:val="center"/>
          </w:tcPr>
          <w:p>
            <w:pPr>
              <w:jc w:val="center"/>
              <w:rPr>
                <w:rFonts w:hint="eastAsia" w:ascii="黑体" w:hAnsi="黑体" w:eastAsia="黑体" w:cs="黑体"/>
                <w:bCs/>
              </w:rPr>
            </w:pPr>
            <w:r>
              <w:rPr>
                <w:rFonts w:hint="eastAsia" w:ascii="黑体" w:hAnsi="黑体" w:eastAsia="黑体" w:cs="黑体"/>
                <w:bCs/>
              </w:rPr>
              <w:t>检查结果</w:t>
            </w:r>
          </w:p>
        </w:tc>
        <w:tc>
          <w:tcPr>
            <w:tcW w:w="809" w:type="dxa"/>
            <w:vAlign w:val="center"/>
          </w:tcPr>
          <w:p>
            <w:pPr>
              <w:jc w:val="center"/>
              <w:rPr>
                <w:rFonts w:hint="eastAsia" w:ascii="黑体" w:hAnsi="黑体" w:eastAsia="黑体" w:cs="黑体"/>
                <w:b/>
                <w:bCs/>
              </w:rPr>
            </w:pPr>
            <w:r>
              <w:rPr>
                <w:rFonts w:hint="eastAsia" w:ascii="黑体" w:hAnsi="黑体" w:eastAsia="黑体" w:cs="黑体"/>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11" w:type="dxa"/>
            <w:vMerge w:val="restart"/>
            <w:vAlign w:val="center"/>
          </w:tcPr>
          <w:p>
            <w:pPr>
              <w:jc w:val="center"/>
            </w:pPr>
            <w:r>
              <w:rPr>
                <w:rFonts w:hint="eastAsia"/>
              </w:rPr>
              <w:t>信息公示区</w:t>
            </w:r>
          </w:p>
        </w:tc>
        <w:tc>
          <w:tcPr>
            <w:tcW w:w="671" w:type="dxa"/>
            <w:vMerge w:val="restart"/>
            <w:vAlign w:val="center"/>
          </w:tcPr>
          <w:p>
            <w:pPr>
              <w:jc w:val="center"/>
            </w:pPr>
            <w:r>
              <w:t>1</w:t>
            </w:r>
          </w:p>
        </w:tc>
        <w:tc>
          <w:tcPr>
            <w:tcW w:w="970" w:type="dxa"/>
            <w:vMerge w:val="restart"/>
            <w:vAlign w:val="center"/>
          </w:tcPr>
          <w:p>
            <w:pPr>
              <w:jc w:val="center"/>
              <w:rPr>
                <w:rFonts w:hint="eastAsia"/>
              </w:rPr>
            </w:pPr>
            <w:r>
              <w:rPr>
                <w:rFonts w:hint="eastAsia"/>
              </w:rPr>
              <w:t>信息公示</w:t>
            </w:r>
          </w:p>
        </w:tc>
        <w:tc>
          <w:tcPr>
            <w:tcW w:w="731" w:type="dxa"/>
            <w:vAlign w:val="center"/>
          </w:tcPr>
          <w:p>
            <w:pPr>
              <w:jc w:val="center"/>
            </w:pPr>
            <w:r>
              <w:t>101</w:t>
            </w:r>
          </w:p>
        </w:tc>
        <w:tc>
          <w:tcPr>
            <w:tcW w:w="5128" w:type="dxa"/>
            <w:vAlign w:val="center"/>
          </w:tcPr>
          <w:p>
            <w:r>
              <w:rPr>
                <w:rFonts w:hint="eastAsia"/>
              </w:rPr>
              <w:t>在就餐区等经营场所醒目位置公示食品经营许可证、上一次日常监督检查结果记录表、从事接触直接入口食品工作的从业人员健康证明等。</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102</w:t>
            </w:r>
          </w:p>
        </w:tc>
        <w:tc>
          <w:tcPr>
            <w:tcW w:w="5128" w:type="dxa"/>
            <w:vAlign w:val="center"/>
          </w:tcPr>
          <w:p>
            <w:r>
              <w:rPr>
                <w:rFonts w:hint="eastAsia"/>
              </w:rPr>
              <w:t>公示食品原料进货来源、供餐单位等信息。</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1011" w:type="dxa"/>
            <w:vMerge w:val="continue"/>
            <w:vAlign w:val="center"/>
          </w:tcPr>
          <w:p>
            <w:pPr>
              <w:jc w:val="center"/>
            </w:pPr>
          </w:p>
        </w:tc>
        <w:tc>
          <w:tcPr>
            <w:tcW w:w="671" w:type="dxa"/>
            <w:vAlign w:val="center"/>
          </w:tcPr>
          <w:p>
            <w:pPr>
              <w:jc w:val="center"/>
            </w:pPr>
            <w:r>
              <w:t>2</w:t>
            </w:r>
          </w:p>
        </w:tc>
        <w:tc>
          <w:tcPr>
            <w:tcW w:w="970" w:type="dxa"/>
            <w:vAlign w:val="center"/>
          </w:tcPr>
          <w:p>
            <w:pPr>
              <w:jc w:val="center"/>
            </w:pPr>
            <w:r>
              <w:rPr>
                <w:rFonts w:hint="eastAsia"/>
              </w:rPr>
              <w:t>食品经营许可</w:t>
            </w:r>
          </w:p>
        </w:tc>
        <w:tc>
          <w:tcPr>
            <w:tcW w:w="731" w:type="dxa"/>
            <w:vAlign w:val="center"/>
          </w:tcPr>
          <w:p>
            <w:pPr>
              <w:jc w:val="center"/>
            </w:pPr>
            <w:r>
              <w:t>201</w:t>
            </w:r>
          </w:p>
        </w:tc>
        <w:tc>
          <w:tcPr>
            <w:tcW w:w="5128" w:type="dxa"/>
            <w:vAlign w:val="center"/>
          </w:tcPr>
          <w:p>
            <w:r>
              <w:rPr>
                <w:rFonts w:hint="eastAsia"/>
              </w:rPr>
              <w:t>食品经营许可证合法有效，实际经营地址、许可项目等事项与食品经营许可证一致。</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11" w:type="dxa"/>
            <w:vMerge w:val="restart"/>
            <w:vAlign w:val="center"/>
          </w:tcPr>
          <w:p>
            <w:pPr>
              <w:jc w:val="center"/>
            </w:pPr>
            <w:r>
              <w:rPr>
                <w:rFonts w:hint="eastAsia"/>
              </w:rPr>
              <w:t>原料贮存区</w:t>
            </w:r>
          </w:p>
        </w:tc>
        <w:tc>
          <w:tcPr>
            <w:tcW w:w="671" w:type="dxa"/>
            <w:vMerge w:val="restart"/>
            <w:vAlign w:val="center"/>
          </w:tcPr>
          <w:p>
            <w:pPr>
              <w:jc w:val="center"/>
            </w:pPr>
            <w:r>
              <w:t>3</w:t>
            </w:r>
          </w:p>
        </w:tc>
        <w:tc>
          <w:tcPr>
            <w:tcW w:w="970" w:type="dxa"/>
            <w:vMerge w:val="restart"/>
            <w:vAlign w:val="center"/>
          </w:tcPr>
          <w:p>
            <w:pPr>
              <w:jc w:val="center"/>
            </w:pPr>
            <w:r>
              <w:rPr>
                <w:rFonts w:hint="eastAsia"/>
              </w:rPr>
              <w:t>原料贮存</w:t>
            </w:r>
          </w:p>
        </w:tc>
        <w:tc>
          <w:tcPr>
            <w:tcW w:w="731" w:type="dxa"/>
            <w:vAlign w:val="center"/>
          </w:tcPr>
          <w:p>
            <w:pPr>
              <w:jc w:val="center"/>
            </w:pPr>
            <w:r>
              <w:t>301</w:t>
            </w:r>
          </w:p>
        </w:tc>
        <w:tc>
          <w:tcPr>
            <w:tcW w:w="5128" w:type="dxa"/>
            <w:vAlign w:val="center"/>
          </w:tcPr>
          <w:p>
            <w:r>
              <w:rPr>
                <w:rFonts w:hint="eastAsia"/>
                <w:bCs/>
                <w:szCs w:val="21"/>
              </w:rPr>
              <w:t>同一库房内贮存不同类别的食品和非食品（如食品包装材料等），分设存放区域，不同区域有明显的区分标识。</w:t>
            </w:r>
          </w:p>
        </w:tc>
        <w:tc>
          <w:tcPr>
            <w:tcW w:w="1186" w:type="dxa"/>
            <w:vAlign w:val="center"/>
          </w:tcPr>
          <w:p>
            <w:pPr>
              <w:jc w:val="center"/>
            </w:pPr>
            <w:r>
              <w:rPr>
                <w:rFonts w:hint="eastAsia"/>
              </w:rPr>
              <w:sym w:font="Wingdings 2" w:char="00A3"/>
            </w: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302</w:t>
            </w:r>
          </w:p>
        </w:tc>
        <w:tc>
          <w:tcPr>
            <w:tcW w:w="5128" w:type="dxa"/>
            <w:vAlign w:val="center"/>
          </w:tcPr>
          <w:p>
            <w:r>
              <w:rPr>
                <w:rFonts w:hint="eastAsia"/>
              </w:rPr>
              <w:t>冷冻（藏）设施正常运转，有正确显示设施内部温度的温度计或温度显示装置，设施内部温度符合规定。冷冻（藏）库使用防爆灯。</w:t>
            </w:r>
          </w:p>
        </w:tc>
        <w:tc>
          <w:tcPr>
            <w:tcW w:w="1186" w:type="dxa"/>
            <w:vAlign w:val="center"/>
          </w:tcPr>
          <w:p>
            <w:pPr>
              <w:jc w:val="center"/>
            </w:pPr>
            <w:r>
              <w:rPr>
                <w:rFonts w:hint="eastAsia"/>
              </w:rPr>
              <w:sym w:font="Wingdings 2" w:char="00A3"/>
            </w: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303</w:t>
            </w:r>
          </w:p>
        </w:tc>
        <w:tc>
          <w:tcPr>
            <w:tcW w:w="5128" w:type="dxa"/>
            <w:vAlign w:val="center"/>
          </w:tcPr>
          <w:p>
            <w:r>
              <w:rPr>
                <w:rFonts w:hint="eastAsia"/>
              </w:rPr>
              <w:t>设有存放食品添加剂的专柜（位），并标注“食品添加剂”字样。食品添加剂的标签上标注有使用范围、用量、使用方法等内容。</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304</w:t>
            </w:r>
          </w:p>
        </w:tc>
        <w:tc>
          <w:tcPr>
            <w:tcW w:w="5128" w:type="dxa"/>
            <w:vAlign w:val="center"/>
          </w:tcPr>
          <w:p>
            <w:r>
              <w:rPr>
                <w:rFonts w:hint="eastAsia"/>
              </w:rPr>
              <w:t>中小学、幼儿园食堂未采购、贮存四季豆、鲜黄花菜、野生蘑菇、发芽土豆等高风险食品原料。</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1" w:type="dxa"/>
            <w:vMerge w:val="continue"/>
            <w:vAlign w:val="center"/>
          </w:tcPr>
          <w:p>
            <w:pPr>
              <w:jc w:val="center"/>
            </w:pPr>
          </w:p>
        </w:tc>
        <w:tc>
          <w:tcPr>
            <w:tcW w:w="671" w:type="dxa"/>
            <w:vMerge w:val="restart"/>
            <w:vAlign w:val="center"/>
          </w:tcPr>
          <w:p>
            <w:pPr>
              <w:jc w:val="center"/>
            </w:pPr>
            <w:r>
              <w:t>4</w:t>
            </w:r>
          </w:p>
        </w:tc>
        <w:tc>
          <w:tcPr>
            <w:tcW w:w="970" w:type="dxa"/>
            <w:vMerge w:val="restart"/>
            <w:vAlign w:val="center"/>
          </w:tcPr>
          <w:p>
            <w:pPr>
              <w:jc w:val="center"/>
            </w:pPr>
            <w:r>
              <w:rPr>
                <w:rFonts w:hint="eastAsia"/>
              </w:rPr>
              <w:t>原料质量检查</w:t>
            </w:r>
          </w:p>
        </w:tc>
        <w:tc>
          <w:tcPr>
            <w:tcW w:w="731" w:type="dxa"/>
            <w:vAlign w:val="center"/>
          </w:tcPr>
          <w:p>
            <w:pPr>
              <w:jc w:val="center"/>
            </w:pPr>
            <w:r>
              <w:t>401</w:t>
            </w:r>
          </w:p>
        </w:tc>
        <w:tc>
          <w:tcPr>
            <w:tcW w:w="5128" w:type="dxa"/>
            <w:vAlign w:val="center"/>
          </w:tcPr>
          <w:p>
            <w:r>
              <w:rPr>
                <w:rFonts w:hint="eastAsia"/>
              </w:rPr>
              <w:t>食品具有正常的感官性状，无超过保质期、无腐败变质等异常情形。</w:t>
            </w:r>
          </w:p>
        </w:tc>
        <w:tc>
          <w:tcPr>
            <w:tcW w:w="1186" w:type="dxa"/>
            <w:vAlign w:val="center"/>
          </w:tcPr>
          <w:p>
            <w:pPr>
              <w:jc w:val="center"/>
            </w:pPr>
            <w:r>
              <w:rPr>
                <w:rFonts w:hint="eastAsia"/>
              </w:rPr>
              <w:t>□是□否</w:t>
            </w:r>
          </w:p>
        </w:tc>
        <w:tc>
          <w:tcPr>
            <w:tcW w:w="809" w:type="dxa"/>
          </w:tcPr>
          <w:p>
            <w:pPr>
              <w:jc w:val="center"/>
            </w:pPr>
          </w:p>
        </w:tc>
      </w:tr>
      <w:tr>
        <w:tblPrEx>
          <w:tblCellMar>
            <w:top w:w="0" w:type="dxa"/>
            <w:left w:w="108" w:type="dxa"/>
            <w:bottom w:w="0" w:type="dxa"/>
            <w:right w:w="108" w:type="dxa"/>
          </w:tblCellMar>
        </w:tblPrEx>
        <w:trPr>
          <w:trHeight w:val="375"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402</w:t>
            </w:r>
          </w:p>
        </w:tc>
        <w:tc>
          <w:tcPr>
            <w:tcW w:w="5128" w:type="dxa"/>
            <w:vAlign w:val="center"/>
          </w:tcPr>
          <w:p>
            <w:r>
              <w:rPr>
                <w:rFonts w:hint="eastAsia"/>
              </w:rPr>
              <w:t>对变质、超过保质期或者回收的食品进行显著标示或者单独存放在有明确标志的场所，及时采取无害化处理、销毁等措施并如实记录。</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1011" w:type="dxa"/>
            <w:vMerge w:val="restart"/>
            <w:vAlign w:val="center"/>
          </w:tcPr>
          <w:p>
            <w:pPr>
              <w:jc w:val="center"/>
            </w:pPr>
            <w:r>
              <w:rPr>
                <w:rFonts w:hint="eastAsia"/>
              </w:rPr>
              <w:t>粗加工区</w:t>
            </w:r>
          </w:p>
        </w:tc>
        <w:tc>
          <w:tcPr>
            <w:tcW w:w="671" w:type="dxa"/>
            <w:vAlign w:val="center"/>
          </w:tcPr>
          <w:p>
            <w:pPr>
              <w:jc w:val="center"/>
            </w:pPr>
            <w:r>
              <w:t>5</w:t>
            </w:r>
          </w:p>
        </w:tc>
        <w:tc>
          <w:tcPr>
            <w:tcW w:w="970" w:type="dxa"/>
            <w:vAlign w:val="center"/>
          </w:tcPr>
          <w:p>
            <w:pPr>
              <w:jc w:val="center"/>
            </w:pPr>
            <w:r>
              <w:rPr>
                <w:rFonts w:hint="eastAsia"/>
              </w:rPr>
              <w:t>场所卫生</w:t>
            </w:r>
          </w:p>
        </w:tc>
        <w:tc>
          <w:tcPr>
            <w:tcW w:w="731" w:type="dxa"/>
            <w:vAlign w:val="center"/>
          </w:tcPr>
          <w:p>
            <w:pPr>
              <w:jc w:val="center"/>
            </w:pPr>
            <w:r>
              <w:t>501</w:t>
            </w:r>
          </w:p>
        </w:tc>
        <w:tc>
          <w:tcPr>
            <w:tcW w:w="5128" w:type="dxa"/>
            <w:vAlign w:val="center"/>
          </w:tcPr>
          <w:p>
            <w:r>
              <w:rPr>
                <w:rFonts w:hint="eastAsia"/>
              </w:rPr>
              <w:t>场所内无污染源和活禽，地面、墙壁、门窗、天花板等无霉斑、污垢、积油、积水等情形。</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continue"/>
            <w:vAlign w:val="center"/>
          </w:tcPr>
          <w:p>
            <w:pPr>
              <w:jc w:val="center"/>
            </w:pPr>
          </w:p>
        </w:tc>
        <w:tc>
          <w:tcPr>
            <w:tcW w:w="671" w:type="dxa"/>
            <w:vAlign w:val="center"/>
          </w:tcPr>
          <w:p>
            <w:pPr>
              <w:jc w:val="center"/>
            </w:pPr>
            <w:r>
              <w:t>6</w:t>
            </w:r>
          </w:p>
        </w:tc>
        <w:tc>
          <w:tcPr>
            <w:tcW w:w="970" w:type="dxa"/>
            <w:vAlign w:val="center"/>
          </w:tcPr>
          <w:p>
            <w:pPr>
              <w:jc w:val="center"/>
            </w:pPr>
            <w:r>
              <w:rPr>
                <w:rFonts w:hint="eastAsia"/>
              </w:rPr>
              <w:t>粗加工与切配</w:t>
            </w:r>
          </w:p>
        </w:tc>
        <w:tc>
          <w:tcPr>
            <w:tcW w:w="731" w:type="dxa"/>
            <w:vAlign w:val="center"/>
          </w:tcPr>
          <w:p>
            <w:pPr>
              <w:jc w:val="center"/>
            </w:pPr>
            <w:r>
              <w:t>601</w:t>
            </w:r>
          </w:p>
        </w:tc>
        <w:tc>
          <w:tcPr>
            <w:tcW w:w="5128" w:type="dxa"/>
            <w:vAlign w:val="center"/>
          </w:tcPr>
          <w:p>
            <w:r>
              <w:rPr>
                <w:rFonts w:hint="eastAsia"/>
              </w:rPr>
              <w:t>盛放或加工制作动物性、植物性、水产品等食品原料的工用具和容器分开，使用并有明显区分标识。</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restart"/>
            <w:vAlign w:val="center"/>
          </w:tcPr>
          <w:p>
            <w:pPr>
              <w:jc w:val="center"/>
            </w:pPr>
            <w:r>
              <w:rPr>
                <w:rFonts w:hint="eastAsia"/>
              </w:rPr>
              <w:t>专间</w:t>
            </w:r>
          </w:p>
        </w:tc>
        <w:tc>
          <w:tcPr>
            <w:tcW w:w="671" w:type="dxa"/>
            <w:vMerge w:val="restart"/>
            <w:vAlign w:val="center"/>
          </w:tcPr>
          <w:p>
            <w:pPr>
              <w:jc w:val="center"/>
            </w:pPr>
            <w:r>
              <w:t>7</w:t>
            </w:r>
          </w:p>
        </w:tc>
        <w:tc>
          <w:tcPr>
            <w:tcW w:w="970" w:type="dxa"/>
            <w:vMerge w:val="restart"/>
            <w:vAlign w:val="center"/>
          </w:tcPr>
          <w:p>
            <w:pPr>
              <w:jc w:val="center"/>
            </w:pPr>
            <w:r>
              <w:rPr>
                <w:rFonts w:hint="eastAsia"/>
              </w:rPr>
              <w:t>场所布局</w:t>
            </w:r>
          </w:p>
        </w:tc>
        <w:tc>
          <w:tcPr>
            <w:tcW w:w="731" w:type="dxa"/>
            <w:vAlign w:val="center"/>
          </w:tcPr>
          <w:p>
            <w:pPr>
              <w:jc w:val="center"/>
            </w:pPr>
            <w:r>
              <w:t>701</w:t>
            </w:r>
          </w:p>
        </w:tc>
        <w:tc>
          <w:tcPr>
            <w:tcW w:w="5128" w:type="dxa"/>
            <w:vAlign w:val="center"/>
          </w:tcPr>
          <w:p>
            <w:r>
              <w:rPr>
                <w:rFonts w:hint="eastAsia"/>
              </w:rPr>
              <w:t>各专间有标明用途的明显标识。</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702</w:t>
            </w:r>
          </w:p>
        </w:tc>
        <w:tc>
          <w:tcPr>
            <w:tcW w:w="5128" w:type="dxa"/>
            <w:vAlign w:val="center"/>
          </w:tcPr>
          <w:p>
            <w:r>
              <w:rPr>
                <w:rFonts w:hint="eastAsia"/>
              </w:rPr>
              <w:t>专间的门能自动闭合，窗户为封闭式（用于传递食品的除外），专间的门和食品传递窗口及时关闭。</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continue"/>
            <w:vAlign w:val="center"/>
          </w:tcPr>
          <w:p>
            <w:pPr>
              <w:jc w:val="center"/>
            </w:pPr>
          </w:p>
        </w:tc>
        <w:tc>
          <w:tcPr>
            <w:tcW w:w="671" w:type="dxa"/>
            <w:vAlign w:val="center"/>
          </w:tcPr>
          <w:p>
            <w:pPr>
              <w:jc w:val="center"/>
            </w:pPr>
            <w:r>
              <w:t>8</w:t>
            </w:r>
          </w:p>
        </w:tc>
        <w:tc>
          <w:tcPr>
            <w:tcW w:w="970" w:type="dxa"/>
            <w:vAlign w:val="center"/>
          </w:tcPr>
          <w:p>
            <w:pPr>
              <w:jc w:val="center"/>
            </w:pPr>
            <w:r>
              <w:rPr>
                <w:rFonts w:hint="eastAsia"/>
              </w:rPr>
              <w:t>设施设备</w:t>
            </w:r>
          </w:p>
        </w:tc>
        <w:tc>
          <w:tcPr>
            <w:tcW w:w="731" w:type="dxa"/>
            <w:vAlign w:val="center"/>
          </w:tcPr>
          <w:p>
            <w:pPr>
              <w:jc w:val="center"/>
            </w:pPr>
            <w:r>
              <w:t>801</w:t>
            </w:r>
          </w:p>
        </w:tc>
        <w:tc>
          <w:tcPr>
            <w:tcW w:w="5128" w:type="dxa"/>
            <w:vAlign w:val="center"/>
          </w:tcPr>
          <w:p>
            <w:r>
              <w:rPr>
                <w:rFonts w:hint="eastAsia"/>
              </w:rPr>
              <w:t>专间内设有空气消毒、冷冻（藏）、独立的空调等设施，专间内温度不高于</w:t>
            </w:r>
            <w:r>
              <w:t>25</w:t>
            </w:r>
            <w:r>
              <w:rPr>
                <w:rFonts w:hint="eastAsia"/>
              </w:rPr>
              <w:t>℃。</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11" w:type="dxa"/>
            <w:vMerge w:val="continue"/>
            <w:vAlign w:val="center"/>
          </w:tcPr>
          <w:p>
            <w:pPr>
              <w:jc w:val="center"/>
            </w:pPr>
          </w:p>
        </w:tc>
        <w:tc>
          <w:tcPr>
            <w:tcW w:w="671" w:type="dxa"/>
            <w:vAlign w:val="center"/>
          </w:tcPr>
          <w:p>
            <w:pPr>
              <w:jc w:val="center"/>
            </w:pPr>
            <w:r>
              <w:t>9</w:t>
            </w:r>
          </w:p>
        </w:tc>
        <w:tc>
          <w:tcPr>
            <w:tcW w:w="970" w:type="dxa"/>
            <w:vAlign w:val="center"/>
          </w:tcPr>
          <w:p>
            <w:pPr>
              <w:jc w:val="center"/>
            </w:pPr>
            <w:r>
              <w:rPr>
                <w:rFonts w:hint="eastAsia"/>
              </w:rPr>
              <w:t>人员</w:t>
            </w:r>
          </w:p>
        </w:tc>
        <w:tc>
          <w:tcPr>
            <w:tcW w:w="731" w:type="dxa"/>
            <w:vAlign w:val="center"/>
          </w:tcPr>
          <w:p>
            <w:pPr>
              <w:jc w:val="center"/>
            </w:pPr>
            <w:r>
              <w:t>901</w:t>
            </w:r>
          </w:p>
        </w:tc>
        <w:tc>
          <w:tcPr>
            <w:tcW w:w="5128" w:type="dxa"/>
            <w:vAlign w:val="center"/>
          </w:tcPr>
          <w:p>
            <w:pPr>
              <w:rPr>
                <w:spacing w:val="-8"/>
              </w:rPr>
            </w:pPr>
            <w:r>
              <w:rPr>
                <w:rFonts w:hint="eastAsia"/>
                <w:spacing w:val="-8"/>
              </w:rPr>
              <w:t>专间内由专人加工制作。加工人员穿戴专用的工作衣帽、佩戴口罩并严格清洗消毒手部后进入专间。</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continue"/>
            <w:vAlign w:val="center"/>
          </w:tcPr>
          <w:p>
            <w:pPr>
              <w:jc w:val="center"/>
            </w:pPr>
          </w:p>
        </w:tc>
        <w:tc>
          <w:tcPr>
            <w:tcW w:w="671" w:type="dxa"/>
            <w:vAlign w:val="center"/>
          </w:tcPr>
          <w:p>
            <w:pPr>
              <w:jc w:val="center"/>
            </w:pPr>
            <w:r>
              <w:t>10</w:t>
            </w:r>
          </w:p>
        </w:tc>
        <w:tc>
          <w:tcPr>
            <w:tcW w:w="970" w:type="dxa"/>
            <w:vAlign w:val="center"/>
          </w:tcPr>
          <w:p>
            <w:pPr>
              <w:jc w:val="center"/>
            </w:pPr>
            <w:r>
              <w:rPr>
                <w:rFonts w:hint="eastAsia"/>
              </w:rPr>
              <w:t>加工制作</w:t>
            </w:r>
          </w:p>
        </w:tc>
        <w:tc>
          <w:tcPr>
            <w:tcW w:w="731" w:type="dxa"/>
            <w:vAlign w:val="center"/>
          </w:tcPr>
          <w:p>
            <w:pPr>
              <w:jc w:val="center"/>
            </w:pPr>
            <w:r>
              <w:t>1001</w:t>
            </w:r>
          </w:p>
        </w:tc>
        <w:tc>
          <w:tcPr>
            <w:tcW w:w="5128" w:type="dxa"/>
            <w:vAlign w:val="center"/>
          </w:tcPr>
          <w:p>
            <w:r>
              <w:rPr>
                <w:rFonts w:hint="eastAsia"/>
              </w:rPr>
              <w:t>中小学、幼儿园食堂未制售冷荤类食品、生食类食品、裱花蛋糕。</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continue"/>
            <w:vAlign w:val="center"/>
          </w:tcPr>
          <w:p>
            <w:pPr>
              <w:jc w:val="center"/>
            </w:pPr>
          </w:p>
        </w:tc>
        <w:tc>
          <w:tcPr>
            <w:tcW w:w="671" w:type="dxa"/>
            <w:vAlign w:val="center"/>
          </w:tcPr>
          <w:p>
            <w:pPr>
              <w:jc w:val="center"/>
            </w:pPr>
            <w:r>
              <w:t>11</w:t>
            </w:r>
          </w:p>
        </w:tc>
        <w:tc>
          <w:tcPr>
            <w:tcW w:w="970" w:type="dxa"/>
            <w:vAlign w:val="center"/>
          </w:tcPr>
          <w:p>
            <w:pPr>
              <w:jc w:val="center"/>
            </w:pPr>
            <w:r>
              <w:rPr>
                <w:rFonts w:hint="eastAsia"/>
              </w:rPr>
              <w:t>废弃物要求</w:t>
            </w:r>
          </w:p>
        </w:tc>
        <w:tc>
          <w:tcPr>
            <w:tcW w:w="731" w:type="dxa"/>
            <w:vAlign w:val="center"/>
          </w:tcPr>
          <w:p>
            <w:pPr>
              <w:jc w:val="center"/>
            </w:pPr>
            <w:r>
              <w:t>1101</w:t>
            </w:r>
          </w:p>
        </w:tc>
        <w:tc>
          <w:tcPr>
            <w:tcW w:w="5128" w:type="dxa"/>
            <w:vAlign w:val="center"/>
          </w:tcPr>
          <w:p>
            <w:r>
              <w:rPr>
                <w:rFonts w:hint="eastAsia"/>
              </w:rPr>
              <w:t>专间内的废弃物容器的盖子为非手动开启式。</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restart"/>
            <w:vAlign w:val="center"/>
          </w:tcPr>
          <w:p>
            <w:pPr>
              <w:jc w:val="center"/>
            </w:pPr>
            <w:r>
              <w:rPr>
                <w:rFonts w:hint="eastAsia"/>
              </w:rPr>
              <w:t>专用操作区</w:t>
            </w:r>
          </w:p>
        </w:tc>
        <w:tc>
          <w:tcPr>
            <w:tcW w:w="671" w:type="dxa"/>
            <w:vMerge w:val="restart"/>
            <w:vAlign w:val="center"/>
          </w:tcPr>
          <w:p>
            <w:pPr>
              <w:jc w:val="center"/>
            </w:pPr>
            <w:r>
              <w:t>12</w:t>
            </w:r>
          </w:p>
        </w:tc>
        <w:tc>
          <w:tcPr>
            <w:tcW w:w="970" w:type="dxa"/>
            <w:vMerge w:val="restart"/>
            <w:vAlign w:val="center"/>
          </w:tcPr>
          <w:p>
            <w:pPr>
              <w:jc w:val="center"/>
            </w:pPr>
            <w:r>
              <w:rPr>
                <w:rFonts w:hint="eastAsia"/>
              </w:rPr>
              <w:t>加工制作</w:t>
            </w:r>
          </w:p>
        </w:tc>
        <w:tc>
          <w:tcPr>
            <w:tcW w:w="731" w:type="dxa"/>
            <w:vAlign w:val="center"/>
          </w:tcPr>
          <w:p>
            <w:pPr>
              <w:jc w:val="center"/>
            </w:pPr>
            <w:r>
              <w:t>1201</w:t>
            </w:r>
          </w:p>
        </w:tc>
        <w:tc>
          <w:tcPr>
            <w:tcW w:w="5128" w:type="dxa"/>
            <w:vAlign w:val="center"/>
          </w:tcPr>
          <w:p>
            <w:r>
              <w:rPr>
                <w:rFonts w:hint="eastAsia"/>
              </w:rPr>
              <w:t>在专用操作区内进行预包装食品的拆封、装盘、调味等加工制作。</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1202</w:t>
            </w:r>
          </w:p>
        </w:tc>
        <w:tc>
          <w:tcPr>
            <w:tcW w:w="5128" w:type="dxa"/>
            <w:vAlign w:val="center"/>
          </w:tcPr>
          <w:p>
            <w:r>
              <w:rPr>
                <w:rFonts w:hint="eastAsia"/>
              </w:rPr>
              <w:t>设置专用的备餐间或者备餐操作区。</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1203</w:t>
            </w:r>
          </w:p>
        </w:tc>
        <w:tc>
          <w:tcPr>
            <w:tcW w:w="5128" w:type="dxa"/>
            <w:vAlign w:val="center"/>
          </w:tcPr>
          <w:p>
            <w:r>
              <w:rPr>
                <w:rFonts w:hint="eastAsia"/>
              </w:rPr>
              <w:t>制定并在显著位置公示加工制作规范。</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1011" w:type="dxa"/>
            <w:vMerge w:val="continue"/>
            <w:vAlign w:val="center"/>
          </w:tcPr>
          <w:p>
            <w:pPr>
              <w:jc w:val="center"/>
            </w:pPr>
          </w:p>
        </w:tc>
        <w:tc>
          <w:tcPr>
            <w:tcW w:w="671" w:type="dxa"/>
            <w:vAlign w:val="center"/>
          </w:tcPr>
          <w:p>
            <w:pPr>
              <w:jc w:val="center"/>
            </w:pPr>
            <w:r>
              <w:t>13</w:t>
            </w:r>
          </w:p>
        </w:tc>
        <w:tc>
          <w:tcPr>
            <w:tcW w:w="970" w:type="dxa"/>
            <w:vAlign w:val="center"/>
          </w:tcPr>
          <w:p>
            <w:pPr>
              <w:jc w:val="center"/>
            </w:pPr>
            <w:r>
              <w:rPr>
                <w:rFonts w:hint="eastAsia"/>
              </w:rPr>
              <w:t>人员</w:t>
            </w:r>
          </w:p>
        </w:tc>
        <w:tc>
          <w:tcPr>
            <w:tcW w:w="731" w:type="dxa"/>
            <w:vAlign w:val="center"/>
          </w:tcPr>
          <w:p>
            <w:pPr>
              <w:jc w:val="center"/>
            </w:pPr>
            <w:r>
              <w:t>1301</w:t>
            </w:r>
          </w:p>
        </w:tc>
        <w:tc>
          <w:tcPr>
            <w:tcW w:w="5128" w:type="dxa"/>
            <w:vAlign w:val="center"/>
          </w:tcPr>
          <w:p>
            <w:r>
              <w:rPr>
                <w:rFonts w:hint="eastAsia"/>
              </w:rPr>
              <w:t>加工制作人员穿戴专用的工作衣帽并按规定佩戴口罩，加工制作前严格清洗消毒手部。</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1" w:type="dxa"/>
            <w:vMerge w:val="restart"/>
            <w:vAlign w:val="center"/>
          </w:tcPr>
          <w:p>
            <w:pPr>
              <w:jc w:val="center"/>
            </w:pPr>
            <w:r>
              <w:rPr>
                <w:rFonts w:hint="eastAsia"/>
              </w:rPr>
              <w:t>烹饪区</w:t>
            </w:r>
          </w:p>
        </w:tc>
        <w:tc>
          <w:tcPr>
            <w:tcW w:w="671" w:type="dxa"/>
            <w:vMerge w:val="restart"/>
            <w:vAlign w:val="center"/>
          </w:tcPr>
          <w:p>
            <w:pPr>
              <w:jc w:val="center"/>
            </w:pPr>
            <w:r>
              <w:t>14</w:t>
            </w:r>
          </w:p>
        </w:tc>
        <w:tc>
          <w:tcPr>
            <w:tcW w:w="970" w:type="dxa"/>
            <w:vMerge w:val="restart"/>
            <w:vAlign w:val="center"/>
          </w:tcPr>
          <w:p>
            <w:pPr>
              <w:jc w:val="center"/>
            </w:pPr>
            <w:r>
              <w:rPr>
                <w:rFonts w:hint="eastAsia"/>
              </w:rPr>
              <w:t>工具容器</w:t>
            </w:r>
          </w:p>
        </w:tc>
        <w:tc>
          <w:tcPr>
            <w:tcW w:w="731" w:type="dxa"/>
            <w:vAlign w:val="center"/>
          </w:tcPr>
          <w:p>
            <w:pPr>
              <w:jc w:val="center"/>
            </w:pPr>
            <w:r>
              <w:t>1401</w:t>
            </w:r>
          </w:p>
        </w:tc>
        <w:tc>
          <w:tcPr>
            <w:tcW w:w="5128" w:type="dxa"/>
            <w:vAlign w:val="center"/>
          </w:tcPr>
          <w:p>
            <w:r>
              <w:rPr>
                <w:rFonts w:hint="eastAsia"/>
              </w:rPr>
              <w:t>盛放调味料的容器表面清洁，加盖存放。</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1402</w:t>
            </w:r>
          </w:p>
        </w:tc>
        <w:tc>
          <w:tcPr>
            <w:tcW w:w="5128" w:type="dxa"/>
            <w:vAlign w:val="center"/>
          </w:tcPr>
          <w:p>
            <w:r>
              <w:rPr>
                <w:rFonts w:hint="eastAsia"/>
              </w:rPr>
              <w:t>用于加工动物性、植物性、水产品等食品原料的容器、工用具分开使用，并有明显区分标识。</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1011" w:type="dxa"/>
            <w:vMerge w:val="continue"/>
            <w:vAlign w:val="center"/>
          </w:tcPr>
          <w:p>
            <w:pPr>
              <w:jc w:val="center"/>
            </w:pPr>
          </w:p>
        </w:tc>
        <w:tc>
          <w:tcPr>
            <w:tcW w:w="671" w:type="dxa"/>
            <w:vAlign w:val="center"/>
          </w:tcPr>
          <w:p>
            <w:pPr>
              <w:jc w:val="center"/>
            </w:pPr>
            <w:r>
              <w:t>15</w:t>
            </w:r>
          </w:p>
        </w:tc>
        <w:tc>
          <w:tcPr>
            <w:tcW w:w="970" w:type="dxa"/>
            <w:vAlign w:val="center"/>
          </w:tcPr>
          <w:p>
            <w:pPr>
              <w:jc w:val="center"/>
            </w:pPr>
            <w:r>
              <w:rPr>
                <w:rFonts w:hint="eastAsia"/>
                <w:sz w:val="20"/>
              </w:rPr>
              <w:t>防尘、防有害生物设施</w:t>
            </w:r>
          </w:p>
        </w:tc>
        <w:tc>
          <w:tcPr>
            <w:tcW w:w="731" w:type="dxa"/>
            <w:vAlign w:val="center"/>
          </w:tcPr>
          <w:p>
            <w:pPr>
              <w:jc w:val="center"/>
            </w:pPr>
            <w:r>
              <w:t>1501</w:t>
            </w:r>
          </w:p>
        </w:tc>
        <w:tc>
          <w:tcPr>
            <w:tcW w:w="5128" w:type="dxa"/>
            <w:vAlign w:val="center"/>
          </w:tcPr>
          <w:p>
            <w:r>
              <w:rPr>
                <w:rFonts w:hint="eastAsia"/>
              </w:rPr>
              <w:t>配备防尘、防蝇、防鼠、防虫等设施设备，能够出具有害生物消杀记录。</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011" w:type="dxa"/>
            <w:vMerge w:val="continue"/>
            <w:vAlign w:val="center"/>
          </w:tcPr>
          <w:p>
            <w:pPr>
              <w:jc w:val="center"/>
            </w:pPr>
          </w:p>
        </w:tc>
        <w:tc>
          <w:tcPr>
            <w:tcW w:w="671" w:type="dxa"/>
            <w:vAlign w:val="center"/>
          </w:tcPr>
          <w:p>
            <w:pPr>
              <w:jc w:val="center"/>
            </w:pPr>
            <w:r>
              <w:t>16</w:t>
            </w:r>
          </w:p>
        </w:tc>
        <w:tc>
          <w:tcPr>
            <w:tcW w:w="970" w:type="dxa"/>
            <w:vAlign w:val="center"/>
          </w:tcPr>
          <w:p>
            <w:pPr>
              <w:jc w:val="center"/>
            </w:pPr>
            <w:r>
              <w:rPr>
                <w:rFonts w:hint="eastAsia"/>
              </w:rPr>
              <w:t>照明、通风排烟设施</w:t>
            </w:r>
          </w:p>
        </w:tc>
        <w:tc>
          <w:tcPr>
            <w:tcW w:w="731" w:type="dxa"/>
            <w:vAlign w:val="center"/>
          </w:tcPr>
          <w:p>
            <w:pPr>
              <w:jc w:val="center"/>
            </w:pPr>
            <w:r>
              <w:t>1601</w:t>
            </w:r>
          </w:p>
        </w:tc>
        <w:tc>
          <w:tcPr>
            <w:tcW w:w="5128" w:type="dxa"/>
            <w:vAlign w:val="center"/>
          </w:tcPr>
          <w:p>
            <w:r>
              <w:rPr>
                <w:rFonts w:hint="eastAsia"/>
              </w:rPr>
              <w:t>配备通风、排烟、充足的自然光或人工照明设施，定期清洁，光源不改变食品的感官颜色。</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11" w:type="dxa"/>
            <w:vMerge w:val="continue"/>
            <w:vAlign w:val="center"/>
          </w:tcPr>
          <w:p>
            <w:pPr>
              <w:jc w:val="center"/>
            </w:pPr>
          </w:p>
        </w:tc>
        <w:tc>
          <w:tcPr>
            <w:tcW w:w="671" w:type="dxa"/>
            <w:vMerge w:val="restart"/>
            <w:vAlign w:val="center"/>
          </w:tcPr>
          <w:p>
            <w:pPr>
              <w:jc w:val="center"/>
            </w:pPr>
            <w:r>
              <w:t>17</w:t>
            </w:r>
          </w:p>
        </w:tc>
        <w:tc>
          <w:tcPr>
            <w:tcW w:w="970" w:type="dxa"/>
            <w:vMerge w:val="restart"/>
            <w:vAlign w:val="center"/>
          </w:tcPr>
          <w:p>
            <w:pPr>
              <w:jc w:val="center"/>
            </w:pPr>
            <w:r>
              <w:rPr>
                <w:rFonts w:hint="eastAsia"/>
              </w:rPr>
              <w:t>加工制作</w:t>
            </w:r>
          </w:p>
        </w:tc>
        <w:tc>
          <w:tcPr>
            <w:tcW w:w="731" w:type="dxa"/>
            <w:vAlign w:val="center"/>
          </w:tcPr>
          <w:p>
            <w:pPr>
              <w:jc w:val="center"/>
            </w:pPr>
            <w:r>
              <w:t>1701</w:t>
            </w:r>
          </w:p>
        </w:tc>
        <w:tc>
          <w:tcPr>
            <w:tcW w:w="5128" w:type="dxa"/>
            <w:vAlign w:val="center"/>
          </w:tcPr>
          <w:p>
            <w:r>
              <w:rPr>
                <w:rFonts w:hint="eastAsia"/>
              </w:rPr>
              <w:t>未在餐饮加工场所贮存和添加由国务院食品安全监督管理部门会同国务院卫生行政等部门发布的非食品用化学物质和其他可能危害人体健康的物质。</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1702</w:t>
            </w:r>
          </w:p>
        </w:tc>
        <w:tc>
          <w:tcPr>
            <w:tcW w:w="5128" w:type="dxa"/>
            <w:vAlign w:val="center"/>
          </w:tcPr>
          <w:p>
            <w:r>
              <w:rPr>
                <w:rFonts w:hint="eastAsia"/>
              </w:rPr>
              <w:t>油炸类食品、烧烤类食品、糕点类食品、自制饮品等加工过程符合要求。</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1703</w:t>
            </w:r>
          </w:p>
        </w:tc>
        <w:tc>
          <w:tcPr>
            <w:tcW w:w="5128" w:type="dxa"/>
            <w:vAlign w:val="center"/>
          </w:tcPr>
          <w:p>
            <w:r>
              <w:rPr>
                <w:rFonts w:hint="eastAsia"/>
              </w:rPr>
              <w:t>未超范围、超限量使用食品添加剂，准确称量和记录有“最大使用量”规定的食品添加剂。</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1704</w:t>
            </w:r>
          </w:p>
        </w:tc>
        <w:tc>
          <w:tcPr>
            <w:tcW w:w="5128" w:type="dxa"/>
            <w:vAlign w:val="center"/>
          </w:tcPr>
          <w:p>
            <w:r>
              <w:rPr>
                <w:rFonts w:hint="eastAsia"/>
              </w:rPr>
              <w:t>未采购、贮存、使用亚硝酸盐（包括亚硝酸钠、亚硝酸钾）。</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11" w:type="dxa"/>
            <w:vMerge w:val="continue"/>
            <w:vAlign w:val="center"/>
          </w:tcPr>
          <w:p>
            <w:pPr>
              <w:jc w:val="center"/>
            </w:pPr>
          </w:p>
        </w:tc>
        <w:tc>
          <w:tcPr>
            <w:tcW w:w="671" w:type="dxa"/>
            <w:vAlign w:val="center"/>
          </w:tcPr>
          <w:p>
            <w:pPr>
              <w:jc w:val="center"/>
            </w:pPr>
            <w:r>
              <w:t>18</w:t>
            </w:r>
          </w:p>
        </w:tc>
        <w:tc>
          <w:tcPr>
            <w:tcW w:w="970" w:type="dxa"/>
            <w:vAlign w:val="center"/>
          </w:tcPr>
          <w:p>
            <w:pPr>
              <w:jc w:val="center"/>
            </w:pPr>
            <w:r>
              <w:rPr>
                <w:rFonts w:hint="eastAsia"/>
              </w:rPr>
              <w:t>食品留样</w:t>
            </w:r>
          </w:p>
        </w:tc>
        <w:tc>
          <w:tcPr>
            <w:tcW w:w="731" w:type="dxa"/>
            <w:vAlign w:val="center"/>
          </w:tcPr>
          <w:p>
            <w:pPr>
              <w:jc w:val="center"/>
            </w:pPr>
            <w:r>
              <w:t>1801</w:t>
            </w:r>
          </w:p>
        </w:tc>
        <w:tc>
          <w:tcPr>
            <w:tcW w:w="5128" w:type="dxa"/>
            <w:vAlign w:val="center"/>
          </w:tcPr>
          <w:p>
            <w:r>
              <w:rPr>
                <w:rFonts w:hint="eastAsia"/>
              </w:rPr>
              <w:t>对每餐次加工制作的每种食品成品进行留样，每个品种留样量不少于</w:t>
            </w:r>
            <w:r>
              <w:t>125</w:t>
            </w:r>
            <w:r>
              <w:rPr>
                <w:rFonts w:hint="eastAsia"/>
              </w:rPr>
              <w:t>克，并有留样记录。</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1011" w:type="dxa"/>
            <w:vMerge w:val="continue"/>
            <w:vAlign w:val="center"/>
          </w:tcPr>
          <w:p>
            <w:pPr>
              <w:jc w:val="center"/>
            </w:pPr>
          </w:p>
        </w:tc>
        <w:tc>
          <w:tcPr>
            <w:tcW w:w="671" w:type="dxa"/>
            <w:vAlign w:val="center"/>
          </w:tcPr>
          <w:p>
            <w:pPr>
              <w:jc w:val="center"/>
            </w:pPr>
            <w:r>
              <w:t>19</w:t>
            </w:r>
          </w:p>
        </w:tc>
        <w:tc>
          <w:tcPr>
            <w:tcW w:w="970" w:type="dxa"/>
            <w:vAlign w:val="center"/>
          </w:tcPr>
          <w:p>
            <w:pPr>
              <w:jc w:val="center"/>
            </w:pPr>
            <w:r>
              <w:rPr>
                <w:rFonts w:hint="eastAsia"/>
              </w:rPr>
              <w:t>废弃物要求</w:t>
            </w:r>
          </w:p>
        </w:tc>
        <w:tc>
          <w:tcPr>
            <w:tcW w:w="731" w:type="dxa"/>
            <w:vAlign w:val="center"/>
          </w:tcPr>
          <w:p>
            <w:pPr>
              <w:jc w:val="center"/>
            </w:pPr>
            <w:r>
              <w:t>1901</w:t>
            </w:r>
          </w:p>
        </w:tc>
        <w:tc>
          <w:tcPr>
            <w:tcW w:w="5128" w:type="dxa"/>
            <w:vAlign w:val="center"/>
          </w:tcPr>
          <w:p>
            <w:r>
              <w:rPr>
                <w:rFonts w:hint="eastAsia"/>
              </w:rPr>
              <w:t>餐厨废弃物存放容器与食品加工制作容器有明显的区分标识，并及时清理，餐厨废弃物未溢出存放容器。存放废弃物的容器设有盖子。</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11" w:type="dxa"/>
            <w:vMerge w:val="continue"/>
            <w:vAlign w:val="center"/>
          </w:tcPr>
          <w:p>
            <w:pPr>
              <w:jc w:val="center"/>
            </w:pPr>
          </w:p>
        </w:tc>
        <w:tc>
          <w:tcPr>
            <w:tcW w:w="671" w:type="dxa"/>
            <w:vAlign w:val="center"/>
          </w:tcPr>
          <w:p>
            <w:pPr>
              <w:jc w:val="center"/>
            </w:pPr>
            <w:r>
              <w:t>20</w:t>
            </w:r>
          </w:p>
        </w:tc>
        <w:tc>
          <w:tcPr>
            <w:tcW w:w="970" w:type="dxa"/>
            <w:vAlign w:val="center"/>
          </w:tcPr>
          <w:p>
            <w:pPr>
              <w:jc w:val="center"/>
            </w:pPr>
            <w:r>
              <w:rPr>
                <w:rFonts w:hint="eastAsia"/>
              </w:rPr>
              <w:t>人员卫生</w:t>
            </w:r>
          </w:p>
        </w:tc>
        <w:tc>
          <w:tcPr>
            <w:tcW w:w="731" w:type="dxa"/>
            <w:vAlign w:val="center"/>
          </w:tcPr>
          <w:p>
            <w:pPr>
              <w:jc w:val="center"/>
            </w:pPr>
            <w:r>
              <w:t>2001</w:t>
            </w:r>
          </w:p>
        </w:tc>
        <w:tc>
          <w:tcPr>
            <w:tcW w:w="5128" w:type="dxa"/>
            <w:vAlign w:val="center"/>
          </w:tcPr>
          <w:p>
            <w:r>
              <w:rPr>
                <w:rFonts w:hint="eastAsia"/>
              </w:rPr>
              <w:t>从事接触直接入口食品的工作的从业人员，加工制作食品前对手部进行清洗消毒。</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1" w:type="dxa"/>
            <w:vMerge w:val="restart"/>
            <w:vAlign w:val="center"/>
          </w:tcPr>
          <w:p>
            <w:pPr>
              <w:jc w:val="center"/>
            </w:pPr>
            <w:r>
              <w:rPr>
                <w:rFonts w:hint="eastAsia"/>
              </w:rPr>
              <w:t>就餐区</w:t>
            </w:r>
          </w:p>
        </w:tc>
        <w:tc>
          <w:tcPr>
            <w:tcW w:w="671" w:type="dxa"/>
            <w:vMerge w:val="restart"/>
            <w:vAlign w:val="center"/>
          </w:tcPr>
          <w:p>
            <w:pPr>
              <w:jc w:val="center"/>
            </w:pPr>
            <w:r>
              <w:t>21</w:t>
            </w:r>
          </w:p>
        </w:tc>
        <w:tc>
          <w:tcPr>
            <w:tcW w:w="970" w:type="dxa"/>
            <w:vMerge w:val="restart"/>
            <w:vAlign w:val="center"/>
          </w:tcPr>
          <w:p>
            <w:pPr>
              <w:jc w:val="center"/>
            </w:pPr>
            <w:r>
              <w:rPr>
                <w:rFonts w:hint="eastAsia"/>
              </w:rPr>
              <w:t>场所卫生</w:t>
            </w:r>
          </w:p>
        </w:tc>
        <w:tc>
          <w:tcPr>
            <w:tcW w:w="731" w:type="dxa"/>
            <w:vAlign w:val="center"/>
          </w:tcPr>
          <w:p>
            <w:pPr>
              <w:jc w:val="center"/>
            </w:pPr>
            <w:r>
              <w:t>2101</w:t>
            </w:r>
          </w:p>
        </w:tc>
        <w:tc>
          <w:tcPr>
            <w:tcW w:w="5128" w:type="dxa"/>
            <w:vAlign w:val="center"/>
          </w:tcPr>
          <w:p>
            <w:r>
              <w:rPr>
                <w:rFonts w:hint="eastAsia"/>
              </w:rPr>
              <w:t>就餐场所卫生清洁。</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2102</w:t>
            </w:r>
          </w:p>
        </w:tc>
        <w:tc>
          <w:tcPr>
            <w:tcW w:w="5128" w:type="dxa"/>
            <w:vAlign w:val="center"/>
          </w:tcPr>
          <w:p>
            <w:r>
              <w:rPr>
                <w:rFonts w:hint="eastAsia"/>
              </w:rPr>
              <w:t>从业人员未有在食堂内吸烟等行为。</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011" w:type="dxa"/>
            <w:vMerge w:val="continue"/>
            <w:vAlign w:val="center"/>
          </w:tcPr>
          <w:p>
            <w:pPr>
              <w:jc w:val="center"/>
            </w:pPr>
          </w:p>
        </w:tc>
        <w:tc>
          <w:tcPr>
            <w:tcW w:w="671" w:type="dxa"/>
            <w:vMerge w:val="restart"/>
            <w:vAlign w:val="center"/>
          </w:tcPr>
          <w:p>
            <w:pPr>
              <w:jc w:val="center"/>
            </w:pPr>
            <w:r>
              <w:t>22</w:t>
            </w:r>
          </w:p>
        </w:tc>
        <w:tc>
          <w:tcPr>
            <w:tcW w:w="970" w:type="dxa"/>
            <w:vMerge w:val="restart"/>
            <w:vAlign w:val="center"/>
          </w:tcPr>
          <w:p>
            <w:pPr>
              <w:jc w:val="center"/>
            </w:pPr>
            <w:r>
              <w:rPr>
                <w:rFonts w:hint="eastAsia"/>
              </w:rPr>
              <w:t>设施</w:t>
            </w:r>
          </w:p>
        </w:tc>
        <w:tc>
          <w:tcPr>
            <w:tcW w:w="731" w:type="dxa"/>
            <w:vAlign w:val="center"/>
          </w:tcPr>
          <w:p>
            <w:pPr>
              <w:jc w:val="center"/>
            </w:pPr>
            <w:r>
              <w:t>2201</w:t>
            </w:r>
          </w:p>
        </w:tc>
        <w:tc>
          <w:tcPr>
            <w:tcW w:w="5128" w:type="dxa"/>
            <w:vAlign w:val="center"/>
          </w:tcPr>
          <w:p>
            <w:r>
              <w:rPr>
                <w:rFonts w:hint="eastAsia"/>
              </w:rPr>
              <w:t>根据就餐区布局、面积合理使用防虫、防鼠等设施，场所无苍蝇、老鼠、蟑螂等。</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2202</w:t>
            </w:r>
          </w:p>
        </w:tc>
        <w:tc>
          <w:tcPr>
            <w:tcW w:w="5128" w:type="dxa"/>
            <w:vAlign w:val="center"/>
          </w:tcPr>
          <w:p>
            <w:r>
              <w:rPr>
                <w:rFonts w:hint="eastAsia"/>
              </w:rPr>
              <w:t>就餐区或就餐区附近设有供用餐者清洗手部以及餐具、饮具的用水设施。</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011" w:type="dxa"/>
            <w:vMerge w:val="restart"/>
            <w:vAlign w:val="center"/>
          </w:tcPr>
          <w:p>
            <w:pPr>
              <w:jc w:val="center"/>
            </w:pPr>
            <w:r>
              <w:rPr>
                <w:rFonts w:hint="eastAsia"/>
              </w:rPr>
              <w:t>餐用具清洗消毒区</w:t>
            </w:r>
          </w:p>
        </w:tc>
        <w:tc>
          <w:tcPr>
            <w:tcW w:w="671" w:type="dxa"/>
            <w:vMerge w:val="restart"/>
            <w:vAlign w:val="center"/>
          </w:tcPr>
          <w:p>
            <w:pPr>
              <w:jc w:val="center"/>
            </w:pPr>
            <w:r>
              <w:t>23</w:t>
            </w:r>
          </w:p>
        </w:tc>
        <w:tc>
          <w:tcPr>
            <w:tcW w:w="970" w:type="dxa"/>
            <w:vMerge w:val="restart"/>
            <w:vAlign w:val="center"/>
          </w:tcPr>
          <w:p>
            <w:pPr>
              <w:jc w:val="center"/>
            </w:pPr>
            <w:r>
              <w:rPr>
                <w:rFonts w:hint="eastAsia"/>
              </w:rPr>
              <w:t>清洗</w:t>
            </w:r>
          </w:p>
        </w:tc>
        <w:tc>
          <w:tcPr>
            <w:tcW w:w="731" w:type="dxa"/>
            <w:vAlign w:val="center"/>
          </w:tcPr>
          <w:p>
            <w:pPr>
              <w:jc w:val="center"/>
            </w:pPr>
            <w:r>
              <w:t>2301</w:t>
            </w:r>
          </w:p>
        </w:tc>
        <w:tc>
          <w:tcPr>
            <w:tcW w:w="5128" w:type="dxa"/>
            <w:vAlign w:val="center"/>
          </w:tcPr>
          <w:p>
            <w:r>
              <w:rPr>
                <w:rFonts w:hint="eastAsia"/>
              </w:rPr>
              <w:t>具有专用的餐用具清洗消毒水池，与食品原料、清洁用具及接触非直接入口食品的工具、容器清洗水池分开。</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2302</w:t>
            </w:r>
          </w:p>
        </w:tc>
        <w:tc>
          <w:tcPr>
            <w:tcW w:w="5128" w:type="dxa"/>
            <w:vAlign w:val="center"/>
          </w:tcPr>
          <w:p>
            <w:r>
              <w:rPr>
                <w:rFonts w:hint="eastAsia"/>
              </w:rPr>
              <w:t>洗涤剂、消毒剂的包装上标识有产品名称、生产厂名和厂址等内容。</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11" w:type="dxa"/>
            <w:vMerge w:val="continue"/>
            <w:vAlign w:val="center"/>
          </w:tcPr>
          <w:p>
            <w:pPr>
              <w:jc w:val="center"/>
            </w:pPr>
          </w:p>
        </w:tc>
        <w:tc>
          <w:tcPr>
            <w:tcW w:w="671" w:type="dxa"/>
            <w:vMerge w:val="restart"/>
            <w:vAlign w:val="center"/>
          </w:tcPr>
          <w:p>
            <w:pPr>
              <w:jc w:val="center"/>
            </w:pPr>
            <w:r>
              <w:t>24</w:t>
            </w:r>
          </w:p>
        </w:tc>
        <w:tc>
          <w:tcPr>
            <w:tcW w:w="970" w:type="dxa"/>
            <w:vMerge w:val="restart"/>
            <w:vAlign w:val="center"/>
          </w:tcPr>
          <w:p>
            <w:pPr>
              <w:jc w:val="center"/>
            </w:pPr>
            <w:r>
              <w:rPr>
                <w:rFonts w:hint="eastAsia"/>
              </w:rPr>
              <w:t>消毒</w:t>
            </w:r>
          </w:p>
        </w:tc>
        <w:tc>
          <w:tcPr>
            <w:tcW w:w="731" w:type="dxa"/>
            <w:vAlign w:val="center"/>
          </w:tcPr>
          <w:p>
            <w:pPr>
              <w:jc w:val="center"/>
            </w:pPr>
            <w:r>
              <w:t>2401</w:t>
            </w:r>
          </w:p>
        </w:tc>
        <w:tc>
          <w:tcPr>
            <w:tcW w:w="5128" w:type="dxa"/>
            <w:vAlign w:val="center"/>
          </w:tcPr>
          <w:p>
            <w:r>
              <w:rPr>
                <w:rFonts w:hint="eastAsia"/>
              </w:rPr>
              <w:t>采用物理消毒的，消毒设备能正常运转，消毒温度和时间符合相关要求。</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2402</w:t>
            </w:r>
          </w:p>
        </w:tc>
        <w:tc>
          <w:tcPr>
            <w:tcW w:w="5128" w:type="dxa"/>
            <w:vAlign w:val="center"/>
          </w:tcPr>
          <w:p>
            <w:r>
              <w:rPr>
                <w:rFonts w:hint="eastAsia"/>
              </w:rPr>
              <w:t>采用化学消毒的，配有含氯等消毒剂和水池等消毒设施设备，消毒液配制行为和消毒液浓度符合相关要求。</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1011" w:type="dxa"/>
            <w:vMerge w:val="restart"/>
            <w:vAlign w:val="center"/>
          </w:tcPr>
          <w:p>
            <w:pPr>
              <w:jc w:val="center"/>
            </w:pPr>
            <w:r>
              <w:rPr>
                <w:rFonts w:hint="eastAsia"/>
              </w:rPr>
              <w:t>餐用具保洁区</w:t>
            </w:r>
          </w:p>
        </w:tc>
        <w:tc>
          <w:tcPr>
            <w:tcW w:w="671" w:type="dxa"/>
            <w:vMerge w:val="restart"/>
            <w:vAlign w:val="center"/>
          </w:tcPr>
          <w:p>
            <w:pPr>
              <w:jc w:val="center"/>
            </w:pPr>
            <w:r>
              <w:t>25</w:t>
            </w:r>
          </w:p>
        </w:tc>
        <w:tc>
          <w:tcPr>
            <w:tcW w:w="970" w:type="dxa"/>
            <w:vMerge w:val="restart"/>
            <w:vAlign w:val="center"/>
          </w:tcPr>
          <w:p>
            <w:pPr>
              <w:jc w:val="center"/>
            </w:pPr>
            <w:r>
              <w:rPr>
                <w:rFonts w:hint="eastAsia"/>
              </w:rPr>
              <w:t>保洁设施</w:t>
            </w:r>
          </w:p>
        </w:tc>
        <w:tc>
          <w:tcPr>
            <w:tcW w:w="731" w:type="dxa"/>
            <w:vAlign w:val="center"/>
          </w:tcPr>
          <w:p>
            <w:pPr>
              <w:jc w:val="center"/>
            </w:pPr>
            <w:r>
              <w:t>2501</w:t>
            </w:r>
          </w:p>
        </w:tc>
        <w:tc>
          <w:tcPr>
            <w:tcW w:w="5128" w:type="dxa"/>
            <w:vAlign w:val="center"/>
          </w:tcPr>
          <w:p>
            <w:r>
              <w:rPr>
                <w:rFonts w:hint="eastAsia"/>
              </w:rPr>
              <w:t>消毒后的餐饮具存放在清洁、专用、密闭的保洁设施中，并有明显区分标识。</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2502</w:t>
            </w:r>
          </w:p>
        </w:tc>
        <w:tc>
          <w:tcPr>
            <w:tcW w:w="5128" w:type="dxa"/>
            <w:vAlign w:val="center"/>
          </w:tcPr>
          <w:p>
            <w:r>
              <w:rPr>
                <w:rFonts w:hint="eastAsia"/>
              </w:rPr>
              <w:t>使用敞开式的货架存放餐饮具，采取防护措施。</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1" w:type="dxa"/>
            <w:vMerge w:val="restart"/>
            <w:vAlign w:val="center"/>
          </w:tcPr>
          <w:p>
            <w:pPr>
              <w:jc w:val="center"/>
            </w:pPr>
            <w:r>
              <w:rPr>
                <w:rFonts w:hint="eastAsia"/>
              </w:rPr>
              <w:t>文件保存区</w:t>
            </w:r>
          </w:p>
        </w:tc>
        <w:tc>
          <w:tcPr>
            <w:tcW w:w="671" w:type="dxa"/>
            <w:vMerge w:val="restart"/>
            <w:vAlign w:val="center"/>
          </w:tcPr>
          <w:p>
            <w:pPr>
              <w:jc w:val="center"/>
            </w:pPr>
            <w:r>
              <w:t>26</w:t>
            </w:r>
          </w:p>
        </w:tc>
        <w:tc>
          <w:tcPr>
            <w:tcW w:w="970" w:type="dxa"/>
            <w:vMerge w:val="restart"/>
            <w:vAlign w:val="center"/>
          </w:tcPr>
          <w:p>
            <w:pPr>
              <w:jc w:val="center"/>
            </w:pPr>
            <w:r>
              <w:rPr>
                <w:rFonts w:hint="eastAsia"/>
              </w:rPr>
              <w:t>文件与记录</w:t>
            </w:r>
          </w:p>
        </w:tc>
        <w:tc>
          <w:tcPr>
            <w:tcW w:w="731" w:type="dxa"/>
            <w:vAlign w:val="center"/>
          </w:tcPr>
          <w:p>
            <w:pPr>
              <w:jc w:val="center"/>
            </w:pPr>
            <w:r>
              <w:t>2601</w:t>
            </w:r>
          </w:p>
        </w:tc>
        <w:tc>
          <w:tcPr>
            <w:tcW w:w="5128" w:type="dxa"/>
            <w:vAlign w:val="center"/>
          </w:tcPr>
          <w:p>
            <w:r>
              <w:rPr>
                <w:rFonts w:hint="eastAsia"/>
              </w:rPr>
              <w:t>具有食品、食品添加剂、食品相关产品的随货证明文件、每笔购物或送货凭证。具有完整的进货查验记录。</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2602</w:t>
            </w:r>
          </w:p>
        </w:tc>
        <w:tc>
          <w:tcPr>
            <w:tcW w:w="5128" w:type="dxa"/>
            <w:vAlign w:val="center"/>
          </w:tcPr>
          <w:p>
            <w:r>
              <w:rPr>
                <w:rFonts w:hint="eastAsia"/>
              </w:rPr>
              <w:t>采购畜禽肉类的，还具有动物产品检疫合格证明；采购猪肉的，还具有肉品品质检验合格证明。</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1" w:type="dxa"/>
            <w:vMerge w:val="continue"/>
            <w:vAlign w:val="center"/>
          </w:tcPr>
          <w:p>
            <w:pPr>
              <w:jc w:val="center"/>
            </w:pPr>
          </w:p>
        </w:tc>
        <w:tc>
          <w:tcPr>
            <w:tcW w:w="671" w:type="dxa"/>
            <w:vMerge w:val="continue"/>
            <w:vAlign w:val="center"/>
          </w:tcPr>
          <w:p>
            <w:pPr>
              <w:jc w:val="center"/>
            </w:pPr>
          </w:p>
        </w:tc>
        <w:tc>
          <w:tcPr>
            <w:tcW w:w="970" w:type="dxa"/>
            <w:vMerge w:val="continue"/>
            <w:vAlign w:val="center"/>
          </w:tcPr>
          <w:p>
            <w:pPr>
              <w:jc w:val="center"/>
            </w:pPr>
          </w:p>
        </w:tc>
        <w:tc>
          <w:tcPr>
            <w:tcW w:w="731" w:type="dxa"/>
            <w:vAlign w:val="center"/>
          </w:tcPr>
          <w:p>
            <w:pPr>
              <w:jc w:val="center"/>
            </w:pPr>
            <w:r>
              <w:t>2603</w:t>
            </w:r>
          </w:p>
        </w:tc>
        <w:tc>
          <w:tcPr>
            <w:tcW w:w="5128" w:type="dxa"/>
            <w:vAlign w:val="center"/>
          </w:tcPr>
          <w:p>
            <w:r>
              <w:rPr>
                <w:rFonts w:hint="eastAsia"/>
              </w:rPr>
              <w:t>有食品安全管理制度、食品安全追溯体系、供货者评价和退出制度、加工操作规程、设施设备清洗维护校验记录、从业人员每日健康检查（晨检）记录、食品安全自查记录（每周一次）、从业人员食品安全培训考核记录（每半年一次）等。</w:t>
            </w:r>
          </w:p>
        </w:tc>
        <w:tc>
          <w:tcPr>
            <w:tcW w:w="1186" w:type="dxa"/>
            <w:vAlign w:val="center"/>
          </w:tcPr>
          <w:p>
            <w:pPr>
              <w:jc w:val="center"/>
            </w:pPr>
            <w:r>
              <w:rPr>
                <w:rFonts w:hint="eastAsia"/>
              </w:rPr>
              <w:t>□是□否</w:t>
            </w:r>
          </w:p>
        </w:tc>
        <w:tc>
          <w:tcPr>
            <w:tcW w:w="809" w:type="dxa"/>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1" w:type="dxa"/>
            <w:vMerge w:val="restart"/>
            <w:vAlign w:val="center"/>
          </w:tcPr>
          <w:p>
            <w:pPr>
              <w:jc w:val="center"/>
              <w:rPr>
                <w:rFonts w:hint="eastAsia" w:ascii="Times New Roman" w:hAnsi="Times New Roman"/>
              </w:rPr>
            </w:pPr>
            <w:r>
              <w:rPr>
                <w:rFonts w:hint="eastAsia"/>
              </w:rPr>
              <w:t>公示区</w:t>
            </w:r>
          </w:p>
        </w:tc>
        <w:tc>
          <w:tcPr>
            <w:tcW w:w="671" w:type="dxa"/>
            <w:vMerge w:val="restart"/>
            <w:vAlign w:val="center"/>
          </w:tcPr>
          <w:p>
            <w:pPr>
              <w:jc w:val="center"/>
              <w:rPr>
                <w:rFonts w:ascii="Times New Roman" w:hAnsi="Times New Roman"/>
              </w:rPr>
            </w:pPr>
            <w:r>
              <w:rPr>
                <w:rFonts w:hint="eastAsia"/>
              </w:rPr>
              <w:t>27</w:t>
            </w:r>
          </w:p>
        </w:tc>
        <w:tc>
          <w:tcPr>
            <w:tcW w:w="970" w:type="dxa"/>
            <w:vAlign w:val="center"/>
          </w:tcPr>
          <w:p>
            <w:pPr>
              <w:jc w:val="center"/>
              <w:rPr>
                <w:rFonts w:ascii="Times New Roman" w:hAnsi="Times New Roman"/>
              </w:rPr>
            </w:pPr>
            <w:r>
              <w:rPr>
                <w:rFonts w:hint="eastAsia"/>
              </w:rPr>
              <w:t>明厨亮灶</w:t>
            </w:r>
          </w:p>
        </w:tc>
        <w:tc>
          <w:tcPr>
            <w:tcW w:w="731" w:type="dxa"/>
            <w:vAlign w:val="center"/>
          </w:tcPr>
          <w:p>
            <w:pPr>
              <w:jc w:val="center"/>
              <w:rPr>
                <w:rFonts w:hint="eastAsia"/>
              </w:rPr>
            </w:pPr>
            <w:r>
              <w:rPr>
                <w:rFonts w:hint="eastAsia"/>
              </w:rPr>
              <w:t>2701</w:t>
            </w:r>
          </w:p>
          <w:p>
            <w:pPr>
              <w:jc w:val="center"/>
            </w:pPr>
          </w:p>
        </w:tc>
        <w:tc>
          <w:tcPr>
            <w:tcW w:w="5128" w:type="dxa"/>
            <w:vAlign w:val="center"/>
          </w:tcPr>
          <w:p>
            <w:pPr>
              <w:rPr>
                <w:rFonts w:hint="eastAsia" w:ascii="Times New Roman" w:hAnsi="Times New Roman"/>
              </w:rPr>
            </w:pPr>
            <w:r>
              <w:rPr>
                <w:rFonts w:hint="eastAsia"/>
              </w:rPr>
              <w:t>现场查看“明厨亮灶”是否可以通过手机、电脑端或用餐场所显示屏等实时观看。</w:t>
            </w:r>
          </w:p>
        </w:tc>
        <w:tc>
          <w:tcPr>
            <w:tcW w:w="1186" w:type="dxa"/>
            <w:vAlign w:val="center"/>
          </w:tcPr>
          <w:p>
            <w:pPr>
              <w:jc w:val="center"/>
              <w:rPr>
                <w:rFonts w:hint="eastAsia" w:ascii="Times New Roman" w:hAnsi="Times New Roman"/>
              </w:rPr>
            </w:pPr>
            <w:r>
              <w:rPr>
                <w:rFonts w:hint="eastAsia"/>
              </w:rPr>
              <w:t>□是□否</w:t>
            </w:r>
          </w:p>
        </w:tc>
        <w:tc>
          <w:tcPr>
            <w:tcW w:w="809"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11" w:type="dxa"/>
            <w:vMerge w:val="continue"/>
            <w:vAlign w:val="center"/>
          </w:tcPr>
          <w:p>
            <w:pPr>
              <w:jc w:val="center"/>
              <w:rPr>
                <w:rFonts w:hint="eastAsia" w:ascii="Times New Roman" w:hAnsi="Times New Roman"/>
              </w:rPr>
            </w:pPr>
          </w:p>
        </w:tc>
        <w:tc>
          <w:tcPr>
            <w:tcW w:w="671" w:type="dxa"/>
            <w:vMerge w:val="continue"/>
            <w:vAlign w:val="center"/>
          </w:tcPr>
          <w:p>
            <w:pPr>
              <w:jc w:val="center"/>
              <w:rPr>
                <w:rFonts w:ascii="Times New Roman" w:hAnsi="Times New Roman"/>
              </w:rPr>
            </w:pPr>
          </w:p>
        </w:tc>
        <w:tc>
          <w:tcPr>
            <w:tcW w:w="970" w:type="dxa"/>
            <w:vAlign w:val="center"/>
          </w:tcPr>
          <w:p>
            <w:pPr>
              <w:jc w:val="center"/>
              <w:rPr>
                <w:rFonts w:ascii="Times New Roman" w:hAnsi="Times New Roman"/>
              </w:rPr>
            </w:pPr>
            <w:r>
              <w:rPr>
                <w:rFonts w:hint="eastAsia"/>
              </w:rPr>
              <w:t>反浪费</w:t>
            </w:r>
          </w:p>
        </w:tc>
        <w:tc>
          <w:tcPr>
            <w:tcW w:w="731" w:type="dxa"/>
            <w:vAlign w:val="center"/>
          </w:tcPr>
          <w:p>
            <w:pPr>
              <w:jc w:val="center"/>
              <w:rPr>
                <w:rFonts w:ascii="Times New Roman" w:hAnsi="Times New Roman"/>
              </w:rPr>
            </w:pPr>
            <w:r>
              <w:rPr>
                <w:rFonts w:hint="eastAsia"/>
              </w:rPr>
              <w:t>2702</w:t>
            </w:r>
          </w:p>
        </w:tc>
        <w:tc>
          <w:tcPr>
            <w:tcW w:w="5128" w:type="dxa"/>
            <w:vAlign w:val="center"/>
          </w:tcPr>
          <w:p>
            <w:pPr>
              <w:rPr>
                <w:rFonts w:hint="eastAsia" w:ascii="Times New Roman" w:hAnsi="Times New Roman"/>
              </w:rPr>
            </w:pPr>
            <w:r>
              <w:rPr>
                <w:rFonts w:hint="eastAsia"/>
              </w:rPr>
              <w:t>落实反餐饮浪费，在醒目位置张贴或者摆放反食品浪费标识，引导消费者按需适量点餐。</w:t>
            </w:r>
          </w:p>
        </w:tc>
        <w:tc>
          <w:tcPr>
            <w:tcW w:w="1186" w:type="dxa"/>
            <w:vAlign w:val="center"/>
          </w:tcPr>
          <w:p>
            <w:pPr>
              <w:jc w:val="center"/>
              <w:rPr>
                <w:rFonts w:hint="eastAsia" w:ascii="Times New Roman" w:hAnsi="Times New Roman"/>
              </w:rPr>
            </w:pPr>
            <w:r>
              <w:rPr>
                <w:rFonts w:hint="eastAsia"/>
              </w:rPr>
              <w:t>□是□否</w:t>
            </w:r>
          </w:p>
        </w:tc>
        <w:tc>
          <w:tcPr>
            <w:tcW w:w="809" w:type="dxa"/>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6" w:hRule="atLeast"/>
          <w:jc w:val="center"/>
        </w:trPr>
        <w:tc>
          <w:tcPr>
            <w:tcW w:w="1011" w:type="dxa"/>
            <w:vAlign w:val="center"/>
          </w:tcPr>
          <w:p>
            <w:r>
              <w:rPr>
                <w:rFonts w:hint="eastAsia"/>
              </w:rPr>
              <w:t>现场检查情况(主要填写存在问题)及处理意见</w:t>
            </w:r>
          </w:p>
        </w:tc>
        <w:tc>
          <w:tcPr>
            <w:tcW w:w="9495" w:type="dxa"/>
            <w:gridSpan w:val="6"/>
          </w:tcPr>
          <w:p>
            <w:pPr>
              <w:jc w:val="center"/>
            </w:pPr>
          </w:p>
          <w:p>
            <w:pPr>
              <w:jc w:val="center"/>
            </w:pPr>
          </w:p>
          <w:p>
            <w:pPr>
              <w:jc w:val="center"/>
            </w:pPr>
          </w:p>
          <w:p>
            <w:pPr>
              <w:jc w:val="center"/>
            </w:pPr>
          </w:p>
          <w:p>
            <w:pPr>
              <w:jc w:val="center"/>
            </w:pPr>
          </w:p>
          <w:p>
            <w:pPr>
              <w:jc w:val="center"/>
            </w:pPr>
          </w:p>
          <w:p>
            <w:pPr>
              <w:jc w:val="center"/>
            </w:pPr>
          </w:p>
          <w:p>
            <w:pPr>
              <w:jc w:val="center"/>
            </w:pPr>
          </w:p>
        </w:tc>
      </w:tr>
    </w:tbl>
    <w:p>
      <w:pPr>
        <w:spacing w:line="480" w:lineRule="auto"/>
        <w:rPr>
          <w:rFonts w:ascii="黑体" w:hAnsi="黑体" w:eastAsia="黑体" w:cs="黑体"/>
          <w:sz w:val="28"/>
        </w:rPr>
      </w:pPr>
      <w:r>
        <w:rPr>
          <w:rFonts w:hint="eastAsia" w:ascii="黑体" w:hAnsi="黑体" w:eastAsia="黑体" w:cs="黑体"/>
          <w:sz w:val="28"/>
          <w:szCs w:val="28"/>
        </w:rPr>
        <w:t>被检查</w:t>
      </w:r>
      <w:r>
        <w:rPr>
          <w:rFonts w:hint="eastAsia" w:ascii="黑体" w:hAnsi="黑体" w:eastAsia="黑体" w:cs="黑体"/>
          <w:sz w:val="28"/>
        </w:rPr>
        <w:t>对象现场配合人员：             抽查人员：</w:t>
      </w:r>
    </w:p>
    <w:p>
      <w:pPr>
        <w:pStyle w:val="2"/>
        <w:ind w:firstLine="200"/>
        <w:rPr>
          <w:lang w:eastAsia="zh-CN"/>
        </w:rPr>
        <w:sectPr>
          <w:footerReference r:id="rId3" w:type="default"/>
          <w:pgSz w:w="11906" w:h="16838"/>
          <w:pgMar w:top="2098" w:right="1474" w:bottom="1984" w:left="1587" w:header="851" w:footer="992" w:gutter="0"/>
          <w:cols w:space="720" w:num="1"/>
          <w:docGrid w:type="lines" w:linePitch="312" w:charSpace="0"/>
        </w:sectPr>
      </w:pPr>
    </w:p>
    <w:tbl>
      <w:tblPr>
        <w:tblStyle w:val="9"/>
        <w:tblW w:w="16340" w:type="dxa"/>
        <w:tblInd w:w="93" w:type="dxa"/>
        <w:tblLayout w:type="autofit"/>
        <w:tblCellMar>
          <w:top w:w="0" w:type="dxa"/>
          <w:left w:w="108" w:type="dxa"/>
          <w:bottom w:w="0" w:type="dxa"/>
          <w:right w:w="108" w:type="dxa"/>
        </w:tblCellMar>
      </w:tblPr>
      <w:tblGrid>
        <w:gridCol w:w="1008"/>
        <w:gridCol w:w="141"/>
        <w:gridCol w:w="426"/>
        <w:gridCol w:w="93"/>
        <w:gridCol w:w="616"/>
        <w:gridCol w:w="124"/>
        <w:gridCol w:w="3278"/>
        <w:gridCol w:w="1302"/>
        <w:gridCol w:w="3659"/>
        <w:gridCol w:w="1134"/>
        <w:gridCol w:w="420"/>
        <w:gridCol w:w="572"/>
        <w:gridCol w:w="929"/>
        <w:gridCol w:w="1501"/>
        <w:gridCol w:w="161"/>
        <w:gridCol w:w="236"/>
        <w:gridCol w:w="343"/>
        <w:gridCol w:w="397"/>
      </w:tblGrid>
      <w:tr>
        <w:tblPrEx>
          <w:tblCellMar>
            <w:top w:w="0" w:type="dxa"/>
            <w:left w:w="108" w:type="dxa"/>
            <w:bottom w:w="0" w:type="dxa"/>
            <w:right w:w="108" w:type="dxa"/>
          </w:tblCellMar>
        </w:tblPrEx>
        <w:trPr>
          <w:trHeight w:val="375" w:hRule="atLeast"/>
        </w:trPr>
        <w:tc>
          <w:tcPr>
            <w:tcW w:w="1149" w:type="dxa"/>
            <w:gridSpan w:val="2"/>
            <w:tcBorders>
              <w:top w:val="nil"/>
              <w:left w:val="nil"/>
              <w:bottom w:val="nil"/>
              <w:right w:val="nil"/>
            </w:tcBorders>
            <w:shd w:val="clear" w:color="auto" w:fill="auto"/>
            <w:noWrap/>
            <w:vAlign w:val="center"/>
          </w:tcPr>
          <w:p>
            <w:pPr>
              <w:widowControl/>
              <w:jc w:val="left"/>
              <w:rPr>
                <w:rFonts w:ascii="Times New Roman" w:hAnsi="Times New Roman"/>
                <w:kern w:val="0"/>
                <w:sz w:val="28"/>
                <w:szCs w:val="28"/>
              </w:rPr>
            </w:pPr>
            <w:r>
              <w:rPr>
                <w:rFonts w:hint="eastAsia" w:ascii="黑体" w:hAnsi="黑体" w:eastAsia="黑体"/>
                <w:kern w:val="0"/>
                <w:sz w:val="28"/>
                <w:szCs w:val="28"/>
              </w:rPr>
              <w:t>附件2</w:t>
            </w:r>
          </w:p>
        </w:tc>
        <w:tc>
          <w:tcPr>
            <w:tcW w:w="519" w:type="dxa"/>
            <w:gridSpan w:val="2"/>
            <w:tcBorders>
              <w:top w:val="nil"/>
              <w:left w:val="nil"/>
              <w:bottom w:val="nil"/>
              <w:right w:val="nil"/>
            </w:tcBorders>
            <w:shd w:val="clear" w:color="auto" w:fill="auto"/>
            <w:noWrap/>
            <w:vAlign w:val="center"/>
          </w:tcPr>
          <w:p>
            <w:pPr>
              <w:widowControl/>
              <w:jc w:val="center"/>
              <w:rPr>
                <w:rFonts w:ascii="Times New Roman" w:hAnsi="Times New Roman"/>
                <w:kern w:val="0"/>
                <w:sz w:val="22"/>
                <w:szCs w:val="22"/>
              </w:rPr>
            </w:pPr>
          </w:p>
        </w:tc>
        <w:tc>
          <w:tcPr>
            <w:tcW w:w="740" w:type="dxa"/>
            <w:gridSpan w:val="2"/>
            <w:tcBorders>
              <w:top w:val="nil"/>
              <w:left w:val="nil"/>
              <w:bottom w:val="nil"/>
              <w:right w:val="nil"/>
            </w:tcBorders>
            <w:shd w:val="clear" w:color="auto" w:fill="auto"/>
            <w:noWrap/>
            <w:vAlign w:val="center"/>
          </w:tcPr>
          <w:p>
            <w:pPr>
              <w:widowControl/>
              <w:jc w:val="center"/>
              <w:rPr>
                <w:rFonts w:ascii="Times New Roman" w:hAnsi="Times New Roman"/>
                <w:kern w:val="0"/>
                <w:sz w:val="22"/>
                <w:szCs w:val="22"/>
              </w:rPr>
            </w:pPr>
          </w:p>
        </w:tc>
        <w:tc>
          <w:tcPr>
            <w:tcW w:w="4580" w:type="dxa"/>
            <w:gridSpan w:val="2"/>
            <w:tcBorders>
              <w:top w:val="nil"/>
              <w:left w:val="nil"/>
              <w:bottom w:val="nil"/>
              <w:right w:val="nil"/>
            </w:tcBorders>
            <w:shd w:val="clear" w:color="auto" w:fill="auto"/>
            <w:noWrap/>
            <w:vAlign w:val="center"/>
          </w:tcPr>
          <w:p>
            <w:pPr>
              <w:widowControl/>
              <w:jc w:val="left"/>
              <w:rPr>
                <w:rFonts w:ascii="Times New Roman" w:hAnsi="Times New Roman"/>
                <w:kern w:val="0"/>
                <w:sz w:val="28"/>
                <w:szCs w:val="28"/>
              </w:rPr>
            </w:pPr>
          </w:p>
        </w:tc>
        <w:tc>
          <w:tcPr>
            <w:tcW w:w="5213" w:type="dxa"/>
            <w:gridSpan w:val="3"/>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501" w:type="dxa"/>
            <w:gridSpan w:val="2"/>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1662" w:type="dxa"/>
            <w:gridSpan w:val="2"/>
            <w:tcBorders>
              <w:top w:val="nil"/>
              <w:left w:val="nil"/>
              <w:bottom w:val="nil"/>
              <w:right w:val="nil"/>
            </w:tcBorders>
            <w:shd w:val="clear" w:color="auto" w:fill="auto"/>
            <w:noWrap/>
            <w:vAlign w:val="center"/>
          </w:tcPr>
          <w:p>
            <w:pPr>
              <w:widowControl/>
              <w:jc w:val="left"/>
              <w:rPr>
                <w:rFonts w:ascii="Times New Roman" w:hAnsi="Times New Roman"/>
                <w:kern w:val="0"/>
                <w:sz w:val="24"/>
              </w:rPr>
            </w:pPr>
          </w:p>
        </w:tc>
        <w:tc>
          <w:tcPr>
            <w:tcW w:w="236" w:type="dxa"/>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c>
          <w:tcPr>
            <w:tcW w:w="740" w:type="dxa"/>
            <w:gridSpan w:val="2"/>
            <w:tcBorders>
              <w:top w:val="nil"/>
              <w:left w:val="nil"/>
              <w:bottom w:val="nil"/>
              <w:right w:val="nil"/>
            </w:tcBorders>
            <w:shd w:val="clear" w:color="auto" w:fill="auto"/>
            <w:noWrap/>
            <w:vAlign w:val="center"/>
          </w:tcPr>
          <w:p>
            <w:pPr>
              <w:widowControl/>
              <w:jc w:val="left"/>
              <w:rPr>
                <w:rFonts w:ascii="Times New Roman" w:hAnsi="Times New Roman"/>
                <w:kern w:val="0"/>
                <w:sz w:val="22"/>
                <w:szCs w:val="22"/>
              </w:rPr>
            </w:pPr>
          </w:p>
        </w:tc>
      </w:tr>
      <w:tr>
        <w:tblPrEx>
          <w:tblCellMar>
            <w:top w:w="0" w:type="dxa"/>
            <w:left w:w="108" w:type="dxa"/>
            <w:bottom w:w="0" w:type="dxa"/>
            <w:right w:w="108" w:type="dxa"/>
          </w:tblCellMar>
        </w:tblPrEx>
        <w:trPr>
          <w:gridAfter w:val="1"/>
          <w:wAfter w:w="397" w:type="dxa"/>
          <w:trHeight w:val="495" w:hRule="atLeast"/>
        </w:trPr>
        <w:tc>
          <w:tcPr>
            <w:tcW w:w="15943" w:type="dxa"/>
            <w:gridSpan w:val="17"/>
            <w:tcBorders>
              <w:top w:val="nil"/>
              <w:left w:val="nil"/>
              <w:bottom w:val="nil"/>
              <w:right w:val="nil"/>
            </w:tcBorders>
            <w:shd w:val="clear" w:color="auto" w:fill="auto"/>
            <w:noWrap/>
            <w:vAlign w:val="center"/>
          </w:tcPr>
          <w:p>
            <w:pPr>
              <w:widowControl/>
              <w:jc w:val="center"/>
              <w:rPr>
                <w:rFonts w:ascii="Times New Roman" w:hAnsi="Times New Roman"/>
                <w:kern w:val="0"/>
                <w:sz w:val="36"/>
                <w:szCs w:val="36"/>
              </w:rPr>
            </w:pPr>
            <w:r>
              <w:rPr>
                <w:rFonts w:hint="eastAsia" w:ascii="方正小标宋简体" w:hAnsi="Times New Roman" w:eastAsia="方正小标宋简体"/>
                <w:kern w:val="0"/>
                <w:sz w:val="36"/>
                <w:szCs w:val="36"/>
              </w:rPr>
              <w:t>南安市</w:t>
            </w:r>
            <w:r>
              <w:rPr>
                <w:rFonts w:ascii="Times New Roman" w:hAnsi="Times New Roman"/>
                <w:kern w:val="0"/>
                <w:sz w:val="36"/>
                <w:szCs w:val="36"/>
              </w:rPr>
              <w:t>2023</w:t>
            </w:r>
            <w:r>
              <w:rPr>
                <w:rFonts w:hint="eastAsia" w:ascii="方正小标宋简体" w:hAnsi="Times New Roman" w:eastAsia="方正小标宋简体"/>
                <w:kern w:val="0"/>
                <w:sz w:val="36"/>
                <w:szCs w:val="36"/>
              </w:rPr>
              <w:t>年学校食品安全双随机联合抽查安排表</w:t>
            </w:r>
          </w:p>
        </w:tc>
      </w:tr>
      <w:tr>
        <w:tblPrEx>
          <w:tblCellMar>
            <w:top w:w="0" w:type="dxa"/>
            <w:left w:w="108" w:type="dxa"/>
            <w:bottom w:w="0" w:type="dxa"/>
            <w:right w:w="108" w:type="dxa"/>
          </w:tblCellMar>
        </w:tblPrEx>
        <w:trPr>
          <w:gridAfter w:val="1"/>
          <w:wAfter w:w="397" w:type="dxa"/>
          <w:trHeight w:val="315" w:hRule="atLeast"/>
        </w:trPr>
        <w:tc>
          <w:tcPr>
            <w:tcW w:w="1008" w:type="dxa"/>
            <w:vMerge w:val="restart"/>
            <w:tcBorders>
              <w:top w:val="single" w:color="auto" w:sz="8" w:space="0"/>
              <w:left w:val="single" w:color="auto" w:sz="8" w:space="0"/>
              <w:bottom w:val="single" w:color="000000"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组别</w:t>
            </w:r>
          </w:p>
        </w:tc>
        <w:tc>
          <w:tcPr>
            <w:tcW w:w="567" w:type="dxa"/>
            <w:gridSpan w:val="2"/>
            <w:vMerge w:val="restart"/>
            <w:tcBorders>
              <w:top w:val="single" w:color="auto" w:sz="8" w:space="0"/>
              <w:left w:val="single" w:color="auto" w:sz="4" w:space="0"/>
              <w:bottom w:val="single" w:color="000000" w:sz="8" w:space="0"/>
              <w:right w:val="nil"/>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序号</w:t>
            </w:r>
          </w:p>
        </w:tc>
        <w:tc>
          <w:tcPr>
            <w:tcW w:w="10206" w:type="dxa"/>
            <w:gridSpan w:val="7"/>
            <w:tcBorders>
              <w:top w:val="single" w:color="auto" w:sz="8" w:space="0"/>
              <w:left w:val="single" w:color="auto" w:sz="8" w:space="0"/>
              <w:bottom w:val="single" w:color="auto" w:sz="4" w:space="0"/>
              <w:right w:val="single" w:color="000000" w:sz="8"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抽查对象</w:t>
            </w:r>
          </w:p>
        </w:tc>
        <w:tc>
          <w:tcPr>
            <w:tcW w:w="4162" w:type="dxa"/>
            <w:gridSpan w:val="7"/>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检查人员</w:t>
            </w:r>
          </w:p>
        </w:tc>
      </w:tr>
      <w:tr>
        <w:tblPrEx>
          <w:tblCellMar>
            <w:top w:w="0" w:type="dxa"/>
            <w:left w:w="108" w:type="dxa"/>
            <w:bottom w:w="0" w:type="dxa"/>
            <w:right w:w="108" w:type="dxa"/>
          </w:tblCellMar>
        </w:tblPrEx>
        <w:trPr>
          <w:gridAfter w:val="1"/>
          <w:wAfter w:w="397" w:type="dxa"/>
          <w:trHeight w:val="330" w:hRule="atLeast"/>
        </w:trPr>
        <w:tc>
          <w:tcPr>
            <w:tcW w:w="1008" w:type="dxa"/>
            <w:vMerge w:val="continue"/>
            <w:tcBorders>
              <w:top w:val="single" w:color="auto" w:sz="8" w:space="0"/>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vMerge w:val="continue"/>
            <w:tcBorders>
              <w:top w:val="single" w:color="auto" w:sz="8" w:space="0"/>
              <w:left w:val="single" w:color="auto" w:sz="4" w:space="0"/>
              <w:bottom w:val="single" w:color="000000" w:sz="8" w:space="0"/>
              <w:right w:val="nil"/>
            </w:tcBorders>
            <w:vAlign w:val="center"/>
          </w:tcPr>
          <w:p>
            <w:pPr>
              <w:widowControl/>
              <w:jc w:val="left"/>
              <w:rPr>
                <w:rFonts w:ascii="Times New Roman" w:hAnsi="Times New Roman"/>
                <w:b/>
                <w:bCs/>
                <w:kern w:val="0"/>
                <w:sz w:val="24"/>
              </w:rPr>
            </w:pPr>
          </w:p>
        </w:tc>
        <w:tc>
          <w:tcPr>
            <w:tcW w:w="709" w:type="dxa"/>
            <w:gridSpan w:val="2"/>
            <w:tcBorders>
              <w:top w:val="nil"/>
              <w:left w:val="single" w:color="auto" w:sz="8" w:space="0"/>
              <w:bottom w:val="single" w:color="auto"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乡镇</w:t>
            </w:r>
          </w:p>
        </w:tc>
        <w:tc>
          <w:tcPr>
            <w:tcW w:w="3402"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单位名称</w:t>
            </w:r>
          </w:p>
        </w:tc>
        <w:tc>
          <w:tcPr>
            <w:tcW w:w="4961"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地址</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负责人</w:t>
            </w:r>
          </w:p>
        </w:tc>
        <w:tc>
          <w:tcPr>
            <w:tcW w:w="992"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姓名</w:t>
            </w:r>
          </w:p>
        </w:tc>
        <w:tc>
          <w:tcPr>
            <w:tcW w:w="2430"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单位名称</w:t>
            </w:r>
          </w:p>
        </w:tc>
        <w:tc>
          <w:tcPr>
            <w:tcW w:w="740" w:type="dxa"/>
            <w:gridSpan w:val="3"/>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备注</w:t>
            </w:r>
          </w:p>
        </w:tc>
      </w:tr>
      <w:tr>
        <w:tblPrEx>
          <w:tblCellMar>
            <w:top w:w="0" w:type="dxa"/>
            <w:left w:w="108" w:type="dxa"/>
            <w:bottom w:w="0" w:type="dxa"/>
            <w:right w:w="108" w:type="dxa"/>
          </w:tblCellMar>
        </w:tblPrEx>
        <w:trPr>
          <w:gridAfter w:val="1"/>
          <w:wAfter w:w="397" w:type="dxa"/>
          <w:trHeight w:val="630" w:hRule="atLeast"/>
        </w:trPr>
        <w:tc>
          <w:tcPr>
            <w:tcW w:w="1008"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第一组</w:t>
            </w: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石井</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南安市宏翔芯谷七星湾幼儿园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福建省泉州市南安市石井镇岑兜村水边内</w:t>
            </w:r>
            <w:r>
              <w:rPr>
                <w:rFonts w:ascii="Times New Roman" w:hAnsi="Times New Roman"/>
                <w:kern w:val="0"/>
                <w:sz w:val="24"/>
              </w:rPr>
              <w:t>89</w:t>
            </w:r>
            <w:r>
              <w:rPr>
                <w:rFonts w:hint="eastAsia" w:ascii="宋体" w:hAnsi="宋体"/>
                <w:kern w:val="0"/>
                <w:sz w:val="24"/>
              </w:rPr>
              <w:t>号芯谷七星湾地块二</w:t>
            </w:r>
            <w:r>
              <w:rPr>
                <w:rFonts w:ascii="Times New Roman" w:hAnsi="Times New Roman"/>
                <w:kern w:val="0"/>
                <w:sz w:val="24"/>
              </w:rPr>
              <w:t>1-3</w:t>
            </w:r>
            <w:r>
              <w:rPr>
                <w:rFonts w:hint="eastAsia" w:ascii="宋体" w:hAnsi="宋体"/>
                <w:kern w:val="0"/>
                <w:sz w:val="24"/>
              </w:rPr>
              <w:t>层幼儿园</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易珍香</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陈玉媛</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美林街道市场监管所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组长</w:t>
            </w:r>
          </w:p>
        </w:tc>
      </w:tr>
      <w:tr>
        <w:tblPrEx>
          <w:tblCellMar>
            <w:top w:w="0" w:type="dxa"/>
            <w:left w:w="108" w:type="dxa"/>
            <w:bottom w:w="0" w:type="dxa"/>
            <w:right w:w="108" w:type="dxa"/>
          </w:tblCellMar>
        </w:tblPrEx>
        <w:trPr>
          <w:gridAfter w:val="1"/>
          <w:wAfter w:w="397" w:type="dxa"/>
          <w:trHeight w:val="315"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2</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水头</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南安市水头厦盛东泉幼儿园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福建省泉州市南安市水头镇厦盛街福利路</w:t>
            </w:r>
            <w:r>
              <w:rPr>
                <w:rFonts w:ascii="Times New Roman" w:hAnsi="Times New Roman"/>
                <w:kern w:val="0"/>
                <w:sz w:val="24"/>
              </w:rPr>
              <w:t>51</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吕宏睿</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洪双进</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洪梅镇市场监管所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431"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3</w:t>
            </w:r>
          </w:p>
        </w:tc>
        <w:tc>
          <w:tcPr>
            <w:tcW w:w="709" w:type="dxa"/>
            <w:gridSpan w:val="2"/>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官桥</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福建省南安市五星中学</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福建省泉州市南安市官桥镇共建街</w:t>
            </w:r>
            <w:r>
              <w:rPr>
                <w:rFonts w:ascii="Times New Roman" w:hAnsi="Times New Roman"/>
                <w:kern w:val="0"/>
                <w:sz w:val="24"/>
              </w:rPr>
              <w:t>184</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黄汉宗</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高瑞霞</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康美中心小学</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92"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8"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4</w:t>
            </w:r>
          </w:p>
        </w:tc>
        <w:tc>
          <w:tcPr>
            <w:tcW w:w="709" w:type="dxa"/>
            <w:gridSpan w:val="2"/>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水头</w:t>
            </w:r>
          </w:p>
        </w:tc>
        <w:tc>
          <w:tcPr>
            <w:tcW w:w="3402"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福建省南安市新营中学</w:t>
            </w:r>
          </w:p>
        </w:tc>
        <w:tc>
          <w:tcPr>
            <w:tcW w:w="4961"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福建省南安市水头镇新营村三天</w:t>
            </w:r>
            <w:r>
              <w:rPr>
                <w:rFonts w:ascii="Times New Roman" w:hAnsi="Times New Roman"/>
                <w:kern w:val="0"/>
                <w:sz w:val="24"/>
              </w:rPr>
              <w:t>220</w:t>
            </w:r>
            <w:r>
              <w:rPr>
                <w:rFonts w:hint="eastAsia" w:ascii="宋体" w:hAnsi="宋体"/>
                <w:kern w:val="0"/>
                <w:sz w:val="24"/>
              </w:rPr>
              <w:t>号</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黄新辉</w:t>
            </w:r>
          </w:p>
        </w:tc>
        <w:tc>
          <w:tcPr>
            <w:tcW w:w="992"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黄平耀</w:t>
            </w:r>
          </w:p>
        </w:tc>
        <w:tc>
          <w:tcPr>
            <w:tcW w:w="243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洪濑中心小学</w:t>
            </w:r>
          </w:p>
        </w:tc>
        <w:tc>
          <w:tcPr>
            <w:tcW w:w="740"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469" w:hRule="atLeast"/>
        </w:trPr>
        <w:tc>
          <w:tcPr>
            <w:tcW w:w="1008"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第二组</w:t>
            </w: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5</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码头</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福建省南安市成功中学新校区</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福建省泉州市南安市码头镇坑内村坑口</w:t>
            </w:r>
            <w:r>
              <w:rPr>
                <w:rFonts w:ascii="Times New Roman" w:hAnsi="Times New Roman"/>
                <w:kern w:val="0"/>
                <w:sz w:val="24"/>
              </w:rPr>
              <w:t>100</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苏佳辉</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黄月婷</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省新镇市场监管所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组长</w:t>
            </w:r>
          </w:p>
        </w:tc>
      </w:tr>
      <w:tr>
        <w:tblPrEx>
          <w:tblCellMar>
            <w:top w:w="0" w:type="dxa"/>
            <w:left w:w="108" w:type="dxa"/>
            <w:bottom w:w="0" w:type="dxa"/>
            <w:right w:w="108" w:type="dxa"/>
          </w:tblCellMar>
        </w:tblPrEx>
        <w:trPr>
          <w:gridAfter w:val="1"/>
          <w:wAfter w:w="397" w:type="dxa"/>
          <w:trHeight w:val="402"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6</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英都</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南安市西峰小学</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福建省南安市英都镇西峰村下美</w:t>
            </w:r>
            <w:r>
              <w:rPr>
                <w:rFonts w:ascii="Times New Roman" w:hAnsi="Times New Roman"/>
                <w:kern w:val="0"/>
                <w:sz w:val="24"/>
              </w:rPr>
              <w:t>112</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洪翠兰</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曾文炜</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东田镇市场监管所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570"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7</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柳城</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南安市柳城街道办事处金街社区居民委员会（柳城金街幼儿园）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福建省泉州市南安市柳城街道颖川路</w:t>
            </w:r>
            <w:r>
              <w:rPr>
                <w:rFonts w:ascii="Times New Roman" w:hAnsi="Times New Roman"/>
                <w:kern w:val="0"/>
                <w:sz w:val="24"/>
              </w:rPr>
              <w:t>5-81</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黄婉玲</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洪海疆</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南安市特殊教育学校</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30"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8"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8</w:t>
            </w:r>
          </w:p>
        </w:tc>
        <w:tc>
          <w:tcPr>
            <w:tcW w:w="709" w:type="dxa"/>
            <w:gridSpan w:val="2"/>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柳城</w:t>
            </w:r>
          </w:p>
        </w:tc>
        <w:tc>
          <w:tcPr>
            <w:tcW w:w="3402"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南安市柳城德林幼儿园</w:t>
            </w:r>
          </w:p>
        </w:tc>
        <w:tc>
          <w:tcPr>
            <w:tcW w:w="4961"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福建省泉州市南安市柳城街道杏莲高厝口</w:t>
            </w:r>
            <w:r>
              <w:rPr>
                <w:rFonts w:ascii="Times New Roman" w:hAnsi="Times New Roman"/>
                <w:kern w:val="0"/>
                <w:sz w:val="24"/>
              </w:rPr>
              <w:t>16142</w:t>
            </w:r>
            <w:r>
              <w:rPr>
                <w:rFonts w:hint="eastAsia" w:ascii="宋体" w:hAnsi="宋体"/>
                <w:kern w:val="0"/>
                <w:sz w:val="24"/>
              </w:rPr>
              <w:t>号</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黄春生</w:t>
            </w:r>
          </w:p>
        </w:tc>
        <w:tc>
          <w:tcPr>
            <w:tcW w:w="992"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林丽红</w:t>
            </w:r>
          </w:p>
        </w:tc>
        <w:tc>
          <w:tcPr>
            <w:tcW w:w="243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溪美中心小学</w:t>
            </w:r>
          </w:p>
        </w:tc>
        <w:tc>
          <w:tcPr>
            <w:tcW w:w="740"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465" w:hRule="atLeast"/>
        </w:trPr>
        <w:tc>
          <w:tcPr>
            <w:tcW w:w="1008"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第三组</w:t>
            </w: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9</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洪濑</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南安市东林小学</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福建省泉州市南安市洪濑镇东林村（陈塘</w:t>
            </w:r>
            <w:r>
              <w:rPr>
                <w:rFonts w:ascii="Times New Roman" w:hAnsi="Times New Roman"/>
                <w:kern w:val="0"/>
                <w:sz w:val="24"/>
              </w:rPr>
              <w:t>292</w:t>
            </w:r>
            <w:r>
              <w:rPr>
                <w:rFonts w:hint="eastAsia" w:ascii="宋体" w:hAnsi="宋体"/>
                <w:kern w:val="0"/>
                <w:sz w:val="24"/>
              </w:rPr>
              <w:t>）</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黄哲停</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黄天祥</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英都镇市场监管所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组长</w:t>
            </w:r>
          </w:p>
        </w:tc>
      </w:tr>
      <w:tr>
        <w:tblPrEx>
          <w:tblCellMar>
            <w:top w:w="0" w:type="dxa"/>
            <w:left w:w="108" w:type="dxa"/>
            <w:bottom w:w="0" w:type="dxa"/>
            <w:right w:w="108" w:type="dxa"/>
          </w:tblCellMar>
        </w:tblPrEx>
        <w:trPr>
          <w:gridAfter w:val="1"/>
          <w:wAfter w:w="397" w:type="dxa"/>
          <w:trHeight w:val="315"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10</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翔云</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南安市翔云中学</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福建省泉州市南安市翔云镇金安村中学路</w:t>
            </w:r>
            <w:r>
              <w:rPr>
                <w:rFonts w:ascii="Times New Roman" w:hAnsi="Times New Roman"/>
                <w:kern w:val="0"/>
                <w:sz w:val="24"/>
              </w:rPr>
              <w:t>48</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梁国灿</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叶妍</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丰州镇市场监管所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15"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11</w:t>
            </w:r>
          </w:p>
        </w:tc>
        <w:tc>
          <w:tcPr>
            <w:tcW w:w="709" w:type="dxa"/>
            <w:gridSpan w:val="2"/>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金淘</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南安市金淘镇侨峰真真幼儿园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福建省泉州市南安市金淘镇莲坑村下莲峰</w:t>
            </w:r>
            <w:r>
              <w:rPr>
                <w:rFonts w:ascii="Times New Roman" w:hAnsi="Times New Roman"/>
                <w:kern w:val="0"/>
                <w:sz w:val="24"/>
              </w:rPr>
              <w:t>273</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王艺姗</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黄启明</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官桥中心小学</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539"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8"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12</w:t>
            </w:r>
          </w:p>
        </w:tc>
        <w:tc>
          <w:tcPr>
            <w:tcW w:w="709" w:type="dxa"/>
            <w:gridSpan w:val="2"/>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美林</w:t>
            </w:r>
          </w:p>
        </w:tc>
        <w:tc>
          <w:tcPr>
            <w:tcW w:w="3402"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福建省迈成餐饮管理有限公司</w:t>
            </w:r>
          </w:p>
        </w:tc>
        <w:tc>
          <w:tcPr>
            <w:tcW w:w="4961"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福建省泉州市南安市美林街道西美村大石</w:t>
            </w:r>
            <w:r>
              <w:rPr>
                <w:rFonts w:ascii="Times New Roman" w:hAnsi="Times New Roman"/>
                <w:kern w:val="0"/>
                <w:sz w:val="24"/>
              </w:rPr>
              <w:t>1</w:t>
            </w:r>
            <w:r>
              <w:rPr>
                <w:rFonts w:hint="eastAsia" w:ascii="宋体" w:hAnsi="宋体"/>
                <w:kern w:val="0"/>
                <w:sz w:val="24"/>
              </w:rPr>
              <w:t>号</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吕宏睿</w:t>
            </w:r>
          </w:p>
        </w:tc>
        <w:tc>
          <w:tcPr>
            <w:tcW w:w="992"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陈宗文</w:t>
            </w:r>
          </w:p>
        </w:tc>
        <w:tc>
          <w:tcPr>
            <w:tcW w:w="243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金桥中学</w:t>
            </w:r>
          </w:p>
        </w:tc>
        <w:tc>
          <w:tcPr>
            <w:tcW w:w="740"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756" w:hRule="atLeast"/>
        </w:trPr>
        <w:tc>
          <w:tcPr>
            <w:tcW w:w="1008" w:type="dxa"/>
            <w:vMerge w:val="restart"/>
            <w:tcBorders>
              <w:top w:val="nil"/>
              <w:left w:val="single" w:color="auto"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第四组</w:t>
            </w: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13</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溪美</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Cs w:val="21"/>
              </w:rPr>
            </w:pPr>
            <w:r>
              <w:rPr>
                <w:rFonts w:hint="eastAsia" w:ascii="宋体" w:hAnsi="宋体"/>
                <w:kern w:val="0"/>
                <w:szCs w:val="21"/>
              </w:rPr>
              <w:t>南安市溪美街道白沙崎社区居民委员会（南安市溪美白沙崎幼儿园））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福建省泉州市南安市溪美街道白沙崎巷四支巷</w:t>
            </w:r>
            <w:r>
              <w:rPr>
                <w:rFonts w:ascii="Times New Roman" w:hAnsi="Times New Roman"/>
                <w:kern w:val="0"/>
                <w:sz w:val="24"/>
              </w:rPr>
              <w:t>46</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叶颖松</w:t>
            </w:r>
          </w:p>
        </w:tc>
        <w:tc>
          <w:tcPr>
            <w:tcW w:w="99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黄秀英</w:t>
            </w:r>
          </w:p>
        </w:tc>
        <w:tc>
          <w:tcPr>
            <w:tcW w:w="2430"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仑苍镇市场监管所</w:t>
            </w:r>
          </w:p>
        </w:tc>
        <w:tc>
          <w:tcPr>
            <w:tcW w:w="740" w:type="dxa"/>
            <w:gridSpan w:val="3"/>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组长</w:t>
            </w:r>
          </w:p>
        </w:tc>
      </w:tr>
      <w:tr>
        <w:tblPrEx>
          <w:tblCellMar>
            <w:top w:w="0" w:type="dxa"/>
            <w:left w:w="108" w:type="dxa"/>
            <w:bottom w:w="0" w:type="dxa"/>
            <w:right w:w="108" w:type="dxa"/>
          </w:tblCellMar>
        </w:tblPrEx>
        <w:trPr>
          <w:gridAfter w:val="1"/>
          <w:wAfter w:w="397" w:type="dxa"/>
          <w:trHeight w:val="570" w:hRule="atLeast"/>
        </w:trPr>
        <w:tc>
          <w:tcPr>
            <w:tcW w:w="1008" w:type="dxa"/>
            <w:vMerge w:val="continue"/>
            <w:tcBorders>
              <w:left w:val="single" w:color="auto"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14</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洪梅</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南安市洪梅镇梅新社区居民委员会（南安市洪梅瑞峰幼儿园）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福建省南安市洪梅镇梅新社区梅新街</w:t>
            </w:r>
            <w:r>
              <w:rPr>
                <w:rFonts w:ascii="Times New Roman" w:hAnsi="Times New Roman"/>
                <w:kern w:val="0"/>
                <w:sz w:val="24"/>
              </w:rPr>
              <w:t>288</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陈永超</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黄勇</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码头镇市场监管所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15" w:hRule="atLeast"/>
        </w:trPr>
        <w:tc>
          <w:tcPr>
            <w:tcW w:w="1008" w:type="dxa"/>
            <w:vMerge w:val="continue"/>
            <w:tcBorders>
              <w:left w:val="single" w:color="auto" w:sz="8" w:space="0"/>
              <w:right w:val="single" w:color="auto" w:sz="4" w:space="0"/>
            </w:tcBorders>
            <w:shd w:val="clear" w:color="auto" w:fill="auto"/>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15</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水头</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南安市水头镇第二幼儿园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福建省泉州市南安市水头镇西锦林前自然村</w:t>
            </w:r>
            <w:r>
              <w:rPr>
                <w:rFonts w:ascii="Times New Roman" w:hAnsi="Times New Roman"/>
                <w:kern w:val="0"/>
                <w:sz w:val="24"/>
              </w:rPr>
              <w:t>288</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高娜双</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黄振德</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仁絤中学</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30" w:hRule="atLeast"/>
        </w:trPr>
        <w:tc>
          <w:tcPr>
            <w:tcW w:w="1008" w:type="dxa"/>
            <w:vMerge w:val="continue"/>
            <w:tcBorders>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8"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16</w:t>
            </w:r>
          </w:p>
        </w:tc>
        <w:tc>
          <w:tcPr>
            <w:tcW w:w="709" w:type="dxa"/>
            <w:gridSpan w:val="2"/>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洪梅</w:t>
            </w:r>
          </w:p>
        </w:tc>
        <w:tc>
          <w:tcPr>
            <w:tcW w:w="3402"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南安市洪梅镇中心幼儿园</w:t>
            </w:r>
          </w:p>
        </w:tc>
        <w:tc>
          <w:tcPr>
            <w:tcW w:w="4961"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福建省泉州市南安市洪梅镇洪溪村土楼脚</w:t>
            </w:r>
            <w:r>
              <w:rPr>
                <w:rFonts w:ascii="Times New Roman" w:hAnsi="Times New Roman"/>
                <w:kern w:val="0"/>
                <w:sz w:val="24"/>
              </w:rPr>
              <w:t>157</w:t>
            </w:r>
            <w:r>
              <w:rPr>
                <w:rFonts w:hint="eastAsia" w:ascii="宋体" w:hAnsi="宋体"/>
                <w:kern w:val="0"/>
                <w:sz w:val="24"/>
              </w:rPr>
              <w:t>号</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陈惠琴</w:t>
            </w:r>
          </w:p>
        </w:tc>
        <w:tc>
          <w:tcPr>
            <w:tcW w:w="992"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洪巧名</w:t>
            </w:r>
          </w:p>
        </w:tc>
        <w:tc>
          <w:tcPr>
            <w:tcW w:w="243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南安市福玲中学</w:t>
            </w:r>
          </w:p>
        </w:tc>
        <w:tc>
          <w:tcPr>
            <w:tcW w:w="740"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15" w:hRule="atLeast"/>
        </w:trPr>
        <w:tc>
          <w:tcPr>
            <w:tcW w:w="1008"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第五组</w:t>
            </w: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17</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蓬华</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福建省南安市华美中学</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福建省泉州市南安市蓬华镇庙后山</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黄新江</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黄培基</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梅山镇市场监管所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组长</w:t>
            </w:r>
          </w:p>
        </w:tc>
      </w:tr>
      <w:tr>
        <w:tblPrEx>
          <w:tblCellMar>
            <w:top w:w="0" w:type="dxa"/>
            <w:left w:w="108" w:type="dxa"/>
            <w:bottom w:w="0" w:type="dxa"/>
            <w:right w:w="108" w:type="dxa"/>
          </w:tblCellMar>
        </w:tblPrEx>
        <w:trPr>
          <w:gridAfter w:val="1"/>
          <w:wAfter w:w="397" w:type="dxa"/>
          <w:trHeight w:val="315"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18</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美林</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南安市源康餐饮管理有限公司</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福建省泉州市南安市美林街道邱洋村南安大道</w:t>
            </w:r>
            <w:r>
              <w:rPr>
                <w:rFonts w:ascii="Times New Roman" w:hAnsi="Times New Roman"/>
                <w:kern w:val="0"/>
                <w:sz w:val="24"/>
              </w:rPr>
              <w:t>11</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朱叶兴</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黄赣</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康美镇市场监管所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15"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19</w:t>
            </w:r>
          </w:p>
        </w:tc>
        <w:tc>
          <w:tcPr>
            <w:tcW w:w="709" w:type="dxa"/>
            <w:gridSpan w:val="2"/>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东田</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南安市东田镇中心幼儿园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福建省泉州市南安市东田镇东田村（中心幼儿园）</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黄春花</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雷泽兰</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南安市成功中学</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615"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8"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20</w:t>
            </w:r>
          </w:p>
        </w:tc>
        <w:tc>
          <w:tcPr>
            <w:tcW w:w="709" w:type="dxa"/>
            <w:gridSpan w:val="2"/>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美林</w:t>
            </w:r>
          </w:p>
        </w:tc>
        <w:tc>
          <w:tcPr>
            <w:tcW w:w="3402"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南安市第三幼儿园</w:t>
            </w:r>
          </w:p>
        </w:tc>
        <w:tc>
          <w:tcPr>
            <w:tcW w:w="4961"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福建省泉州市南安市美林街道市民中心安置区</w:t>
            </w:r>
            <w:r>
              <w:rPr>
                <w:rFonts w:ascii="Times New Roman" w:hAnsi="Times New Roman"/>
                <w:kern w:val="0"/>
                <w:sz w:val="24"/>
              </w:rPr>
              <w:t>C</w:t>
            </w:r>
            <w:r>
              <w:rPr>
                <w:rFonts w:hint="eastAsia" w:ascii="宋体" w:hAnsi="宋体"/>
                <w:kern w:val="0"/>
                <w:sz w:val="24"/>
              </w:rPr>
              <w:t>地块第三幼儿园</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傅志端</w:t>
            </w:r>
          </w:p>
        </w:tc>
        <w:tc>
          <w:tcPr>
            <w:tcW w:w="992"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李珊珊</w:t>
            </w:r>
          </w:p>
        </w:tc>
        <w:tc>
          <w:tcPr>
            <w:tcW w:w="243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南安市第三幼儿园</w:t>
            </w:r>
          </w:p>
        </w:tc>
        <w:tc>
          <w:tcPr>
            <w:tcW w:w="740"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15" w:hRule="atLeast"/>
        </w:trPr>
        <w:tc>
          <w:tcPr>
            <w:tcW w:w="1008" w:type="dxa"/>
            <w:vMerge w:val="restart"/>
            <w:tcBorders>
              <w:top w:val="nil"/>
              <w:left w:val="single" w:color="auto" w:sz="8" w:space="0"/>
              <w:bottom w:val="single" w:color="000000" w:sz="8" w:space="0"/>
              <w:right w:val="single" w:color="auto" w:sz="4" w:space="0"/>
            </w:tcBorders>
            <w:shd w:val="clear" w:color="auto" w:fill="auto"/>
            <w:vAlign w:val="center"/>
          </w:tcPr>
          <w:p>
            <w:pPr>
              <w:widowControl/>
              <w:jc w:val="center"/>
              <w:rPr>
                <w:rFonts w:ascii="Times New Roman" w:hAnsi="Times New Roman"/>
                <w:b/>
                <w:bCs/>
                <w:kern w:val="0"/>
                <w:sz w:val="24"/>
              </w:rPr>
            </w:pPr>
            <w:r>
              <w:rPr>
                <w:rFonts w:hint="eastAsia" w:ascii="宋体" w:hAnsi="宋体"/>
                <w:b/>
                <w:bCs/>
                <w:kern w:val="0"/>
                <w:sz w:val="24"/>
              </w:rPr>
              <w:t>第六组</w:t>
            </w: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21</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乐峰</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南安市乐峰镇厚阳星星幼儿园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福建省泉州市南安市乐峰镇厚阳村石鼓</w:t>
            </w:r>
            <w:r>
              <w:rPr>
                <w:rFonts w:ascii="Times New Roman" w:hAnsi="Times New Roman"/>
                <w:kern w:val="0"/>
                <w:sz w:val="24"/>
              </w:rPr>
              <w:t>188</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潘银梅</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郑斯源</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罗东镇市场监管所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组长</w:t>
            </w:r>
          </w:p>
        </w:tc>
      </w:tr>
      <w:tr>
        <w:tblPrEx>
          <w:tblCellMar>
            <w:top w:w="0" w:type="dxa"/>
            <w:left w:w="108" w:type="dxa"/>
            <w:bottom w:w="0" w:type="dxa"/>
            <w:right w:w="108" w:type="dxa"/>
          </w:tblCellMar>
        </w:tblPrEx>
        <w:trPr>
          <w:gridAfter w:val="1"/>
          <w:wAfter w:w="397" w:type="dxa"/>
          <w:trHeight w:val="315"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22</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柳城</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南安市柳城育才幼儿园</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福建省泉州市南安市柳城街道帽山村</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黄丽玲</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4"/>
              </w:rPr>
            </w:pPr>
            <w:r>
              <w:rPr>
                <w:rFonts w:hint="eastAsia" w:ascii="宋体" w:hAnsi="宋体" w:cs="宋体"/>
                <w:kern w:val="0"/>
                <w:sz w:val="24"/>
              </w:rPr>
              <w:t>洪炳文</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石井镇市场监管所</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15"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4"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23</w:t>
            </w:r>
          </w:p>
        </w:tc>
        <w:tc>
          <w:tcPr>
            <w:tcW w:w="709" w:type="dxa"/>
            <w:gridSpan w:val="2"/>
            <w:tcBorders>
              <w:top w:val="nil"/>
              <w:left w:val="single" w:color="auto" w:sz="8" w:space="0"/>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梅山</w:t>
            </w:r>
          </w:p>
        </w:tc>
        <w:tc>
          <w:tcPr>
            <w:tcW w:w="3402"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南安市蓝园中学</w:t>
            </w:r>
          </w:p>
        </w:tc>
        <w:tc>
          <w:tcPr>
            <w:tcW w:w="4961" w:type="dxa"/>
            <w:gridSpan w:val="2"/>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福建省泉州市南安市梅山镇新兰村蓝园新村</w:t>
            </w:r>
            <w:r>
              <w:rPr>
                <w:rFonts w:ascii="Times New Roman" w:hAnsi="Times New Roman"/>
                <w:kern w:val="0"/>
                <w:sz w:val="24"/>
              </w:rPr>
              <w:t>58</w:t>
            </w:r>
            <w:r>
              <w:rPr>
                <w:rFonts w:hint="eastAsia" w:ascii="宋体" w:hAnsi="宋体"/>
                <w:kern w:val="0"/>
                <w:sz w:val="24"/>
              </w:rPr>
              <w:t>号</w:t>
            </w:r>
          </w:p>
        </w:tc>
        <w:tc>
          <w:tcPr>
            <w:tcW w:w="1134"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苏加顺</w:t>
            </w:r>
          </w:p>
        </w:tc>
        <w:tc>
          <w:tcPr>
            <w:tcW w:w="992"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姚益兴</w:t>
            </w:r>
          </w:p>
        </w:tc>
        <w:tc>
          <w:tcPr>
            <w:tcW w:w="2430"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南安市向阳中学</w:t>
            </w:r>
          </w:p>
        </w:tc>
        <w:tc>
          <w:tcPr>
            <w:tcW w:w="740" w:type="dxa"/>
            <w:gridSpan w:val="3"/>
            <w:tcBorders>
              <w:top w:val="nil"/>
              <w:left w:val="nil"/>
              <w:bottom w:val="single" w:color="auto" w:sz="4"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r>
        <w:tblPrEx>
          <w:tblCellMar>
            <w:top w:w="0" w:type="dxa"/>
            <w:left w:w="108" w:type="dxa"/>
            <w:bottom w:w="0" w:type="dxa"/>
            <w:right w:w="108" w:type="dxa"/>
          </w:tblCellMar>
        </w:tblPrEx>
        <w:trPr>
          <w:gridAfter w:val="1"/>
          <w:wAfter w:w="397" w:type="dxa"/>
          <w:trHeight w:val="330" w:hRule="atLeast"/>
        </w:trPr>
        <w:tc>
          <w:tcPr>
            <w:tcW w:w="1008" w:type="dxa"/>
            <w:vMerge w:val="continue"/>
            <w:tcBorders>
              <w:top w:val="nil"/>
              <w:left w:val="single" w:color="auto" w:sz="8" w:space="0"/>
              <w:bottom w:val="single" w:color="000000" w:sz="8" w:space="0"/>
              <w:right w:val="single" w:color="auto" w:sz="4" w:space="0"/>
            </w:tcBorders>
            <w:vAlign w:val="center"/>
          </w:tcPr>
          <w:p>
            <w:pPr>
              <w:widowControl/>
              <w:jc w:val="left"/>
              <w:rPr>
                <w:rFonts w:ascii="Times New Roman" w:hAnsi="Times New Roman"/>
                <w:b/>
                <w:bCs/>
                <w:kern w:val="0"/>
                <w:sz w:val="24"/>
              </w:rPr>
            </w:pPr>
          </w:p>
        </w:tc>
        <w:tc>
          <w:tcPr>
            <w:tcW w:w="567" w:type="dxa"/>
            <w:gridSpan w:val="2"/>
            <w:tcBorders>
              <w:top w:val="nil"/>
              <w:left w:val="nil"/>
              <w:bottom w:val="single" w:color="auto" w:sz="8" w:space="0"/>
              <w:right w:val="nil"/>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24</w:t>
            </w:r>
          </w:p>
        </w:tc>
        <w:tc>
          <w:tcPr>
            <w:tcW w:w="709" w:type="dxa"/>
            <w:gridSpan w:val="2"/>
            <w:tcBorders>
              <w:top w:val="nil"/>
              <w:left w:val="single" w:color="auto" w:sz="8" w:space="0"/>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东田</w:t>
            </w:r>
          </w:p>
        </w:tc>
        <w:tc>
          <w:tcPr>
            <w:tcW w:w="3402"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南安市东田中学</w:t>
            </w:r>
          </w:p>
        </w:tc>
        <w:tc>
          <w:tcPr>
            <w:tcW w:w="4961" w:type="dxa"/>
            <w:gridSpan w:val="2"/>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福建省泉州市南安市东田镇山西村</w:t>
            </w:r>
          </w:p>
        </w:tc>
        <w:tc>
          <w:tcPr>
            <w:tcW w:w="1134" w:type="dxa"/>
            <w:tcBorders>
              <w:top w:val="nil"/>
              <w:left w:val="nil"/>
              <w:bottom w:val="single" w:color="auto" w:sz="8" w:space="0"/>
              <w:right w:val="single" w:color="auto" w:sz="8" w:space="0"/>
            </w:tcBorders>
            <w:shd w:val="clear" w:color="auto" w:fill="auto"/>
            <w:vAlign w:val="center"/>
          </w:tcPr>
          <w:p>
            <w:pPr>
              <w:widowControl/>
              <w:jc w:val="center"/>
              <w:rPr>
                <w:rFonts w:ascii="Times New Roman" w:hAnsi="Times New Roman"/>
                <w:kern w:val="0"/>
                <w:sz w:val="24"/>
              </w:rPr>
            </w:pPr>
            <w:r>
              <w:rPr>
                <w:rFonts w:hint="eastAsia" w:ascii="宋体" w:hAnsi="宋体"/>
                <w:kern w:val="0"/>
                <w:sz w:val="24"/>
              </w:rPr>
              <w:t>蔡永南</w:t>
            </w:r>
          </w:p>
        </w:tc>
        <w:tc>
          <w:tcPr>
            <w:tcW w:w="992"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林桉兴</w:t>
            </w:r>
          </w:p>
        </w:tc>
        <w:tc>
          <w:tcPr>
            <w:tcW w:w="2430" w:type="dxa"/>
            <w:gridSpan w:val="2"/>
            <w:tcBorders>
              <w:top w:val="nil"/>
              <w:left w:val="nil"/>
              <w:bottom w:val="single" w:color="auto" w:sz="8" w:space="0"/>
              <w:right w:val="single" w:color="auto" w:sz="4" w:space="0"/>
            </w:tcBorders>
            <w:shd w:val="clear" w:color="auto" w:fill="auto"/>
            <w:noWrap/>
            <w:vAlign w:val="center"/>
          </w:tcPr>
          <w:p>
            <w:pPr>
              <w:widowControl/>
              <w:jc w:val="center"/>
              <w:rPr>
                <w:rFonts w:ascii="Times New Roman" w:hAnsi="Times New Roman"/>
                <w:kern w:val="0"/>
                <w:sz w:val="24"/>
              </w:rPr>
            </w:pPr>
            <w:r>
              <w:rPr>
                <w:rFonts w:hint="eastAsia" w:ascii="宋体" w:hAnsi="宋体"/>
                <w:kern w:val="0"/>
                <w:sz w:val="24"/>
              </w:rPr>
              <w:t>九都中心小学</w:t>
            </w:r>
          </w:p>
        </w:tc>
        <w:tc>
          <w:tcPr>
            <w:tcW w:w="740" w:type="dxa"/>
            <w:gridSpan w:val="3"/>
            <w:tcBorders>
              <w:top w:val="nil"/>
              <w:left w:val="nil"/>
              <w:bottom w:val="single" w:color="auto" w:sz="8" w:space="0"/>
              <w:right w:val="single" w:color="auto" w:sz="8" w:space="0"/>
            </w:tcBorders>
            <w:shd w:val="clear" w:color="auto" w:fill="auto"/>
            <w:noWrap/>
            <w:vAlign w:val="center"/>
          </w:tcPr>
          <w:p>
            <w:pPr>
              <w:widowControl/>
              <w:jc w:val="center"/>
              <w:rPr>
                <w:rFonts w:ascii="Times New Roman" w:hAnsi="Times New Roman"/>
                <w:kern w:val="0"/>
                <w:sz w:val="24"/>
              </w:rPr>
            </w:pPr>
            <w:r>
              <w:rPr>
                <w:rFonts w:ascii="Times New Roman" w:hAnsi="Times New Roman"/>
                <w:kern w:val="0"/>
                <w:sz w:val="24"/>
              </w:rPr>
              <w:t>　</w:t>
            </w:r>
          </w:p>
        </w:tc>
      </w:tr>
    </w:tbl>
    <w:p>
      <w:pPr>
        <w:pStyle w:val="2"/>
        <w:ind w:firstLine="0" w:firstLineChars="0"/>
        <w:rPr>
          <w:rFonts w:hint="eastAsia"/>
          <w:lang w:eastAsia="zh-CN"/>
        </w:rPr>
        <w:sectPr>
          <w:pgSz w:w="16838" w:h="11906" w:orient="landscape"/>
          <w:pgMar w:top="1418" w:right="567" w:bottom="1418" w:left="567" w:header="851" w:footer="992" w:gutter="0"/>
          <w:cols w:space="720" w:num="1"/>
          <w:docGrid w:type="lines" w:linePitch="312" w:charSpace="0"/>
        </w:sectPr>
      </w:pPr>
    </w:p>
    <w:p>
      <w:pPr>
        <w:adjustRightInd w:val="0"/>
        <w:snapToGrid w:val="0"/>
        <w:spacing w:line="520" w:lineRule="exact"/>
        <w:jc w:val="left"/>
        <w:rPr>
          <w:rFonts w:hint="eastAsia" w:ascii="黑体" w:hAnsi="黑体" w:eastAsia="黑体"/>
          <w:sz w:val="32"/>
          <w:szCs w:val="32"/>
        </w:rPr>
      </w:pPr>
      <w:r>
        <w:rPr>
          <w:rFonts w:hint="eastAsia" w:ascii="黑体" w:hAnsi="黑体" w:eastAsia="黑体"/>
          <w:sz w:val="32"/>
          <w:szCs w:val="32"/>
        </w:rPr>
        <w:t>附件3</w:t>
      </w:r>
    </w:p>
    <w:p>
      <w:pPr>
        <w:adjustRightInd w:val="0"/>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eastAsia="方正小标宋简体"/>
          <w:sz w:val="44"/>
          <w:szCs w:val="44"/>
        </w:rPr>
        <w:t>南安市</w:t>
      </w:r>
      <w:r>
        <w:rPr>
          <w:rFonts w:hint="eastAsia" w:ascii="方正小标宋简体" w:hAnsi="方正小标宋简体" w:eastAsia="方正小标宋简体" w:cs="方正小标宋简体"/>
          <w:sz w:val="44"/>
          <w:szCs w:val="44"/>
        </w:rPr>
        <w:t>学校食品安全</w:t>
      </w:r>
    </w:p>
    <w:p>
      <w:pPr>
        <w:adjustRightInd w:val="0"/>
        <w:snapToGrid w:val="0"/>
        <w:spacing w:line="52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“双随机”联合抽查结果记录表</w:t>
      </w:r>
    </w:p>
    <w:p>
      <w:pPr>
        <w:spacing w:beforeLines="50"/>
        <w:jc w:val="center"/>
        <w:rPr>
          <w:rFonts w:ascii="宋体" w:hAnsi="宋体"/>
          <w:sz w:val="24"/>
        </w:rPr>
      </w:pPr>
      <w:r>
        <w:rPr>
          <w:rFonts w:hint="eastAsia" w:ascii="宋体" w:hAnsi="宋体"/>
          <w:sz w:val="24"/>
        </w:rPr>
        <w:t>编号：</w:t>
      </w:r>
    </w:p>
    <w:tbl>
      <w:tblPr>
        <w:tblStyle w:val="9"/>
        <w:tblW w:w="102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3"/>
        <w:gridCol w:w="2871"/>
        <w:gridCol w:w="385"/>
        <w:gridCol w:w="1125"/>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413" w:type="dxa"/>
            <w:noWrap/>
            <w:vAlign w:val="center"/>
          </w:tcPr>
          <w:p>
            <w:pPr>
              <w:adjustRightInd w:val="0"/>
              <w:snapToGrid w:val="0"/>
              <w:spacing w:line="360" w:lineRule="exact"/>
              <w:jc w:val="center"/>
              <w:rPr>
                <w:rFonts w:ascii="宋体" w:hAnsi="宋体"/>
                <w:szCs w:val="21"/>
              </w:rPr>
            </w:pPr>
            <w:r>
              <w:rPr>
                <w:rFonts w:hint="eastAsia" w:ascii="宋体" w:hAnsi="宋体"/>
                <w:szCs w:val="21"/>
              </w:rPr>
              <w:t>被检查单位名称</w:t>
            </w:r>
          </w:p>
        </w:tc>
        <w:tc>
          <w:tcPr>
            <w:tcW w:w="3256" w:type="dxa"/>
            <w:gridSpan w:val="2"/>
            <w:noWrap/>
            <w:vAlign w:val="center"/>
          </w:tcPr>
          <w:p>
            <w:pPr>
              <w:adjustRightInd w:val="0"/>
              <w:snapToGrid w:val="0"/>
              <w:spacing w:line="360" w:lineRule="exact"/>
              <w:jc w:val="center"/>
              <w:rPr>
                <w:rFonts w:ascii="宋体" w:hAnsi="宋体"/>
                <w:szCs w:val="21"/>
              </w:rPr>
            </w:pPr>
          </w:p>
        </w:tc>
        <w:tc>
          <w:tcPr>
            <w:tcW w:w="1125" w:type="dxa"/>
            <w:noWrap/>
            <w:vAlign w:val="center"/>
          </w:tcPr>
          <w:p>
            <w:pPr>
              <w:adjustRightInd w:val="0"/>
              <w:snapToGrid w:val="0"/>
              <w:spacing w:line="360" w:lineRule="exact"/>
              <w:jc w:val="center"/>
              <w:rPr>
                <w:rFonts w:ascii="宋体" w:hAnsi="宋体"/>
                <w:szCs w:val="21"/>
              </w:rPr>
            </w:pPr>
            <w:r>
              <w:rPr>
                <w:rFonts w:hint="eastAsia" w:ascii="宋体" w:hAnsi="宋体"/>
                <w:szCs w:val="21"/>
              </w:rPr>
              <w:t>经营地址</w:t>
            </w:r>
          </w:p>
        </w:tc>
        <w:tc>
          <w:tcPr>
            <w:tcW w:w="3450" w:type="dxa"/>
            <w:noWrap/>
            <w:vAlign w:val="center"/>
          </w:tcPr>
          <w:p>
            <w:pPr>
              <w:adjustRightInd w:val="0"/>
              <w:snapToGrid w:val="0"/>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2413" w:type="dxa"/>
            <w:noWrap/>
            <w:vAlign w:val="center"/>
          </w:tcPr>
          <w:p>
            <w:pPr>
              <w:adjustRightInd w:val="0"/>
              <w:snapToGrid w:val="0"/>
              <w:spacing w:line="360" w:lineRule="exact"/>
              <w:jc w:val="center"/>
              <w:rPr>
                <w:rFonts w:ascii="宋体" w:hAnsi="宋体"/>
                <w:szCs w:val="21"/>
              </w:rPr>
            </w:pPr>
            <w:r>
              <w:rPr>
                <w:rFonts w:hint="eastAsia" w:ascii="宋体" w:hAnsi="宋体"/>
                <w:szCs w:val="21"/>
              </w:rPr>
              <w:t>联系人</w:t>
            </w:r>
          </w:p>
        </w:tc>
        <w:tc>
          <w:tcPr>
            <w:tcW w:w="3256" w:type="dxa"/>
            <w:gridSpan w:val="2"/>
            <w:noWrap/>
            <w:vAlign w:val="center"/>
          </w:tcPr>
          <w:p>
            <w:pPr>
              <w:adjustRightInd w:val="0"/>
              <w:snapToGrid w:val="0"/>
              <w:spacing w:line="360" w:lineRule="exact"/>
              <w:jc w:val="center"/>
              <w:rPr>
                <w:rFonts w:ascii="宋体" w:hAnsi="宋体"/>
                <w:szCs w:val="21"/>
              </w:rPr>
            </w:pPr>
          </w:p>
        </w:tc>
        <w:tc>
          <w:tcPr>
            <w:tcW w:w="1125" w:type="dxa"/>
            <w:noWrap/>
            <w:vAlign w:val="center"/>
          </w:tcPr>
          <w:p>
            <w:pPr>
              <w:adjustRightInd w:val="0"/>
              <w:snapToGrid w:val="0"/>
              <w:spacing w:line="360" w:lineRule="exact"/>
              <w:jc w:val="center"/>
              <w:rPr>
                <w:rFonts w:ascii="宋体" w:hAnsi="宋体"/>
                <w:szCs w:val="21"/>
              </w:rPr>
            </w:pPr>
            <w:r>
              <w:rPr>
                <w:rFonts w:hint="eastAsia" w:ascii="宋体" w:hAnsi="宋体"/>
                <w:szCs w:val="21"/>
              </w:rPr>
              <w:t>联系方式</w:t>
            </w:r>
          </w:p>
        </w:tc>
        <w:tc>
          <w:tcPr>
            <w:tcW w:w="3450" w:type="dxa"/>
            <w:noWrap/>
            <w:vAlign w:val="center"/>
          </w:tcPr>
          <w:p>
            <w:pPr>
              <w:adjustRightInd w:val="0"/>
              <w:snapToGrid w:val="0"/>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13" w:type="dxa"/>
            <w:noWrap/>
            <w:vAlign w:val="center"/>
          </w:tcPr>
          <w:p>
            <w:pPr>
              <w:adjustRightInd w:val="0"/>
              <w:snapToGrid w:val="0"/>
              <w:spacing w:line="360" w:lineRule="exact"/>
              <w:jc w:val="center"/>
              <w:rPr>
                <w:rFonts w:ascii="宋体" w:hAnsi="宋体"/>
                <w:szCs w:val="21"/>
              </w:rPr>
            </w:pPr>
            <w:r>
              <w:rPr>
                <w:rFonts w:hint="eastAsia" w:ascii="宋体" w:hAnsi="宋体"/>
                <w:szCs w:val="21"/>
              </w:rPr>
              <w:t>许可证编号或备案编号</w:t>
            </w:r>
          </w:p>
        </w:tc>
        <w:tc>
          <w:tcPr>
            <w:tcW w:w="3256" w:type="dxa"/>
            <w:gridSpan w:val="2"/>
            <w:noWrap/>
            <w:vAlign w:val="center"/>
          </w:tcPr>
          <w:p>
            <w:pPr>
              <w:adjustRightInd w:val="0"/>
              <w:snapToGrid w:val="0"/>
              <w:spacing w:line="360" w:lineRule="exact"/>
              <w:jc w:val="center"/>
              <w:rPr>
                <w:rFonts w:ascii="宋体" w:hAnsi="宋体"/>
                <w:szCs w:val="21"/>
              </w:rPr>
            </w:pPr>
          </w:p>
        </w:tc>
        <w:tc>
          <w:tcPr>
            <w:tcW w:w="1125" w:type="dxa"/>
            <w:noWrap/>
            <w:vAlign w:val="center"/>
          </w:tcPr>
          <w:p>
            <w:pPr>
              <w:adjustRightInd w:val="0"/>
              <w:snapToGrid w:val="0"/>
              <w:spacing w:line="360" w:lineRule="exact"/>
              <w:jc w:val="center"/>
              <w:rPr>
                <w:rFonts w:ascii="宋体" w:hAnsi="宋体"/>
                <w:szCs w:val="21"/>
              </w:rPr>
            </w:pPr>
            <w:r>
              <w:rPr>
                <w:rFonts w:hint="eastAsia" w:ascii="宋体" w:hAnsi="宋体"/>
                <w:szCs w:val="21"/>
              </w:rPr>
              <w:t>检查次数</w:t>
            </w:r>
          </w:p>
        </w:tc>
        <w:tc>
          <w:tcPr>
            <w:tcW w:w="3450" w:type="dxa"/>
            <w:noWrap/>
            <w:vAlign w:val="center"/>
          </w:tcPr>
          <w:p>
            <w:pPr>
              <w:adjustRightInd w:val="0"/>
              <w:snapToGrid w:val="0"/>
              <w:spacing w:line="360" w:lineRule="exact"/>
              <w:jc w:val="center"/>
              <w:rPr>
                <w:rFonts w:ascii="宋体" w:hAnsi="宋体"/>
                <w:szCs w:val="21"/>
              </w:rPr>
            </w:pPr>
            <w:r>
              <w:rPr>
                <w:rFonts w:hint="eastAsia" w:ascii="宋体" w:hAnsi="宋体"/>
                <w:szCs w:val="21"/>
              </w:rPr>
              <w:t>本年度第  次检查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7" w:hRule="atLeast"/>
          <w:jc w:val="center"/>
        </w:trPr>
        <w:tc>
          <w:tcPr>
            <w:tcW w:w="10244" w:type="dxa"/>
            <w:gridSpan w:val="5"/>
            <w:noWrap/>
          </w:tcPr>
          <w:p>
            <w:pPr>
              <w:spacing w:line="360" w:lineRule="exact"/>
              <w:jc w:val="left"/>
              <w:rPr>
                <w:rFonts w:ascii="宋体" w:hAnsi="宋体"/>
                <w:b/>
                <w:szCs w:val="21"/>
              </w:rPr>
            </w:pPr>
            <w:r>
              <w:rPr>
                <w:rFonts w:hint="eastAsia" w:ascii="宋体" w:hAnsi="宋体"/>
                <w:b/>
                <w:szCs w:val="21"/>
              </w:rPr>
              <w:t>检查内容：</w:t>
            </w:r>
          </w:p>
          <w:p>
            <w:pPr>
              <w:spacing w:line="320" w:lineRule="exact"/>
              <w:ind w:firstLine="420" w:firstLineChars="200"/>
              <w:jc w:val="left"/>
              <w:rPr>
                <w:rFonts w:ascii="宋体" w:hAnsi="宋体"/>
                <w:szCs w:val="21"/>
              </w:rPr>
            </w:pPr>
            <w:r>
              <w:rPr>
                <w:rFonts w:hint="eastAsia" w:ascii="宋体" w:hAnsi="宋体" w:cs="宋体"/>
                <w:szCs w:val="21"/>
              </w:rPr>
              <w:t>南安市市场监督管理局、南安市教育局检查人员</w:t>
            </w:r>
            <w:r>
              <w:rPr>
                <w:rFonts w:hint="eastAsia" w:ascii="宋体" w:hAnsi="宋体"/>
                <w:szCs w:val="21"/>
              </w:rPr>
              <w:t>根据《中华人民共和国食品安全法》及其实施条例、《反食品浪费法》《未成年人保护法》《食品生产经营监督检查管理办法》，以及</w:t>
            </w:r>
            <w:r>
              <w:rPr>
                <w:rFonts w:hint="eastAsia" w:ascii="宋体" w:hAnsi="宋体" w:cs="宋体"/>
                <w:szCs w:val="21"/>
              </w:rPr>
              <w:t>《南安市学校食品安全“双随机”联合抽查工作方案》</w:t>
            </w:r>
            <w:r>
              <w:rPr>
                <w:rFonts w:hint="eastAsia" w:ascii="宋体" w:hAnsi="宋体"/>
                <w:szCs w:val="21"/>
              </w:rPr>
              <w:t>等规定，于年月日，对你单位进行了</w:t>
            </w:r>
            <w:r>
              <w:rPr>
                <w:rFonts w:hint="eastAsia" w:ascii="宋体" w:hAnsi="宋体" w:cs="宋体"/>
                <w:szCs w:val="21"/>
              </w:rPr>
              <w:t>“双随机”抽查</w:t>
            </w:r>
            <w:r>
              <w:rPr>
                <w:rFonts w:hint="eastAsia" w:ascii="宋体" w:hAnsi="宋体"/>
                <w:szCs w:val="21"/>
              </w:rPr>
              <w:t>。</w:t>
            </w:r>
            <w:r>
              <w:rPr>
                <w:rFonts w:hint="eastAsia" w:ascii="宋体" w:hAnsi="宋体" w:cs="宋体"/>
                <w:szCs w:val="21"/>
              </w:rPr>
              <w:t>本次抽查按照《南安学校食品安全“双随机”联合抽查事项清单》开展检查，</w:t>
            </w:r>
            <w:r>
              <w:rPr>
                <w:rFonts w:hint="eastAsia" w:ascii="宋体" w:hAnsi="宋体"/>
                <w:szCs w:val="21"/>
              </w:rPr>
              <w:t>共检查了（    ）项内容。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65" w:hRule="atLeast"/>
          <w:jc w:val="center"/>
        </w:trPr>
        <w:tc>
          <w:tcPr>
            <w:tcW w:w="10244" w:type="dxa"/>
            <w:gridSpan w:val="5"/>
            <w:noWrap/>
          </w:tcPr>
          <w:p>
            <w:pPr>
              <w:spacing w:line="360" w:lineRule="exact"/>
              <w:jc w:val="left"/>
              <w:rPr>
                <w:rFonts w:ascii="宋体" w:hAnsi="宋体"/>
                <w:b/>
                <w:szCs w:val="21"/>
              </w:rPr>
            </w:pPr>
            <w:r>
              <w:rPr>
                <w:rFonts w:hint="eastAsia" w:ascii="宋体" w:hAnsi="宋体"/>
                <w:b/>
                <w:szCs w:val="21"/>
              </w:rPr>
              <w:t>检查结果：</w:t>
            </w:r>
            <w:r>
              <w:rPr>
                <w:rFonts w:hint="eastAsia" w:ascii="宋体" w:hAnsi="宋体"/>
                <w:szCs w:val="21"/>
              </w:rPr>
              <w:t>（可附页）</w:t>
            </w:r>
          </w:p>
          <w:p>
            <w:pPr>
              <w:spacing w:line="420" w:lineRule="atLeas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hint="eastAsia"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b/>
                <w:szCs w:val="21"/>
              </w:rPr>
            </w:pPr>
          </w:p>
          <w:p>
            <w:pPr>
              <w:spacing w:line="360" w:lineRule="exact"/>
              <w:jc w:val="left"/>
              <w:rPr>
                <w:rFonts w:ascii="宋体" w:hAnsi="宋体" w:cs="宋体"/>
                <w:szCs w:val="21"/>
              </w:rPr>
            </w:pPr>
            <w:r>
              <w:rPr>
                <w:rFonts w:hint="eastAsia" w:ascii="宋体" w:hAnsi="宋体"/>
                <w:b/>
                <w:szCs w:val="21"/>
              </w:rPr>
              <w:t xml:space="preserve">结果处理：  </w:t>
            </w:r>
            <w:r>
              <w:rPr>
                <w:rFonts w:hint="eastAsia" w:ascii="宋体" w:hAnsi="宋体"/>
                <w:szCs w:val="21"/>
              </w:rPr>
              <w:t>□</w:t>
            </w:r>
            <w:r>
              <w:rPr>
                <w:rFonts w:hint="eastAsia" w:ascii="宋体" w:hAnsi="宋体" w:cs="宋体"/>
                <w:szCs w:val="21"/>
              </w:rPr>
              <w:t>通过</w:t>
            </w:r>
            <w:r>
              <w:rPr>
                <w:rFonts w:hint="eastAsia" w:ascii="宋体" w:hAnsi="宋体"/>
                <w:szCs w:val="21"/>
              </w:rPr>
              <w:t xml:space="preserve">     □</w:t>
            </w:r>
            <w:r>
              <w:rPr>
                <w:rFonts w:hint="eastAsia" w:ascii="宋体" w:hAnsi="宋体" w:cs="宋体"/>
                <w:szCs w:val="21"/>
              </w:rPr>
              <w:t xml:space="preserve">现场提醒    </w:t>
            </w:r>
            <w:r>
              <w:rPr>
                <w:rFonts w:hint="eastAsia" w:ascii="宋体" w:hAnsi="宋体" w:cs="宋体"/>
                <w:szCs w:val="21"/>
              </w:rPr>
              <w:sym w:font="Wingdings 2" w:char="00A3"/>
            </w:r>
            <w:r>
              <w:rPr>
                <w:rFonts w:hint="eastAsia" w:ascii="宋体" w:hAnsi="宋体" w:cs="宋体"/>
                <w:szCs w:val="21"/>
              </w:rPr>
              <w:t xml:space="preserve">书面责令改正   □现场简易处罚（警告）  </w:t>
            </w:r>
          </w:p>
          <w:p>
            <w:pPr>
              <w:spacing w:line="360" w:lineRule="exact"/>
              <w:ind w:firstLine="1260" w:firstLineChars="600"/>
              <w:jc w:val="left"/>
              <w:rPr>
                <w:rFonts w:ascii="宋体" w:hAnsi="宋体" w:cs="宋体"/>
                <w:szCs w:val="21"/>
              </w:rPr>
            </w:pPr>
            <w:r>
              <w:rPr>
                <w:rFonts w:hint="eastAsia" w:ascii="宋体" w:hAnsi="宋体" w:cs="宋体"/>
                <w:szCs w:val="21"/>
              </w:rPr>
              <w:sym w:font="Wingdings 2" w:char="00A3"/>
            </w:r>
            <w:r>
              <w:rPr>
                <w:rFonts w:hint="eastAsia" w:ascii="宋体" w:hAnsi="宋体" w:cs="宋体"/>
                <w:szCs w:val="21"/>
              </w:rPr>
              <w:t>移交线索立案处理</w:t>
            </w:r>
          </w:p>
          <w:p>
            <w:pPr>
              <w:tabs>
                <w:tab w:val="left" w:pos="618"/>
              </w:tabs>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jc w:val="center"/>
        </w:trPr>
        <w:tc>
          <w:tcPr>
            <w:tcW w:w="5284" w:type="dxa"/>
            <w:gridSpan w:val="2"/>
            <w:noWrap/>
          </w:tcPr>
          <w:p>
            <w:pPr>
              <w:spacing w:line="380" w:lineRule="exact"/>
              <w:rPr>
                <w:rFonts w:ascii="宋体"/>
                <w:szCs w:val="21"/>
              </w:rPr>
            </w:pPr>
            <w:r>
              <w:rPr>
                <w:rFonts w:hint="eastAsia" w:ascii="宋体"/>
                <w:szCs w:val="21"/>
              </w:rPr>
              <w:t>抽查人员（签名）：</w:t>
            </w:r>
          </w:p>
          <w:p>
            <w:pPr>
              <w:spacing w:line="380" w:lineRule="exact"/>
              <w:jc w:val="left"/>
              <w:rPr>
                <w:rFonts w:hAnsi="宋体"/>
                <w:szCs w:val="21"/>
              </w:rPr>
            </w:pPr>
          </w:p>
          <w:p>
            <w:pPr>
              <w:spacing w:line="380" w:lineRule="exact"/>
              <w:jc w:val="center"/>
              <w:rPr>
                <w:rFonts w:hAnsi="宋体"/>
                <w:szCs w:val="21"/>
              </w:rPr>
            </w:pPr>
          </w:p>
          <w:p>
            <w:pPr>
              <w:spacing w:line="380" w:lineRule="exact"/>
              <w:jc w:val="center"/>
              <w:rPr>
                <w:rFonts w:hAnsi="宋体"/>
                <w:szCs w:val="21"/>
              </w:rPr>
            </w:pPr>
          </w:p>
          <w:p>
            <w:pPr>
              <w:spacing w:line="380" w:lineRule="exact"/>
              <w:jc w:val="center"/>
              <w:rPr>
                <w:rFonts w:hAnsi="宋体"/>
                <w:szCs w:val="21"/>
              </w:rPr>
            </w:pPr>
          </w:p>
          <w:p>
            <w:pPr>
              <w:spacing w:line="380" w:lineRule="exact"/>
              <w:jc w:val="center"/>
              <w:rPr>
                <w:rFonts w:ascii="宋体" w:hAnsi="宋体"/>
                <w:szCs w:val="21"/>
              </w:rPr>
            </w:pPr>
            <w:r>
              <w:rPr>
                <w:rFonts w:hint="eastAsia" w:hAnsi="宋体"/>
                <w:szCs w:val="21"/>
              </w:rPr>
              <w:t>年月日</w:t>
            </w:r>
          </w:p>
        </w:tc>
        <w:tc>
          <w:tcPr>
            <w:tcW w:w="4960" w:type="dxa"/>
            <w:gridSpan w:val="3"/>
            <w:noWrap/>
          </w:tcPr>
          <w:p>
            <w:pPr>
              <w:spacing w:line="380" w:lineRule="exact"/>
              <w:ind w:right="840"/>
              <w:rPr>
                <w:rFonts w:ascii="宋体" w:hAnsi="宋体"/>
                <w:szCs w:val="21"/>
              </w:rPr>
            </w:pPr>
            <w:r>
              <w:rPr>
                <w:rFonts w:hint="eastAsia" w:ascii="宋体" w:hAnsi="宋体"/>
                <w:szCs w:val="21"/>
              </w:rPr>
              <w:t>被检查单位意见：</w:t>
            </w:r>
          </w:p>
          <w:p>
            <w:pPr>
              <w:spacing w:line="380" w:lineRule="exact"/>
              <w:ind w:right="840"/>
              <w:rPr>
                <w:rFonts w:ascii="宋体" w:hAnsi="宋体"/>
                <w:szCs w:val="21"/>
              </w:rPr>
            </w:pPr>
          </w:p>
          <w:p>
            <w:pPr>
              <w:spacing w:line="380" w:lineRule="exact"/>
              <w:rPr>
                <w:rFonts w:hAnsi="宋体"/>
                <w:szCs w:val="21"/>
              </w:rPr>
            </w:pPr>
          </w:p>
          <w:p>
            <w:pPr>
              <w:spacing w:line="380" w:lineRule="exact"/>
              <w:rPr>
                <w:rFonts w:hAnsi="宋体"/>
                <w:szCs w:val="21"/>
              </w:rPr>
            </w:pPr>
          </w:p>
          <w:p>
            <w:pPr>
              <w:spacing w:line="380" w:lineRule="exact"/>
              <w:ind w:firstLine="2310" w:firstLineChars="1100"/>
              <w:rPr>
                <w:rFonts w:ascii="宋体" w:hAnsi="宋体"/>
                <w:szCs w:val="21"/>
              </w:rPr>
            </w:pPr>
            <w:r>
              <w:rPr>
                <w:rFonts w:hint="eastAsia" w:hAnsi="宋体"/>
                <w:szCs w:val="21"/>
              </w:rPr>
              <w:t>年月日（章）</w:t>
            </w:r>
          </w:p>
        </w:tc>
      </w:tr>
    </w:tbl>
    <w:p>
      <w:pPr>
        <w:adjustRightInd w:val="0"/>
        <w:snapToGrid w:val="0"/>
        <w:rPr>
          <w:rFonts w:ascii="宋体" w:hAnsi="宋体"/>
          <w:szCs w:val="21"/>
        </w:rPr>
      </w:pPr>
      <w:r>
        <w:rPr>
          <w:rFonts w:hint="eastAsia" w:ascii="宋体" w:hAnsi="宋体"/>
          <w:szCs w:val="21"/>
        </w:rPr>
        <w:t>备注：已提醒食品经营者落实《中华人民共和国</w:t>
      </w:r>
      <w:bookmarkStart w:id="0" w:name="_GoBack"/>
      <w:bookmarkEnd w:id="0"/>
      <w:r>
        <w:rPr>
          <w:rFonts w:hint="eastAsia" w:ascii="宋体" w:hAnsi="宋体"/>
          <w:szCs w:val="21"/>
        </w:rPr>
        <w:t>安全生产法》主体责任义务。</w:t>
      </w:r>
    </w:p>
    <w:p>
      <w:pPr>
        <w:adjustRightInd w:val="0"/>
        <w:snapToGrid w:val="0"/>
        <w:rPr>
          <w:rFonts w:ascii="黑体" w:hAnsi="黑体" w:eastAsia="黑体"/>
          <w:sz w:val="30"/>
          <w:szCs w:val="30"/>
        </w:rPr>
      </w:pPr>
      <w:r>
        <w:rPr>
          <w:rFonts w:hint="eastAsia" w:ascii="宋体" w:hAnsi="宋体"/>
          <w:szCs w:val="21"/>
        </w:rPr>
        <w:t>本表一式三份，一份监管部门留存（白），一份现场公开（红），一份反馈食品经营者（蓝）。</w:t>
      </w:r>
    </w:p>
    <w:p>
      <w:pPr>
        <w:pStyle w:val="2"/>
        <w:ind w:firstLine="200"/>
        <w:rPr>
          <w:rFonts w:hint="eastAsia"/>
          <w:szCs w:val="24"/>
          <w:lang w:eastAsia="zh-CN"/>
        </w:rPr>
      </w:pPr>
      <w:r>
        <w:rPr>
          <w:lang w:eastAsia="zh-CN"/>
        </w:rPr>
        <w:br w:type="page"/>
      </w:r>
    </w:p>
    <w:p>
      <w:pPr>
        <w:spacing w:line="480" w:lineRule="exact"/>
        <w:rPr>
          <w:rFonts w:hint="eastAsia" w:ascii="方正小标宋简体" w:hAnsi="方正小标宋简体" w:eastAsia="方正小标宋简体" w:cs="方正小标宋简体"/>
          <w:sz w:val="44"/>
          <w:szCs w:val="44"/>
        </w:rPr>
      </w:pPr>
    </w:p>
    <w:p>
      <w:pPr>
        <w:adjustRightInd w:val="0"/>
        <w:snapToGrid w:val="0"/>
        <w:spacing w:line="520" w:lineRule="exact"/>
        <w:jc w:val="center"/>
        <w:rPr>
          <w:rFonts w:hint="eastAsia" w:ascii="方正小标宋简体" w:hAnsi="方正小标宋简体" w:eastAsia="方正小标宋简体" w:cs="方正小标宋简体"/>
          <w:sz w:val="44"/>
          <w:szCs w:val="44"/>
        </w:rPr>
      </w:pPr>
    </w:p>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326"/>
        <w:rPr>
          <w:rFonts w:ascii="Times New Roman" w:hAnsi="Times New Roman" w:eastAsia="仿宋_GB2312" w:cs="Times New Roman"/>
          <w:spacing w:val="3"/>
          <w:sz w:val="32"/>
          <w:szCs w:val="32"/>
          <w:lang w:eastAsia="zh-CN"/>
        </w:rPr>
      </w:pPr>
    </w:p>
    <w:p>
      <w:pPr>
        <w:pStyle w:val="2"/>
        <w:ind w:firstLine="0" w:firstLineChars="0"/>
        <w:rPr>
          <w:rFonts w:hint="eastAsia" w:ascii="Times New Roman" w:hAnsi="Times New Roman" w:cs="Times New Roman"/>
          <w:lang w:eastAsia="zh-CN"/>
        </w:rPr>
      </w:pPr>
    </w:p>
    <w:p>
      <w:pPr>
        <w:pStyle w:val="2"/>
        <w:ind w:firstLine="0" w:firstLineChars="0"/>
        <w:rPr>
          <w:rFonts w:hint="eastAsia" w:ascii="Times New Roman" w:hAnsi="Times New Roman" w:cs="Times New Roman"/>
          <w:lang w:eastAsia="zh-CN"/>
        </w:rPr>
      </w:pPr>
    </w:p>
    <w:p>
      <w:pPr>
        <w:pStyle w:val="2"/>
        <w:ind w:firstLine="0" w:firstLineChars="0"/>
        <w:rPr>
          <w:rFonts w:hint="eastAsia" w:ascii="Times New Roman" w:hAnsi="Times New Roman" w:cs="Times New Roman"/>
          <w:lang w:eastAsia="zh-CN"/>
        </w:rPr>
      </w:pPr>
    </w:p>
    <w:p>
      <w:pPr>
        <w:pStyle w:val="2"/>
        <w:ind w:firstLine="0" w:firstLineChars="0"/>
        <w:rPr>
          <w:rFonts w:hint="eastAsia" w:ascii="Times New Roman" w:hAnsi="Times New Roman" w:cs="Times New Roman"/>
          <w:lang w:eastAsia="zh-CN"/>
        </w:rPr>
      </w:pPr>
    </w:p>
    <w:p>
      <w:pPr>
        <w:pStyle w:val="2"/>
        <w:ind w:firstLine="0" w:firstLineChars="0"/>
        <w:rPr>
          <w:rFonts w:hint="eastAsia" w:ascii="Times New Roman" w:hAnsi="Times New Roman" w:cs="Times New Roman"/>
          <w:lang w:eastAsia="zh-CN"/>
        </w:rPr>
      </w:pPr>
    </w:p>
    <w:p>
      <w:pPr>
        <w:pStyle w:val="2"/>
        <w:ind w:firstLine="0" w:firstLineChars="0"/>
        <w:rPr>
          <w:rFonts w:hint="eastAsia" w:ascii="Times New Roman" w:hAnsi="Times New Roman" w:cs="Times New Roman"/>
          <w:lang w:eastAsia="zh-CN"/>
        </w:rPr>
      </w:pPr>
    </w:p>
    <w:p>
      <w:pPr>
        <w:pStyle w:val="2"/>
        <w:ind w:firstLine="0" w:firstLineChars="0"/>
        <w:rPr>
          <w:rFonts w:hint="eastAsia" w:ascii="Times New Roman" w:hAnsi="Times New Roman" w:cs="Times New Roman"/>
          <w:lang w:eastAsia="zh-CN"/>
        </w:rPr>
      </w:pPr>
    </w:p>
    <w:p>
      <w:pPr>
        <w:pStyle w:val="2"/>
        <w:ind w:firstLine="0" w:firstLineChars="0"/>
        <w:rPr>
          <w:rFonts w:ascii="Times New Roman" w:hAnsi="Times New Roman" w:cs="Times New Roman"/>
          <w:lang w:eastAsia="zh-CN"/>
        </w:rPr>
      </w:pPr>
    </w:p>
    <w:p>
      <w:pPr>
        <w:spacing w:line="620" w:lineRule="exact"/>
        <w:jc w:val="center"/>
        <w:rPr>
          <w:rFonts w:ascii="Times New Roman" w:hAnsi="Times New Roman"/>
          <w:sz w:val="40"/>
          <w:szCs w:val="40"/>
        </w:rPr>
      </w:pPr>
    </w:p>
    <w:p>
      <w:pPr>
        <w:pBdr>
          <w:top w:val="single" w:color="auto" w:sz="4" w:space="0"/>
          <w:bottom w:val="single" w:color="auto" w:sz="4" w:space="1"/>
          <w:between w:val="single" w:color="auto" w:sz="4" w:space="1"/>
        </w:pBdr>
        <w:tabs>
          <w:tab w:val="left" w:pos="4515"/>
        </w:tabs>
        <w:adjustRightInd w:val="0"/>
        <w:snapToGrid w:val="0"/>
        <w:spacing w:line="600" w:lineRule="exact"/>
        <w:rPr>
          <w:rFonts w:ascii="Times New Roman" w:hAnsi="Times New Roman"/>
        </w:rPr>
      </w:pPr>
      <w:r>
        <w:rPr>
          <w:rFonts w:ascii="Times New Roman" w:hAnsi="Times New Roman" w:eastAsia="仿宋_GB2312"/>
          <w:color w:val="000000"/>
          <w:sz w:val="28"/>
          <w:szCs w:val="28"/>
        </w:rPr>
        <w:t xml:space="preserve">  南安市市场监督管理局办公室           </w:t>
      </w:r>
      <w:r>
        <w:rPr>
          <w:rFonts w:hint="eastAsia" w:ascii="Times New Roman" w:hAnsi="Times New Roman" w:eastAsia="仿宋_GB2312"/>
          <w:color w:val="000000"/>
          <w:sz w:val="28"/>
          <w:szCs w:val="28"/>
        </w:rPr>
        <w:t xml:space="preserve">    </w:t>
      </w:r>
      <w:r>
        <w:rPr>
          <w:rFonts w:ascii="Times New Roman" w:hAnsi="Times New Roman" w:eastAsia="仿宋_GB2312"/>
          <w:color w:val="000000"/>
          <w:sz w:val="28"/>
          <w:szCs w:val="28"/>
        </w:rPr>
        <w:t>2023年12月</w:t>
      </w:r>
      <w:r>
        <w:rPr>
          <w:rFonts w:hint="eastAsia" w:ascii="Times New Roman" w:hAnsi="Times New Roman" w:eastAsia="仿宋_GB2312"/>
          <w:color w:val="000000"/>
          <w:sz w:val="28"/>
          <w:szCs w:val="28"/>
        </w:rPr>
        <w:t>8</w:t>
      </w:r>
      <w:r>
        <w:rPr>
          <w:rFonts w:ascii="Times New Roman" w:hAnsi="Times New Roman" w:eastAsia="仿宋_GB2312"/>
          <w:color w:val="000000"/>
          <w:sz w:val="28"/>
          <w:szCs w:val="28"/>
        </w:rPr>
        <w:t>日印发</w:t>
      </w:r>
    </w:p>
    <w:p/>
    <w:sectPr>
      <w:pgSz w:w="11906" w:h="16838"/>
      <w:pgMar w:top="567" w:right="1418" w:bottom="567"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_GB2312">
    <w:altName w:val="仿宋"/>
    <w:panose1 w:val="00000000000000000000"/>
    <w:charset w:val="00"/>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方正仿宋简体">
    <w:altName w:val="微软雅黑"/>
    <w:panose1 w:val="02010601030101010101"/>
    <w:charset w:val="86"/>
    <w:family w:val="auto"/>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sz w:val="28"/>
                              <w:szCs w:val="28"/>
                            </w:rPr>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FJkMkBAACZAwAADgAAAGRycy9lMm9Eb2MueG1srVPNjtMwEL4j8Q6W&#10;79Rpk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4MUmQyQEAAJkDAAAOAAAAAAAAAAEAIAAAAB4BAABkcnMvZTJvRG9j&#10;LnhtbFBLBQYAAAAABgAGAFkBAABZBQAAAAA=&#10;">
              <v:fill on="f" focussize="0,0"/>
              <v:stroke on="f"/>
              <v:imagedata o:title=""/>
              <o:lock v:ext="edit" aspectratio="f"/>
              <v:textbox inset="0mm,0mm,0mm,0mm" style="mso-fit-shape-to-text:t;">
                <w:txbxContent>
                  <w:p>
                    <w:pPr>
                      <w:pStyle w:val="6"/>
                      <w:rPr>
                        <w:rFonts w:hint="eastAsia"/>
                        <w:sz w:val="28"/>
                        <w:szCs w:val="28"/>
                      </w:rPr>
                    </w:pPr>
                    <w:r>
                      <w:rPr>
                        <w:rFonts w:hint="eastAsia"/>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13</w:t>
                    </w:r>
                    <w:r>
                      <w:rPr>
                        <w:rFonts w:hint="eastAsia" w:ascii="宋体" w:hAnsi="宋体" w:cs="宋体"/>
                        <w:sz w:val="28"/>
                        <w:szCs w:val="28"/>
                      </w:rPr>
                      <w:fldChar w:fldCharType="end"/>
                    </w:r>
                    <w:r>
                      <w:rPr>
                        <w:rFonts w:hint="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QxZTk1ZmRjMTliMWVkOTJmYWI3YWU2Y2Q5YzNlZTAifQ=="/>
  </w:docVars>
  <w:rsids>
    <w:rsidRoot w:val="00B64D25"/>
    <w:rsid w:val="000D4933"/>
    <w:rsid w:val="006A2E48"/>
    <w:rsid w:val="007D0764"/>
    <w:rsid w:val="00B64D25"/>
    <w:rsid w:val="17375756"/>
    <w:rsid w:val="1D525097"/>
    <w:rsid w:val="2C6E3570"/>
    <w:rsid w:val="4B9C7E51"/>
    <w:rsid w:val="59B461B6"/>
    <w:rsid w:val="67890C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12"/>
    <w:qFormat/>
    <w:uiPriority w:val="0"/>
    <w:pPr>
      <w:spacing w:after="0"/>
      <w:ind w:firstLine="420" w:firstLineChars="100"/>
    </w:pPr>
    <w:rPr>
      <w:rFonts w:eastAsia="黑体" w:cs="黑体"/>
      <w:kern w:val="0"/>
      <w:sz w:val="20"/>
      <w:szCs w:val="20"/>
      <w:lang w:eastAsia="en-US"/>
    </w:rPr>
  </w:style>
  <w:style w:type="paragraph" w:styleId="3">
    <w:name w:val="Body Text"/>
    <w:basedOn w:val="1"/>
    <w:link w:val="11"/>
    <w:autoRedefine/>
    <w:unhideWhenUsed/>
    <w:qFormat/>
    <w:uiPriority w:val="0"/>
    <w:pPr>
      <w:spacing w:after="120"/>
    </w:pPr>
  </w:style>
  <w:style w:type="paragraph" w:styleId="4">
    <w:name w:val="endnote text"/>
    <w:link w:val="13"/>
    <w:qFormat/>
    <w:uiPriority w:val="0"/>
    <w:pPr>
      <w:widowControl w:val="0"/>
      <w:snapToGrid w:val="0"/>
    </w:pPr>
    <w:rPr>
      <w:rFonts w:ascii="Times New Roman" w:hAnsi="Times New Roman" w:eastAsia="宋体" w:cs="Times New Roman"/>
      <w:kern w:val="2"/>
      <w:sz w:val="21"/>
      <w:szCs w:val="24"/>
      <w:lang w:val="en-US" w:eastAsia="zh-CN" w:bidi="ar-SA"/>
    </w:rPr>
  </w:style>
  <w:style w:type="paragraph" w:styleId="5">
    <w:name w:val="Balloon Text"/>
    <w:basedOn w:val="1"/>
    <w:next w:val="4"/>
    <w:link w:val="14"/>
    <w:autoRedefine/>
    <w:semiHidden/>
    <w:qFormat/>
    <w:uiPriority w:val="0"/>
    <w:rPr>
      <w:sz w:val="18"/>
      <w:szCs w:val="18"/>
    </w:rPr>
  </w:style>
  <w:style w:type="paragraph" w:styleId="6">
    <w:name w:val="footer"/>
    <w:basedOn w:val="1"/>
    <w:link w:val="15"/>
    <w:autoRedefine/>
    <w:qFormat/>
    <w:uiPriority w:val="0"/>
    <w:pPr>
      <w:tabs>
        <w:tab w:val="center" w:pos="4153"/>
        <w:tab w:val="right" w:pos="8306"/>
      </w:tabs>
      <w:snapToGrid w:val="0"/>
      <w:jc w:val="left"/>
    </w:pPr>
    <w:rPr>
      <w:sz w:val="18"/>
    </w:rPr>
  </w:style>
  <w:style w:type="paragraph" w:styleId="7">
    <w:name w:val="header"/>
    <w:basedOn w:val="1"/>
    <w:link w:val="16"/>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autoRedefine/>
    <w:qFormat/>
    <w:uiPriority w:val="0"/>
    <w:pPr>
      <w:spacing w:before="100" w:beforeAutospacing="1" w:after="100" w:afterAutospacing="1"/>
      <w:jc w:val="left"/>
    </w:pPr>
    <w:rPr>
      <w:kern w:val="0"/>
      <w:sz w:val="24"/>
    </w:rPr>
  </w:style>
  <w:style w:type="character" w:customStyle="1" w:styleId="11">
    <w:name w:val="正文文本 Char"/>
    <w:basedOn w:val="10"/>
    <w:link w:val="3"/>
    <w:semiHidden/>
    <w:uiPriority w:val="99"/>
    <w:rPr>
      <w:rFonts w:ascii="Calibri" w:hAnsi="Calibri" w:eastAsia="宋体" w:cs="Times New Roman"/>
      <w:szCs w:val="24"/>
    </w:rPr>
  </w:style>
  <w:style w:type="character" w:customStyle="1" w:styleId="12">
    <w:name w:val="正文首行缩进 Char"/>
    <w:basedOn w:val="11"/>
    <w:link w:val="2"/>
    <w:autoRedefine/>
    <w:qFormat/>
    <w:uiPriority w:val="0"/>
    <w:rPr>
      <w:rFonts w:eastAsia="黑体" w:cs="黑体"/>
      <w:kern w:val="0"/>
      <w:sz w:val="20"/>
      <w:szCs w:val="20"/>
      <w:lang w:eastAsia="en-US"/>
    </w:rPr>
  </w:style>
  <w:style w:type="character" w:customStyle="1" w:styleId="13">
    <w:name w:val="尾注文本 Char"/>
    <w:basedOn w:val="10"/>
    <w:link w:val="4"/>
    <w:uiPriority w:val="0"/>
    <w:rPr>
      <w:rFonts w:ascii="Times New Roman" w:hAnsi="Times New Roman" w:eastAsia="宋体" w:cs="Times New Roman"/>
      <w:szCs w:val="24"/>
    </w:rPr>
  </w:style>
  <w:style w:type="character" w:customStyle="1" w:styleId="14">
    <w:name w:val="批注框文本 Char"/>
    <w:basedOn w:val="10"/>
    <w:link w:val="5"/>
    <w:semiHidden/>
    <w:uiPriority w:val="0"/>
    <w:rPr>
      <w:rFonts w:ascii="Calibri" w:hAnsi="Calibri" w:eastAsia="宋体" w:cs="Times New Roman"/>
      <w:sz w:val="18"/>
      <w:szCs w:val="18"/>
    </w:rPr>
  </w:style>
  <w:style w:type="character" w:customStyle="1" w:styleId="15">
    <w:name w:val="页脚 Char"/>
    <w:basedOn w:val="10"/>
    <w:link w:val="6"/>
    <w:uiPriority w:val="0"/>
    <w:rPr>
      <w:rFonts w:ascii="Calibri" w:hAnsi="Calibri" w:eastAsia="宋体" w:cs="Times New Roman"/>
      <w:sz w:val="18"/>
      <w:szCs w:val="24"/>
    </w:rPr>
  </w:style>
  <w:style w:type="character" w:customStyle="1" w:styleId="16">
    <w:name w:val="页眉 Char"/>
    <w:basedOn w:val="10"/>
    <w:link w:val="7"/>
    <w:qFormat/>
    <w:uiPriority w:val="0"/>
    <w:rPr>
      <w:rFonts w:ascii="Calibri" w:hAnsi="Calibri"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1072</Words>
  <Characters>6113</Characters>
  <Lines>50</Lines>
  <Paragraphs>14</Paragraphs>
  <TotalTime>4</TotalTime>
  <ScaleCrop>false</ScaleCrop>
  <LinksUpToDate>false</LinksUpToDate>
  <CharactersWithSpaces>7171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2023-12-12T00:37:00Z</dcterms:created>
  <dc:creator>办公室拟办</dc:creator>
  <cp:lastModifiedBy>o o o o o</cp:lastModifiedBy>
  <dcterms:modified xsi:type="dcterms:W3CDTF">2024-01-04T06:38:49Z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2019DE15FBF44348AEEEFADCFEFCF779_13</vt:lpwstr>
  </property>
</Properties>
</file>