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方正小标宋简体" w:eastAsia="方正小标宋简体" w:cs="宋体" w:hAnsiTheme="majorEastAsia"/>
          <w:b/>
          <w:bCs/>
          <w:spacing w:val="-14"/>
          <w:kern w:val="0"/>
          <w:sz w:val="44"/>
          <w:szCs w:val="44"/>
        </w:rPr>
      </w:pPr>
    </w:p>
    <w:p>
      <w:pPr>
        <w:widowControl/>
        <w:spacing w:line="600" w:lineRule="exact"/>
        <w:jc w:val="center"/>
        <w:rPr>
          <w:rFonts w:ascii="方正小标宋简体" w:eastAsia="方正小标宋简体" w:cs="宋体" w:hAnsiTheme="majorEastAsia"/>
          <w:b/>
          <w:bCs/>
          <w:spacing w:val="-14"/>
          <w:kern w:val="0"/>
          <w:sz w:val="44"/>
          <w:szCs w:val="44"/>
        </w:rPr>
      </w:pPr>
    </w:p>
    <w:p>
      <w:pPr>
        <w:widowControl/>
        <w:spacing w:line="600" w:lineRule="exact"/>
        <w:jc w:val="center"/>
        <w:rPr>
          <w:rFonts w:ascii="方正小标宋简体" w:eastAsia="方正小标宋简体" w:cs="宋体" w:hAnsiTheme="majorEastAsia"/>
          <w:b/>
          <w:bCs/>
          <w:spacing w:val="-14"/>
          <w:kern w:val="0"/>
          <w:sz w:val="44"/>
          <w:szCs w:val="44"/>
        </w:rPr>
      </w:pPr>
    </w:p>
    <w:p>
      <w:pPr>
        <w:widowControl/>
        <w:spacing w:line="600" w:lineRule="exact"/>
        <w:jc w:val="center"/>
        <w:rPr>
          <w:rFonts w:ascii="方正小标宋简体" w:eastAsia="方正小标宋简体" w:cs="宋体" w:hAnsiTheme="majorEastAsia"/>
          <w:b/>
          <w:bCs/>
          <w:spacing w:val="-14"/>
          <w:kern w:val="0"/>
          <w:sz w:val="44"/>
          <w:szCs w:val="44"/>
        </w:rPr>
      </w:pPr>
    </w:p>
    <w:p>
      <w:pPr>
        <w:widowControl/>
        <w:spacing w:line="600" w:lineRule="exact"/>
        <w:jc w:val="center"/>
        <w:rPr>
          <w:rFonts w:ascii="仿宋_GB2312" w:eastAsia="仿宋_GB2312" w:cs="宋体" w:hAnsiTheme="majorEastAsia"/>
          <w:bCs/>
          <w:spacing w:val="-14"/>
          <w:kern w:val="0"/>
          <w:sz w:val="32"/>
          <w:szCs w:val="32"/>
        </w:rPr>
      </w:pPr>
      <w:r>
        <w:rPr>
          <w:rFonts w:hint="eastAsia" w:ascii="仿宋_GB2312" w:eastAsia="仿宋_GB2312" w:cs="宋体" w:hAnsiTheme="majorEastAsia"/>
          <w:bCs/>
          <w:spacing w:val="-14"/>
          <w:kern w:val="0"/>
          <w:sz w:val="32"/>
          <w:szCs w:val="32"/>
        </w:rPr>
        <w:t>南人社</w:t>
      </w:r>
      <w:r>
        <w:rPr>
          <w:rFonts w:ascii="仿宋_GB2312" w:eastAsia="仿宋_GB2312" w:cs="宋体" w:hAnsiTheme="majorEastAsia"/>
          <w:bCs/>
          <w:spacing w:val="-14"/>
          <w:kern w:val="0"/>
          <w:sz w:val="32"/>
          <w:szCs w:val="32"/>
        </w:rPr>
        <w:t>〔20</w:t>
      </w:r>
      <w:r>
        <w:rPr>
          <w:rFonts w:hint="eastAsia" w:ascii="仿宋_GB2312" w:eastAsia="仿宋_GB2312" w:cs="宋体" w:hAnsiTheme="majorEastAsia"/>
          <w:bCs/>
          <w:spacing w:val="-14"/>
          <w:kern w:val="0"/>
          <w:sz w:val="32"/>
          <w:szCs w:val="32"/>
        </w:rPr>
        <w:t>2</w:t>
      </w:r>
      <w:r>
        <w:rPr>
          <w:rFonts w:hint="eastAsia" w:ascii="仿宋_GB2312" w:eastAsia="仿宋_GB2312" w:cs="宋体" w:hAnsiTheme="majorEastAsia"/>
          <w:bCs/>
          <w:spacing w:val="-14"/>
          <w:kern w:val="0"/>
          <w:sz w:val="32"/>
          <w:szCs w:val="32"/>
          <w:lang w:val="en-US" w:eastAsia="zh-CN"/>
        </w:rPr>
        <w:t>1</w:t>
      </w:r>
      <w:r>
        <w:rPr>
          <w:rFonts w:ascii="仿宋_GB2312" w:eastAsia="仿宋_GB2312" w:cs="宋体" w:hAnsiTheme="majorEastAsia"/>
          <w:bCs/>
          <w:spacing w:val="-14"/>
          <w:kern w:val="0"/>
          <w:sz w:val="32"/>
          <w:szCs w:val="32"/>
        </w:rPr>
        <w:t>〕</w:t>
      </w:r>
      <w:r>
        <w:rPr>
          <w:rFonts w:hint="eastAsia" w:ascii="仿宋_GB2312" w:eastAsia="仿宋_GB2312" w:cs="宋体" w:hAnsiTheme="majorEastAsia"/>
          <w:bCs/>
          <w:spacing w:val="-14"/>
          <w:kern w:val="0"/>
          <w:sz w:val="32"/>
          <w:szCs w:val="32"/>
          <w:lang w:val="en-US" w:eastAsia="zh-CN"/>
        </w:rPr>
        <w:t xml:space="preserve">1 </w:t>
      </w:r>
      <w:r>
        <w:rPr>
          <w:rFonts w:ascii="仿宋_GB2312" w:eastAsia="仿宋_GB2312" w:cs="宋体" w:hAnsiTheme="majorEastAsia"/>
          <w:bCs/>
          <w:spacing w:val="-14"/>
          <w:kern w:val="0"/>
          <w:sz w:val="32"/>
          <w:szCs w:val="32"/>
        </w:rPr>
        <w:t>号</w:t>
      </w:r>
    </w:p>
    <w:p>
      <w:pPr>
        <w:widowControl/>
        <w:spacing w:line="600" w:lineRule="exact"/>
        <w:jc w:val="center"/>
        <w:rPr>
          <w:rFonts w:ascii="仿宋_GB2312" w:eastAsia="仿宋_GB2312" w:cs="宋体" w:hAnsiTheme="majorEastAsia"/>
          <w:bCs/>
          <w:spacing w:val="-14"/>
          <w:kern w:val="0"/>
          <w:sz w:val="32"/>
          <w:szCs w:val="32"/>
        </w:rPr>
      </w:pPr>
    </w:p>
    <w:p>
      <w:pPr>
        <w:widowControl/>
        <w:spacing w:line="600" w:lineRule="exact"/>
        <w:jc w:val="center"/>
        <w:rPr>
          <w:rFonts w:ascii="仿宋_GB2312" w:eastAsia="仿宋_GB2312" w:cs="宋体" w:hAnsiTheme="majorEastAsia"/>
          <w:bCs/>
          <w:spacing w:val="-14"/>
          <w:kern w:val="0"/>
          <w:sz w:val="32"/>
          <w:szCs w:val="32"/>
        </w:rPr>
      </w:pPr>
    </w:p>
    <w:p>
      <w:pPr>
        <w:widowControl/>
        <w:spacing w:line="600" w:lineRule="exact"/>
        <w:jc w:val="center"/>
        <w:rPr>
          <w:rFonts w:ascii="方正小标宋简体" w:eastAsia="方正小标宋简体" w:cs="宋体" w:hAnsiTheme="majorEastAsia"/>
          <w:bCs/>
          <w:spacing w:val="-14"/>
          <w:kern w:val="0"/>
          <w:sz w:val="44"/>
          <w:szCs w:val="44"/>
        </w:rPr>
      </w:pPr>
      <w:r>
        <w:rPr>
          <w:rFonts w:hint="eastAsia" w:ascii="方正小标宋简体" w:eastAsia="方正小标宋简体" w:cs="宋体" w:hAnsiTheme="majorEastAsia"/>
          <w:bCs/>
          <w:spacing w:val="-14"/>
          <w:kern w:val="0"/>
          <w:sz w:val="44"/>
          <w:szCs w:val="44"/>
        </w:rPr>
        <w:t>南安市人力资源和社会保障局</w:t>
      </w:r>
    </w:p>
    <w:p>
      <w:pPr>
        <w:widowControl/>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bCs/>
          <w:color w:val="000000"/>
          <w:kern w:val="0"/>
          <w:sz w:val="44"/>
          <w:szCs w:val="44"/>
        </w:rPr>
        <w:t>20</w:t>
      </w:r>
      <w:r>
        <w:rPr>
          <w:rFonts w:hint="eastAsia" w:ascii="方正小标宋简体" w:hAnsi="宋体" w:eastAsia="方正小标宋简体" w:cs="宋体"/>
          <w:bCs/>
          <w:color w:val="000000"/>
          <w:kern w:val="0"/>
          <w:sz w:val="44"/>
          <w:szCs w:val="44"/>
          <w:lang w:val="en-US" w:eastAsia="zh-CN"/>
        </w:rPr>
        <w:t>20</w:t>
      </w:r>
      <w:r>
        <w:rPr>
          <w:rFonts w:hint="eastAsia" w:ascii="方正小标宋简体" w:hAnsi="宋体" w:eastAsia="方正小标宋简体" w:cs="宋体"/>
          <w:bCs/>
          <w:color w:val="000000"/>
          <w:kern w:val="0"/>
          <w:sz w:val="44"/>
          <w:szCs w:val="44"/>
        </w:rPr>
        <w:t>年政府信息公开工作年度报告</w:t>
      </w:r>
    </w:p>
    <w:p>
      <w:pPr>
        <w:widowControl/>
        <w:ind w:firstLine="480"/>
        <w:rPr>
          <w:rFonts w:ascii="宋体" w:hAnsi="宋体" w:eastAsia="宋体" w:cs="宋体"/>
          <w:color w:val="000000"/>
          <w:kern w:val="0"/>
          <w:sz w:val="16"/>
          <w:szCs w:val="16"/>
        </w:rPr>
      </w:pPr>
    </w:p>
    <w:p>
      <w:pPr>
        <w:keepNext w:val="0"/>
        <w:keepLines w:val="0"/>
        <w:pageBreakBefore w:val="0"/>
        <w:widowControl/>
        <w:numPr>
          <w:ilvl w:val="0"/>
          <w:numId w:val="1"/>
        </w:numPr>
        <w:kinsoku/>
        <w:wordWrap/>
        <w:overflowPunct/>
        <w:topLinePunct w:val="0"/>
        <w:autoSpaceDE/>
        <w:autoSpaceDN/>
        <w:bidi w:val="0"/>
        <w:adjustRightInd w:val="0"/>
        <w:snapToGrid w:val="0"/>
        <w:spacing w:line="600" w:lineRule="exact"/>
        <w:ind w:firstLine="480"/>
        <w:textAlignment w:val="auto"/>
        <w:rPr>
          <w:rFonts w:hint="eastAsia" w:ascii="黑体" w:hAnsi="黑体" w:eastAsia="黑体" w:cs="宋体"/>
          <w:bCs/>
          <w:color w:val="000000"/>
          <w:kern w:val="0"/>
          <w:sz w:val="32"/>
          <w:szCs w:val="32"/>
        </w:rPr>
      </w:pPr>
      <w:r>
        <w:rPr>
          <w:rFonts w:hint="eastAsia" w:ascii="黑体" w:hAnsi="黑体" w:eastAsia="黑体" w:cs="宋体"/>
          <w:bCs/>
          <w:color w:val="000000"/>
          <w:kern w:val="0"/>
          <w:sz w:val="32"/>
          <w:szCs w:val="32"/>
        </w:rPr>
        <w:t>总体情况</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eastAsia" w:ascii="黑体" w:hAnsi="黑体" w:eastAsia="黑体" w:cs="宋体"/>
          <w:bCs/>
          <w:color w:val="000000"/>
          <w:kern w:val="0"/>
          <w:sz w:val="32"/>
          <w:szCs w:val="32"/>
        </w:rPr>
      </w:pPr>
      <w:r>
        <w:rPr>
          <w:rFonts w:hint="eastAsia" w:ascii="楷体_GB2312" w:hAnsi="仿宋" w:eastAsia="楷体_GB2312" w:cs="宋体"/>
          <w:b/>
          <w:bCs/>
          <w:kern w:val="0"/>
          <w:sz w:val="32"/>
          <w:szCs w:val="32"/>
        </w:rPr>
        <w:t>（一）</w:t>
      </w:r>
      <w:r>
        <w:rPr>
          <w:rFonts w:hint="eastAsia" w:ascii="楷体_GB2312" w:hAnsi="仿宋" w:eastAsia="楷体_GB2312" w:cs="宋体"/>
          <w:b/>
          <w:bCs/>
          <w:kern w:val="0"/>
          <w:sz w:val="32"/>
          <w:szCs w:val="32"/>
          <w:lang w:val="en-US" w:eastAsia="zh-CN"/>
        </w:rPr>
        <w:t>概述</w:t>
      </w:r>
    </w:p>
    <w:p>
      <w:pPr>
        <w:keepNext w:val="0"/>
        <w:keepLines w:val="0"/>
        <w:pageBreakBefore w:val="0"/>
        <w:widowControl/>
        <w:kinsoku/>
        <w:wordWrap/>
        <w:overflowPunct/>
        <w:topLinePunct w:val="0"/>
        <w:autoSpaceDE/>
        <w:autoSpaceDN/>
        <w:bidi w:val="0"/>
        <w:adjustRightInd w:val="0"/>
        <w:snapToGrid w:val="0"/>
        <w:spacing w:line="600" w:lineRule="exact"/>
        <w:ind w:firstLine="640"/>
        <w:jc w:val="left"/>
        <w:textAlignment w:val="auto"/>
        <w:rPr>
          <w:rFonts w:ascii="仿宋_GB2312" w:hAnsi="仿宋" w:eastAsia="仿宋_GB2312" w:cs="Arial"/>
          <w:kern w:val="0"/>
          <w:sz w:val="32"/>
          <w:szCs w:val="32"/>
        </w:rPr>
      </w:pPr>
      <w:r>
        <w:rPr>
          <w:rFonts w:hint="eastAsia" w:ascii="仿宋_GB2312" w:hAnsi="宋体" w:eastAsia="仿宋_GB2312" w:cs="宋体"/>
          <w:color w:val="000000"/>
          <w:kern w:val="0"/>
          <w:sz w:val="32"/>
          <w:szCs w:val="32"/>
        </w:rPr>
        <w:t>根据修订后的《中华人民共和国政府信息公开条例》(以下简称新《条例》)的规定和《政府信息公开工作年度报告》编制要求，编制本年度报告。本年报由总体情况、主动公开政府信息情况、收到和处理政府信息公开申请情况、政府信息公开行政复议和行政诉讼情况、存在的主要问题及改进情况、其他需要报告的事项等6个部分组成。</w:t>
      </w:r>
      <w:r>
        <w:rPr>
          <w:rFonts w:hint="eastAsia" w:ascii="仿宋_GB2312" w:hAnsi="仿宋" w:eastAsia="仿宋_GB2312" w:cs="Arial"/>
          <w:kern w:val="0"/>
          <w:sz w:val="32"/>
          <w:szCs w:val="32"/>
        </w:rPr>
        <w:t>本年报中所列数据的统计期限自20</w:t>
      </w:r>
      <w:r>
        <w:rPr>
          <w:rFonts w:hint="eastAsia" w:ascii="仿宋_GB2312" w:hAnsi="仿宋" w:eastAsia="仿宋_GB2312" w:cs="Arial"/>
          <w:kern w:val="0"/>
          <w:sz w:val="32"/>
          <w:szCs w:val="32"/>
          <w:lang w:val="en-US" w:eastAsia="zh-CN"/>
        </w:rPr>
        <w:t>20</w:t>
      </w:r>
      <w:r>
        <w:rPr>
          <w:rFonts w:hint="eastAsia" w:ascii="仿宋_GB2312" w:hAnsi="仿宋" w:eastAsia="仿宋_GB2312" w:cs="Arial"/>
          <w:kern w:val="0"/>
          <w:sz w:val="32"/>
          <w:szCs w:val="32"/>
        </w:rPr>
        <w:t>年1月1日起至20</w:t>
      </w:r>
      <w:r>
        <w:rPr>
          <w:rFonts w:hint="eastAsia" w:ascii="仿宋_GB2312" w:hAnsi="仿宋" w:eastAsia="仿宋_GB2312" w:cs="Arial"/>
          <w:kern w:val="0"/>
          <w:sz w:val="32"/>
          <w:szCs w:val="32"/>
          <w:lang w:val="en-US" w:eastAsia="zh-CN"/>
        </w:rPr>
        <w:t>20</w:t>
      </w:r>
      <w:r>
        <w:rPr>
          <w:rFonts w:hint="eastAsia" w:ascii="仿宋_GB2312" w:hAnsi="仿宋" w:eastAsia="仿宋_GB2312" w:cs="Arial"/>
          <w:kern w:val="0"/>
          <w:sz w:val="32"/>
          <w:szCs w:val="32"/>
        </w:rPr>
        <w:t>年12月31日止。报告通过南安市人民政府公众信息网公布，如对本年报有疑问，请与南安市人力资源和社会保障局办公室联系（联系地址：江北大道人力资源大厦，邮编：362300，联系电话：86353293，电子邮箱：</w:t>
      </w:r>
      <w:r>
        <w:fldChar w:fldCharType="begin"/>
      </w:r>
      <w:r>
        <w:instrText xml:space="preserve"> HYPERLINK "mailto:naldbz@126.com" </w:instrText>
      </w:r>
      <w:r>
        <w:fldChar w:fldCharType="separate"/>
      </w:r>
      <w:r>
        <w:rPr>
          <w:rStyle w:val="9"/>
          <w:rFonts w:hint="eastAsia" w:ascii="仿宋_GB2312" w:hAnsi="仿宋" w:eastAsia="仿宋_GB2312" w:cs="Arial"/>
          <w:kern w:val="0"/>
          <w:sz w:val="32"/>
          <w:szCs w:val="32"/>
        </w:rPr>
        <w:t>naldbz@126.com</w:t>
      </w:r>
      <w:r>
        <w:rPr>
          <w:rStyle w:val="9"/>
          <w:rFonts w:hint="eastAsia" w:ascii="仿宋_GB2312" w:hAnsi="仿宋" w:eastAsia="仿宋_GB2312" w:cs="Arial"/>
          <w:kern w:val="0"/>
          <w:sz w:val="32"/>
          <w:szCs w:val="32"/>
        </w:rPr>
        <w:fldChar w:fldCharType="end"/>
      </w:r>
      <w:r>
        <w:rPr>
          <w:rFonts w:hint="eastAsia" w:ascii="仿宋_GB2312" w:hAnsi="仿宋" w:eastAsia="仿宋_GB2312" w:cs="Arial"/>
          <w:kern w:val="0"/>
          <w:sz w:val="32"/>
          <w:szCs w:val="32"/>
        </w:rPr>
        <w:t>）</w:t>
      </w:r>
    </w:p>
    <w:p>
      <w:pPr>
        <w:keepNext w:val="0"/>
        <w:keepLines w:val="0"/>
        <w:pageBreakBefore w:val="0"/>
        <w:widowControl/>
        <w:kinsoku/>
        <w:wordWrap/>
        <w:overflowPunct/>
        <w:topLinePunct w:val="0"/>
        <w:autoSpaceDE/>
        <w:autoSpaceDN/>
        <w:bidi w:val="0"/>
        <w:adjustRightInd w:val="0"/>
        <w:snapToGrid w:val="0"/>
        <w:spacing w:line="600" w:lineRule="exact"/>
        <w:ind w:firstLine="643"/>
        <w:jc w:val="left"/>
        <w:textAlignment w:val="auto"/>
        <w:rPr>
          <w:rFonts w:hint="eastAsia" w:ascii="楷体_GB2312" w:hAnsi="宋体" w:eastAsia="楷体_GB2312" w:cs="宋体"/>
          <w:kern w:val="0"/>
          <w:sz w:val="24"/>
          <w:szCs w:val="24"/>
          <w:lang w:val="en-US" w:eastAsia="zh-CN"/>
        </w:rPr>
      </w:pPr>
      <w:r>
        <w:rPr>
          <w:rFonts w:hint="eastAsia" w:ascii="楷体_GB2312" w:hAnsi="仿宋" w:eastAsia="楷体_GB2312" w:cs="宋体"/>
          <w:b/>
          <w:bCs/>
          <w:kern w:val="0"/>
          <w:sz w:val="32"/>
          <w:szCs w:val="32"/>
        </w:rPr>
        <w:t>（</w:t>
      </w:r>
      <w:r>
        <w:rPr>
          <w:rFonts w:hint="eastAsia" w:ascii="楷体_GB2312" w:hAnsi="仿宋" w:eastAsia="楷体_GB2312" w:cs="宋体"/>
          <w:b/>
          <w:bCs/>
          <w:kern w:val="0"/>
          <w:sz w:val="32"/>
          <w:szCs w:val="32"/>
          <w:lang w:eastAsia="zh-CN"/>
        </w:rPr>
        <w:t>二</w:t>
      </w:r>
      <w:r>
        <w:rPr>
          <w:rFonts w:hint="eastAsia" w:ascii="楷体_GB2312" w:hAnsi="仿宋" w:eastAsia="楷体_GB2312" w:cs="宋体"/>
          <w:b/>
          <w:bCs/>
          <w:kern w:val="0"/>
          <w:sz w:val="32"/>
          <w:szCs w:val="32"/>
        </w:rPr>
        <w:t>）</w:t>
      </w:r>
      <w:r>
        <w:rPr>
          <w:rFonts w:hint="eastAsia" w:ascii="楷体_GB2312" w:hAnsi="仿宋" w:eastAsia="楷体_GB2312" w:cs="宋体"/>
          <w:b/>
          <w:bCs/>
          <w:kern w:val="0"/>
          <w:sz w:val="32"/>
          <w:szCs w:val="32"/>
          <w:lang w:val="en-US" w:eastAsia="zh-CN"/>
        </w:rPr>
        <w:t>主要做法</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ascii="仿宋_GB2312" w:hAnsi="宋体" w:eastAsia="仿宋_GB2312"/>
          <w:color w:val="000000"/>
          <w:sz w:val="32"/>
          <w:szCs w:val="32"/>
        </w:rPr>
      </w:pPr>
      <w:r>
        <w:rPr>
          <w:rFonts w:hint="eastAsia" w:ascii="仿宋_GB2312" w:hAnsi="宋体" w:eastAsia="仿宋_GB2312"/>
          <w:color w:val="000000"/>
          <w:sz w:val="32"/>
          <w:szCs w:val="32"/>
          <w:lang w:val="en-US" w:eastAsia="zh-CN"/>
        </w:rPr>
        <w:t>2020</w:t>
      </w:r>
      <w:r>
        <w:rPr>
          <w:rFonts w:hint="eastAsia" w:ascii="仿宋_GB2312" w:hAnsi="宋体" w:eastAsia="仿宋_GB2312"/>
          <w:color w:val="000000"/>
          <w:sz w:val="32"/>
          <w:szCs w:val="32"/>
        </w:rPr>
        <w:t>年我局认真贯彻落实上级有关政务公开的规章制度及配套文件精神，分解细化工作任务，切实履行政府信息公开各项职责，确保了人力资源和社会保障政府信息及时公开。</w:t>
      </w:r>
    </w:p>
    <w:p>
      <w:pPr>
        <w:keepNext w:val="0"/>
        <w:keepLines w:val="0"/>
        <w:pageBreakBefore w:val="0"/>
        <w:widowControl/>
        <w:kinsoku/>
        <w:wordWrap/>
        <w:overflowPunct/>
        <w:topLinePunct w:val="0"/>
        <w:autoSpaceDE/>
        <w:autoSpaceDN/>
        <w:bidi w:val="0"/>
        <w:adjustRightInd w:val="0"/>
        <w:snapToGrid w:val="0"/>
        <w:spacing w:line="600" w:lineRule="exact"/>
        <w:ind w:firstLine="640"/>
        <w:jc w:val="left"/>
        <w:textAlignment w:val="auto"/>
        <w:rPr>
          <w:rFonts w:ascii="仿宋_GB2312" w:hAnsi="宋体" w:eastAsia="仿宋_GB2312"/>
          <w:color w:val="000000"/>
          <w:sz w:val="32"/>
          <w:szCs w:val="32"/>
        </w:rPr>
      </w:pPr>
      <w:r>
        <w:rPr>
          <w:rFonts w:hint="eastAsia" w:ascii="仿宋_GB2312" w:hAnsi="仿宋" w:eastAsia="仿宋_GB2312" w:cs="宋体"/>
          <w:b/>
          <w:kern w:val="0"/>
          <w:sz w:val="32"/>
          <w:szCs w:val="32"/>
        </w:rPr>
        <w:t>1.强化组织领导，落实工作责任</w:t>
      </w:r>
      <w:r>
        <w:rPr>
          <w:rFonts w:hint="eastAsia" w:ascii="仿宋_GB2312" w:hAnsi="仿宋" w:eastAsia="仿宋_GB2312" w:cs="宋体"/>
          <w:b/>
          <w:kern w:val="0"/>
          <w:sz w:val="32"/>
          <w:szCs w:val="32"/>
          <w:lang w:eastAsia="zh-CN"/>
        </w:rPr>
        <w:t>。</w:t>
      </w:r>
      <w:r>
        <w:rPr>
          <w:rFonts w:hint="eastAsia" w:ascii="仿宋_GB2312" w:hAnsi="宋体" w:eastAsia="仿宋_GB2312"/>
          <w:color w:val="000000"/>
          <w:sz w:val="32"/>
          <w:szCs w:val="32"/>
        </w:rPr>
        <w:t>为了更好地开展政府信息公开工作</w:t>
      </w:r>
      <w:r>
        <w:rPr>
          <w:rFonts w:hint="eastAsia" w:ascii="仿宋_GB2312" w:hAnsi="宋体" w:eastAsia="仿宋_GB2312"/>
          <w:color w:val="000000"/>
          <w:sz w:val="32"/>
          <w:szCs w:val="32"/>
          <w:lang w:eastAsia="zh-CN"/>
        </w:rPr>
        <w:t>，根据人事变动，及时调整由</w:t>
      </w:r>
      <w:r>
        <w:rPr>
          <w:rFonts w:hint="eastAsia" w:ascii="仿宋_GB2312" w:hAnsi="宋体" w:eastAsia="仿宋_GB2312"/>
          <w:color w:val="000000"/>
          <w:sz w:val="32"/>
          <w:szCs w:val="32"/>
        </w:rPr>
        <w:t>局党组书记、局长</w:t>
      </w:r>
      <w:r>
        <w:rPr>
          <w:rFonts w:hint="eastAsia" w:ascii="仿宋_GB2312" w:hAnsi="宋体" w:eastAsia="仿宋_GB2312"/>
          <w:color w:val="000000"/>
          <w:sz w:val="32"/>
          <w:szCs w:val="32"/>
          <w:lang w:eastAsia="zh-CN"/>
        </w:rPr>
        <w:t>为组长</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eastAsia="zh-CN"/>
        </w:rPr>
        <w:t>各分管领导为成员的政务信息公开工作小组，并下设办公室，各科室、下属单位指定一名特定人员为工作人员，确保责任明确到人，工作落实到位，为政府信息公开工作长期有效的开展提供了组织保障，</w:t>
      </w:r>
      <w:r>
        <w:rPr>
          <w:rFonts w:hint="eastAsia" w:ascii="仿宋_GB2312" w:hAnsi="宋体" w:eastAsia="仿宋_GB2312"/>
          <w:color w:val="000000"/>
          <w:sz w:val="32"/>
          <w:szCs w:val="32"/>
        </w:rPr>
        <w:t>形成了齐抓共管、纵横结合、协调一致的工作格局。</w:t>
      </w: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43"/>
        <w:jc w:val="left"/>
        <w:textAlignment w:val="auto"/>
        <w:rPr>
          <w:rFonts w:hint="eastAsia" w:ascii="仿宋_GB2312" w:hAnsi="仿宋" w:eastAsia="仿宋_GB2312" w:cs="宋体"/>
          <w:b/>
          <w:kern w:val="0"/>
          <w:sz w:val="32"/>
          <w:szCs w:val="32"/>
        </w:rPr>
      </w:pPr>
      <w:r>
        <w:rPr>
          <w:rFonts w:hint="eastAsia" w:ascii="仿宋_GB2312" w:hAnsi="仿宋" w:eastAsia="仿宋_GB2312" w:cs="宋体"/>
          <w:b/>
          <w:kern w:val="0"/>
          <w:sz w:val="32"/>
          <w:szCs w:val="32"/>
        </w:rPr>
        <w:t>2.完善相关制度，健全工作机制。</w:t>
      </w:r>
      <w:r>
        <w:rPr>
          <w:rFonts w:hint="eastAsia" w:ascii="仿宋_GB2312" w:hAnsi="宋体" w:eastAsia="仿宋_GB2312"/>
          <w:color w:val="000000"/>
          <w:sz w:val="32"/>
          <w:szCs w:val="32"/>
          <w:lang w:eastAsia="zh-CN"/>
        </w:rPr>
        <w:t>根据福建省人民政府办公厅关于全面推进基层政务公开标准化规范化工作等有关文件精神，制定局政务公开标准目录汇编（初稿），明确规定政府信息公开的内容、方式、程序和监督保障机制及相关工作规范，有效提升了政府信息公开工作规范化程度。</w:t>
      </w: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43"/>
        <w:jc w:val="left"/>
        <w:textAlignment w:val="auto"/>
        <w:rPr>
          <w:rFonts w:hint="eastAsia" w:ascii="仿宋_GB2312" w:hAnsi="仿宋" w:eastAsia="仿宋_GB2312" w:cs="宋体"/>
          <w:b w:val="0"/>
          <w:bCs/>
          <w:kern w:val="0"/>
          <w:sz w:val="32"/>
          <w:szCs w:val="32"/>
        </w:rPr>
      </w:pPr>
      <w:r>
        <w:rPr>
          <w:rFonts w:hint="eastAsia" w:ascii="仿宋_GB2312" w:hAnsi="仿宋" w:eastAsia="仿宋_GB2312" w:cs="宋体"/>
          <w:b/>
          <w:kern w:val="0"/>
          <w:sz w:val="32"/>
          <w:szCs w:val="32"/>
        </w:rPr>
        <w:t>3.围绕社会关切，加强宣传解读。</w:t>
      </w:r>
      <w:r>
        <w:rPr>
          <w:rFonts w:hint="eastAsia" w:ascii="仿宋_GB2312" w:hAnsi="仿宋" w:eastAsia="仿宋_GB2312" w:cs="宋体"/>
          <w:b w:val="0"/>
          <w:bCs/>
          <w:kern w:val="0"/>
          <w:sz w:val="32"/>
          <w:szCs w:val="32"/>
        </w:rPr>
        <w:t>严格落实打造服务型政府的要求，积极履行“第一解读人和责任人”职责,按照“谁起草、谁解读”的原则,做到政策性文件和解读材料同步起草、同步上会、同步审签、同步发布;对涉及全行业的重大决策和专项工作的实施细则等,加强政策文件的解读,着重从起草背景、涉及的制度规定和范围、执行标准、管理部门及被管理部门主要责任等方面加强解读。</w:t>
      </w: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43"/>
        <w:jc w:val="left"/>
        <w:textAlignment w:val="auto"/>
        <w:rPr>
          <w:rFonts w:ascii="楷体_GB2312" w:hAnsi="宋体" w:eastAsia="楷体_GB2312" w:cs="宋体"/>
          <w:b/>
          <w:bCs/>
          <w:color w:val="000000"/>
          <w:kern w:val="0"/>
          <w:sz w:val="32"/>
          <w:szCs w:val="32"/>
        </w:rPr>
      </w:pPr>
      <w:r>
        <w:rPr>
          <w:rFonts w:hint="eastAsia" w:ascii="楷体_GB2312" w:hAnsi="宋体" w:eastAsia="楷体_GB2312" w:cs="宋体"/>
          <w:b/>
          <w:bCs/>
          <w:color w:val="000000"/>
          <w:kern w:val="0"/>
          <w:sz w:val="32"/>
          <w:szCs w:val="32"/>
        </w:rPr>
        <w:t>(</w:t>
      </w:r>
      <w:r>
        <w:rPr>
          <w:rFonts w:hint="eastAsia" w:ascii="楷体_GB2312" w:hAnsi="宋体" w:eastAsia="楷体_GB2312" w:cs="宋体"/>
          <w:b/>
          <w:bCs/>
          <w:color w:val="000000"/>
          <w:kern w:val="0"/>
          <w:sz w:val="32"/>
          <w:szCs w:val="32"/>
          <w:lang w:eastAsia="zh-CN"/>
        </w:rPr>
        <w:t>三</w:t>
      </w:r>
      <w:r>
        <w:rPr>
          <w:rFonts w:hint="eastAsia" w:ascii="楷体_GB2312" w:hAnsi="宋体" w:eastAsia="楷体_GB2312" w:cs="宋体"/>
          <w:b/>
          <w:bCs/>
          <w:color w:val="000000"/>
          <w:kern w:val="0"/>
          <w:sz w:val="32"/>
          <w:szCs w:val="32"/>
        </w:rPr>
        <w:t>)主动公开情况及依申请公开情况</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ascii="仿宋_GB2312" w:hAnsi="宋体" w:eastAsia="仿宋_GB2312"/>
          <w:color w:val="000000"/>
          <w:sz w:val="32"/>
          <w:szCs w:val="32"/>
        </w:rPr>
      </w:pPr>
      <w:r>
        <w:rPr>
          <w:rFonts w:hint="eastAsia" w:ascii="仿宋_GB2312" w:hAnsi="宋体" w:eastAsia="仿宋_GB2312"/>
          <w:color w:val="000000"/>
          <w:sz w:val="32"/>
          <w:szCs w:val="32"/>
        </w:rPr>
        <w:t>我局通过“南安市人民政府信息公开系统”主动公开</w:t>
      </w:r>
      <w:r>
        <w:rPr>
          <w:rFonts w:hint="eastAsia" w:ascii="仿宋_GB2312" w:hAnsi="宋体" w:eastAsia="仿宋_GB2312"/>
          <w:sz w:val="32"/>
          <w:szCs w:val="32"/>
        </w:rPr>
        <w:t>信息</w:t>
      </w:r>
      <w:r>
        <w:rPr>
          <w:rFonts w:hint="eastAsia" w:ascii="仿宋_GB2312" w:hAnsi="宋体" w:eastAsia="仿宋_GB2312"/>
          <w:sz w:val="32"/>
          <w:szCs w:val="32"/>
          <w:lang w:val="en-US" w:eastAsia="zh-CN"/>
        </w:rPr>
        <w:t>33</w:t>
      </w:r>
      <w:r>
        <w:rPr>
          <w:rFonts w:hint="eastAsia" w:ascii="仿宋_GB2312" w:hAnsi="宋体" w:eastAsia="仿宋_GB2312"/>
          <w:sz w:val="32"/>
          <w:szCs w:val="32"/>
        </w:rPr>
        <w:t>条</w:t>
      </w:r>
      <w:r>
        <w:rPr>
          <w:rFonts w:hint="eastAsia" w:ascii="仿宋_GB2312" w:hAnsi="宋体" w:eastAsia="仿宋_GB2312"/>
          <w:color w:val="000000"/>
          <w:sz w:val="32"/>
          <w:szCs w:val="32"/>
        </w:rPr>
        <w:t>，</w:t>
      </w:r>
      <w:r>
        <w:rPr>
          <w:rFonts w:hint="eastAsia" w:ascii="仿宋_GB2312" w:hAnsi="宋体" w:eastAsia="仿宋_GB2312" w:cs="宋体"/>
          <w:color w:val="000000"/>
          <w:kern w:val="0"/>
          <w:sz w:val="32"/>
          <w:szCs w:val="32"/>
        </w:rPr>
        <w:t>收到</w:t>
      </w:r>
      <w:r>
        <w:rPr>
          <w:rFonts w:hint="eastAsia" w:ascii="仿宋_GB2312" w:hAnsi="宋体" w:eastAsia="仿宋_GB2312" w:cs="宋体"/>
          <w:color w:val="000000"/>
          <w:kern w:val="0"/>
          <w:sz w:val="32"/>
          <w:szCs w:val="32"/>
          <w:lang w:val="en-US" w:eastAsia="zh-CN"/>
        </w:rPr>
        <w:t>7条</w:t>
      </w:r>
      <w:r>
        <w:rPr>
          <w:rFonts w:hint="eastAsia" w:ascii="仿宋_GB2312" w:hAnsi="宋体" w:eastAsia="仿宋_GB2312" w:cs="宋体"/>
          <w:color w:val="000000"/>
          <w:kern w:val="0"/>
          <w:sz w:val="32"/>
          <w:szCs w:val="32"/>
        </w:rPr>
        <w:t>政府信息公开申请</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6条</w:t>
      </w:r>
      <w:r>
        <w:rPr>
          <w:rFonts w:hint="eastAsia" w:ascii="仿宋_GB2312" w:eastAsia="仿宋_GB2312" w:cs="仿宋_GB2312"/>
          <w:kern w:val="0"/>
          <w:sz w:val="32"/>
          <w:szCs w:val="32"/>
        </w:rPr>
        <w:t>按规定在法定时限内予以办理</w:t>
      </w:r>
      <w:r>
        <w:rPr>
          <w:rFonts w:hint="eastAsia" w:ascii="仿宋_GB2312" w:eastAsia="仿宋_GB2312" w:cs="仿宋_GB2312"/>
          <w:kern w:val="0"/>
          <w:sz w:val="32"/>
          <w:szCs w:val="32"/>
          <w:lang w:eastAsia="zh-CN"/>
        </w:rPr>
        <w:t>，其中一条结转至下一年办理</w:t>
      </w:r>
      <w:r>
        <w:rPr>
          <w:rFonts w:hint="eastAsia" w:ascii="仿宋_GB2312" w:hAnsi="宋体" w:eastAsia="仿宋_GB2312" w:cs="宋体"/>
          <w:color w:val="000000"/>
          <w:kern w:val="0"/>
          <w:sz w:val="32"/>
          <w:szCs w:val="32"/>
        </w:rPr>
        <w:t>，未发生针对我局有关政府信息公开事务的行政复议案、行政诉讼案以及申诉案（包括信访、举报）。</w:t>
      </w:r>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left"/>
        <w:textAlignment w:val="auto"/>
        <w:rPr>
          <w:rFonts w:ascii="楷体_GB2312" w:hAnsi="宋体" w:eastAsia="楷体_GB2312"/>
          <w:b/>
          <w:color w:val="000000"/>
          <w:sz w:val="32"/>
          <w:szCs w:val="32"/>
        </w:rPr>
      </w:pPr>
      <w:r>
        <w:rPr>
          <w:rFonts w:hint="eastAsia" w:ascii="楷体_GB2312" w:hAnsi="宋体" w:eastAsia="楷体_GB2312"/>
          <w:b/>
          <w:color w:val="000000"/>
          <w:sz w:val="32"/>
          <w:szCs w:val="32"/>
        </w:rPr>
        <w:t>(</w:t>
      </w:r>
      <w:r>
        <w:rPr>
          <w:rFonts w:hint="eastAsia" w:ascii="楷体_GB2312" w:hAnsi="宋体" w:eastAsia="楷体_GB2312"/>
          <w:b/>
          <w:color w:val="000000"/>
          <w:sz w:val="32"/>
          <w:szCs w:val="32"/>
          <w:lang w:eastAsia="zh-CN"/>
        </w:rPr>
        <w:t>四</w:t>
      </w:r>
      <w:r>
        <w:rPr>
          <w:rFonts w:hint="eastAsia" w:ascii="楷体_GB2312" w:hAnsi="宋体" w:eastAsia="楷体_GB2312"/>
          <w:b/>
          <w:color w:val="000000"/>
          <w:sz w:val="32"/>
          <w:szCs w:val="32"/>
        </w:rPr>
        <w:t>)政务信息管理情况</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按照“以公开为原则，不公开为例外”的要求，把主动公开作为政府信息公开的主渠道，对照我局信息公开目录，明确专人进行信息整理，及时通过“中国.南安”政务信息网等媒介渠道对外发布，确保了政府信息公开工作的及时和准确性。</w:t>
      </w:r>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left"/>
        <w:textAlignment w:val="auto"/>
        <w:rPr>
          <w:rFonts w:ascii="楷体_GB2312" w:hAnsi="宋体" w:eastAsia="楷体_GB2312"/>
          <w:b/>
          <w:color w:val="000000"/>
          <w:sz w:val="32"/>
          <w:szCs w:val="32"/>
        </w:rPr>
      </w:pPr>
      <w:r>
        <w:rPr>
          <w:rFonts w:hint="eastAsia" w:ascii="楷体_GB2312" w:hAnsi="宋体" w:eastAsia="楷体_GB2312"/>
          <w:b/>
          <w:color w:val="000000"/>
          <w:sz w:val="32"/>
          <w:szCs w:val="32"/>
        </w:rPr>
        <w:t>（</w:t>
      </w:r>
      <w:r>
        <w:rPr>
          <w:rFonts w:hint="eastAsia" w:ascii="楷体_GB2312" w:hAnsi="宋体" w:eastAsia="楷体_GB2312"/>
          <w:b/>
          <w:color w:val="000000"/>
          <w:sz w:val="32"/>
          <w:szCs w:val="32"/>
          <w:lang w:eastAsia="zh-CN"/>
        </w:rPr>
        <w:t>五</w:t>
      </w:r>
      <w:r>
        <w:rPr>
          <w:rFonts w:hint="eastAsia" w:ascii="楷体_GB2312" w:hAnsi="宋体" w:eastAsia="楷体_GB2312"/>
          <w:b/>
          <w:color w:val="000000"/>
          <w:sz w:val="32"/>
          <w:szCs w:val="32"/>
        </w:rPr>
        <w:t>）平台建设情况</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ascii="仿宋_GB2312" w:hAnsi="宋体" w:eastAsia="仿宋_GB2312"/>
          <w:color w:val="000000"/>
          <w:sz w:val="32"/>
          <w:szCs w:val="32"/>
        </w:rPr>
      </w:pPr>
      <w:r>
        <w:rPr>
          <w:rFonts w:hint="eastAsia" w:ascii="仿宋_GB2312" w:hAnsi="宋体" w:eastAsia="仿宋_GB2312"/>
          <w:color w:val="000000"/>
          <w:sz w:val="32"/>
          <w:szCs w:val="32"/>
        </w:rPr>
        <w:t>将南安市人民政府网站作为我局政府信息公开第一渠道，该网站由南安市行政服务中心建设、管理。</w:t>
      </w:r>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left"/>
        <w:textAlignment w:val="auto"/>
        <w:rPr>
          <w:rFonts w:ascii="楷体_GB2312" w:hAnsi="宋体" w:eastAsia="楷体_GB2312"/>
          <w:b/>
          <w:color w:val="000000"/>
          <w:sz w:val="32"/>
          <w:szCs w:val="32"/>
        </w:rPr>
      </w:pPr>
      <w:r>
        <w:rPr>
          <w:rFonts w:hint="eastAsia" w:ascii="楷体_GB2312" w:hAnsi="宋体" w:eastAsia="楷体_GB2312"/>
          <w:b/>
          <w:color w:val="000000"/>
          <w:sz w:val="32"/>
          <w:szCs w:val="32"/>
        </w:rPr>
        <w:t>（</w:t>
      </w:r>
      <w:r>
        <w:rPr>
          <w:rFonts w:hint="eastAsia" w:ascii="楷体_GB2312" w:hAnsi="宋体" w:eastAsia="楷体_GB2312"/>
          <w:b/>
          <w:color w:val="000000"/>
          <w:sz w:val="32"/>
          <w:szCs w:val="32"/>
          <w:lang w:eastAsia="zh-CN"/>
        </w:rPr>
        <w:t>六</w:t>
      </w:r>
      <w:r>
        <w:rPr>
          <w:rFonts w:hint="eastAsia" w:ascii="楷体_GB2312" w:hAnsi="宋体" w:eastAsia="楷体_GB2312"/>
          <w:b/>
          <w:color w:val="000000"/>
          <w:sz w:val="32"/>
          <w:szCs w:val="32"/>
        </w:rPr>
        <w:t>）监督保障情况</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ascii="微软雅黑" w:hAnsi="微软雅黑" w:eastAsia="微软雅黑"/>
          <w:color w:val="555555"/>
        </w:rPr>
      </w:pPr>
      <w:r>
        <w:rPr>
          <w:rFonts w:hint="eastAsia" w:ascii="仿宋_GB2312" w:eastAsia="仿宋_GB2312" w:cstheme="minorBidi"/>
          <w:color w:val="000000"/>
          <w:kern w:val="2"/>
          <w:sz w:val="32"/>
          <w:szCs w:val="32"/>
        </w:rPr>
        <w:t>根据《南安市人民政府办公室关于进一步加强和规范政府信息公开工作的通知》等文件要求，进一步规范我局政府信息公开工作，将落实好政务公开工作纳入我局内部绩效考核体系。</w:t>
      </w:r>
    </w:p>
    <w:p>
      <w:pPr>
        <w:keepNext w:val="0"/>
        <w:keepLines w:val="0"/>
        <w:pageBreakBefore w:val="0"/>
        <w:widowControl/>
        <w:kinsoku/>
        <w:wordWrap/>
        <w:overflowPunct/>
        <w:topLinePunct w:val="0"/>
        <w:autoSpaceDE/>
        <w:autoSpaceDN/>
        <w:bidi w:val="0"/>
        <w:adjustRightInd w:val="0"/>
        <w:snapToGrid w:val="0"/>
        <w:spacing w:line="600" w:lineRule="exact"/>
        <w:ind w:firstLine="480"/>
        <w:textAlignment w:val="auto"/>
        <w:rPr>
          <w:rFonts w:ascii="黑体" w:hAnsi="黑体" w:eastAsia="黑体" w:cs="宋体"/>
          <w:color w:val="000000"/>
          <w:kern w:val="0"/>
          <w:sz w:val="32"/>
          <w:szCs w:val="32"/>
        </w:rPr>
      </w:pPr>
      <w:r>
        <w:rPr>
          <w:rFonts w:hint="eastAsia" w:ascii="黑体" w:hAnsi="黑体" w:eastAsia="黑体" w:cs="宋体"/>
          <w:bCs/>
          <w:color w:val="000000"/>
          <w:kern w:val="0"/>
          <w:sz w:val="32"/>
          <w:szCs w:val="32"/>
        </w:rPr>
        <w:t>二、主动公开政府信息情况</w:t>
      </w:r>
    </w:p>
    <w:tbl>
      <w:tblPr>
        <w:tblStyle w:val="7"/>
        <w:tblW w:w="8140" w:type="dxa"/>
        <w:jc w:val="center"/>
        <w:tblLayout w:type="autofit"/>
        <w:tblCellMar>
          <w:top w:w="15" w:type="dxa"/>
          <w:left w:w="15" w:type="dxa"/>
          <w:bottom w:w="15" w:type="dxa"/>
          <w:right w:w="15" w:type="dxa"/>
        </w:tblCellMar>
      </w:tblPr>
      <w:tblGrid>
        <w:gridCol w:w="3113"/>
        <w:gridCol w:w="1875"/>
        <w:gridCol w:w="6"/>
        <w:gridCol w:w="1265"/>
        <w:gridCol w:w="1881"/>
      </w:tblGrid>
      <w:tr>
        <w:tblPrEx>
          <w:tblCellMar>
            <w:top w:w="15" w:type="dxa"/>
            <w:left w:w="15" w:type="dxa"/>
            <w:bottom w:w="15" w:type="dxa"/>
            <w:right w:w="15"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第二十条第（一）项</w:t>
            </w:r>
          </w:p>
        </w:tc>
      </w:tr>
      <w:tr>
        <w:tblPrEx>
          <w:tblCellMar>
            <w:top w:w="15" w:type="dxa"/>
            <w:left w:w="15" w:type="dxa"/>
            <w:bottom w:w="15" w:type="dxa"/>
            <w:right w:w="15"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color w:val="000000"/>
                <w:kern w:val="0"/>
                <w:sz w:val="20"/>
                <w:szCs w:val="20"/>
              </w:rPr>
              <w:t>制作数量</w:t>
            </w:r>
          </w:p>
        </w:tc>
        <w:tc>
          <w:tcPr>
            <w:tcW w:w="1271" w:type="dxa"/>
            <w:gridSpan w:val="2"/>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color w:val="000000"/>
                <w:kern w:val="0"/>
                <w:sz w:val="20"/>
                <w:szCs w:val="20"/>
              </w:rPr>
              <w:t>公开数量</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对外公开总数量</w:t>
            </w:r>
          </w:p>
        </w:tc>
      </w:tr>
      <w:tr>
        <w:tblPrEx>
          <w:tblCellMar>
            <w:top w:w="15" w:type="dxa"/>
            <w:left w:w="15" w:type="dxa"/>
            <w:bottom w:w="15" w:type="dxa"/>
            <w:right w:w="15"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规章</w:t>
            </w:r>
          </w:p>
        </w:tc>
        <w:tc>
          <w:tcPr>
            <w:tcW w:w="1875"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　　0</w:t>
            </w:r>
          </w:p>
        </w:tc>
        <w:tc>
          <w:tcPr>
            <w:tcW w:w="1271"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 0</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　0</w:t>
            </w:r>
          </w:p>
        </w:tc>
      </w:tr>
      <w:tr>
        <w:tblPrEx>
          <w:tblCellMar>
            <w:top w:w="15" w:type="dxa"/>
            <w:left w:w="15" w:type="dxa"/>
            <w:bottom w:w="15" w:type="dxa"/>
            <w:right w:w="15"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规范性文件</w:t>
            </w:r>
          </w:p>
        </w:tc>
        <w:tc>
          <w:tcPr>
            <w:tcW w:w="1875"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1</w:t>
            </w:r>
          </w:p>
        </w:tc>
        <w:tc>
          <w:tcPr>
            <w:tcW w:w="1271"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1</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4</w:t>
            </w:r>
          </w:p>
        </w:tc>
      </w:tr>
      <w:tr>
        <w:tblPrEx>
          <w:tblCellMar>
            <w:top w:w="15" w:type="dxa"/>
            <w:left w:w="15" w:type="dxa"/>
            <w:bottom w:w="15" w:type="dxa"/>
            <w:right w:w="15"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第二十条第（五）项</w:t>
            </w:r>
          </w:p>
        </w:tc>
      </w:tr>
      <w:tr>
        <w:tblPrEx>
          <w:tblCellMar>
            <w:top w:w="15" w:type="dxa"/>
            <w:left w:w="15" w:type="dxa"/>
            <w:bottom w:w="15" w:type="dxa"/>
            <w:right w:w="15"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处理决定数量</w:t>
            </w:r>
          </w:p>
        </w:tc>
      </w:tr>
      <w:tr>
        <w:tblPrEx>
          <w:tblCellMar>
            <w:top w:w="15" w:type="dxa"/>
            <w:left w:w="15" w:type="dxa"/>
            <w:bottom w:w="15" w:type="dxa"/>
            <w:right w:w="15"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行政许可</w:t>
            </w:r>
          </w:p>
        </w:tc>
        <w:tc>
          <w:tcPr>
            <w:tcW w:w="1881"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　0</w:t>
            </w:r>
          </w:p>
        </w:tc>
        <w:tc>
          <w:tcPr>
            <w:tcW w:w="1265"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　0</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　0</w:t>
            </w:r>
          </w:p>
        </w:tc>
      </w:tr>
      <w:tr>
        <w:tblPrEx>
          <w:tblCellMar>
            <w:top w:w="15" w:type="dxa"/>
            <w:left w:w="15" w:type="dxa"/>
            <w:bottom w:w="15" w:type="dxa"/>
            <w:right w:w="15"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其他对外管理服务事项</w:t>
            </w:r>
          </w:p>
        </w:tc>
        <w:tc>
          <w:tcPr>
            <w:tcW w:w="1881"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　0</w:t>
            </w:r>
          </w:p>
        </w:tc>
        <w:tc>
          <w:tcPr>
            <w:tcW w:w="1265"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　0</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　0</w:t>
            </w:r>
          </w:p>
        </w:tc>
      </w:tr>
      <w:tr>
        <w:tblPrEx>
          <w:tblCellMar>
            <w:top w:w="15" w:type="dxa"/>
            <w:left w:w="15" w:type="dxa"/>
            <w:bottom w:w="15" w:type="dxa"/>
            <w:right w:w="15"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第二十条第（六）项</w:t>
            </w:r>
          </w:p>
        </w:tc>
      </w:tr>
      <w:tr>
        <w:tblPrEx>
          <w:tblCellMar>
            <w:top w:w="15" w:type="dxa"/>
            <w:left w:w="15" w:type="dxa"/>
            <w:bottom w:w="15" w:type="dxa"/>
            <w:right w:w="15"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处理决定数量</w:t>
            </w:r>
          </w:p>
        </w:tc>
      </w:tr>
      <w:tr>
        <w:tblPrEx>
          <w:tblCellMar>
            <w:top w:w="15" w:type="dxa"/>
            <w:left w:w="15" w:type="dxa"/>
            <w:bottom w:w="15" w:type="dxa"/>
            <w:right w:w="15"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行政处罚</w:t>
            </w:r>
          </w:p>
        </w:tc>
        <w:tc>
          <w:tcPr>
            <w:tcW w:w="1881"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　0</w:t>
            </w:r>
          </w:p>
        </w:tc>
        <w:tc>
          <w:tcPr>
            <w:tcW w:w="1265"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　0</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　0</w:t>
            </w:r>
          </w:p>
        </w:tc>
      </w:tr>
      <w:tr>
        <w:tblPrEx>
          <w:tblCellMar>
            <w:top w:w="15" w:type="dxa"/>
            <w:left w:w="15" w:type="dxa"/>
            <w:bottom w:w="15" w:type="dxa"/>
            <w:right w:w="15"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行政强制</w:t>
            </w:r>
          </w:p>
        </w:tc>
        <w:tc>
          <w:tcPr>
            <w:tcW w:w="1881"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　0</w:t>
            </w:r>
          </w:p>
        </w:tc>
        <w:tc>
          <w:tcPr>
            <w:tcW w:w="1265"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　0</w:t>
            </w:r>
          </w:p>
        </w:tc>
        <w:tc>
          <w:tcPr>
            <w:tcW w:w="1881" w:type="dxa"/>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　0</w:t>
            </w:r>
          </w:p>
        </w:tc>
      </w:tr>
      <w:tr>
        <w:tblPrEx>
          <w:tblCellMar>
            <w:top w:w="15" w:type="dxa"/>
            <w:left w:w="15" w:type="dxa"/>
            <w:bottom w:w="15" w:type="dxa"/>
            <w:right w:w="15"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第二十条第（八）项</w:t>
            </w:r>
          </w:p>
        </w:tc>
      </w:tr>
      <w:tr>
        <w:tblPrEx>
          <w:tblCellMar>
            <w:top w:w="15" w:type="dxa"/>
            <w:left w:w="15" w:type="dxa"/>
            <w:bottom w:w="15" w:type="dxa"/>
            <w:right w:w="15"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上一年项目数量</w:t>
            </w:r>
          </w:p>
        </w:tc>
        <w:tc>
          <w:tcPr>
            <w:tcW w:w="3146" w:type="dxa"/>
            <w:gridSpan w:val="2"/>
            <w:tcBorders>
              <w:top w:val="single" w:color="auto" w:sz="8" w:space="0"/>
              <w:left w:val="nil"/>
              <w:bottom w:val="single" w:color="auto" w:sz="8" w:space="0"/>
              <w:right w:val="single" w:color="000000" w:sz="8" w:space="0"/>
            </w:tcBorders>
            <w:shd w:val="clear" w:color="auto" w:fill="E6F4FF"/>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本年增/减</w:t>
            </w:r>
          </w:p>
        </w:tc>
      </w:tr>
      <w:tr>
        <w:tblPrEx>
          <w:tblCellMar>
            <w:top w:w="15" w:type="dxa"/>
            <w:left w:w="15" w:type="dxa"/>
            <w:bottom w:w="15" w:type="dxa"/>
            <w:right w:w="15"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行政事业性收费</w:t>
            </w:r>
          </w:p>
        </w:tc>
        <w:tc>
          <w:tcPr>
            <w:tcW w:w="1881"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　0</w:t>
            </w:r>
          </w:p>
        </w:tc>
        <w:tc>
          <w:tcPr>
            <w:tcW w:w="3146" w:type="dxa"/>
            <w:gridSpan w:val="2"/>
            <w:tcBorders>
              <w:top w:val="nil"/>
              <w:left w:val="nil"/>
              <w:bottom w:val="single" w:color="auto" w:sz="8" w:space="0"/>
              <w:right w:val="single" w:color="000000" w:sz="8" w:space="0"/>
            </w:tcBorders>
            <w:shd w:val="clear" w:color="auto" w:fill="E6F4FF"/>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0 </w:t>
            </w:r>
          </w:p>
        </w:tc>
      </w:tr>
      <w:tr>
        <w:tblPrEx>
          <w:tblCellMar>
            <w:top w:w="15" w:type="dxa"/>
            <w:left w:w="15" w:type="dxa"/>
            <w:bottom w:w="15" w:type="dxa"/>
            <w:right w:w="15"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第二十条第（九）项</w:t>
            </w:r>
          </w:p>
        </w:tc>
      </w:tr>
      <w:tr>
        <w:tblPrEx>
          <w:tblCellMar>
            <w:top w:w="15" w:type="dxa"/>
            <w:left w:w="15" w:type="dxa"/>
            <w:bottom w:w="15" w:type="dxa"/>
            <w:right w:w="15"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采购项目数量</w:t>
            </w:r>
          </w:p>
        </w:tc>
        <w:tc>
          <w:tcPr>
            <w:tcW w:w="3146" w:type="dxa"/>
            <w:gridSpan w:val="2"/>
            <w:tcBorders>
              <w:top w:val="single" w:color="auto" w:sz="8" w:space="0"/>
              <w:left w:val="nil"/>
              <w:bottom w:val="single" w:color="auto" w:sz="8" w:space="0"/>
              <w:right w:val="single" w:color="000000" w:sz="8" w:space="0"/>
            </w:tcBorders>
            <w:shd w:val="clear" w:color="auto" w:fill="E6F4FF"/>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采购总金额</w:t>
            </w:r>
          </w:p>
        </w:tc>
      </w:tr>
      <w:tr>
        <w:tblPrEx>
          <w:tblCellMar>
            <w:top w:w="15" w:type="dxa"/>
            <w:left w:w="15" w:type="dxa"/>
            <w:bottom w:w="15" w:type="dxa"/>
            <w:right w:w="15"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政府集中采购</w:t>
            </w:r>
          </w:p>
        </w:tc>
        <w:tc>
          <w:tcPr>
            <w:tcW w:w="1881" w:type="dxa"/>
            <w:gridSpan w:val="2"/>
            <w:tcBorders>
              <w:top w:val="nil"/>
              <w:left w:val="nil"/>
              <w:bottom w:val="single" w:color="auto" w:sz="8" w:space="0"/>
              <w:right w:val="single" w:color="auto" w:sz="8" w:space="0"/>
            </w:tcBorders>
            <w:shd w:val="clear" w:color="auto" w:fill="E6F4FF"/>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　0</w:t>
            </w:r>
          </w:p>
        </w:tc>
        <w:tc>
          <w:tcPr>
            <w:tcW w:w="3146" w:type="dxa"/>
            <w:gridSpan w:val="2"/>
            <w:tcBorders>
              <w:top w:val="nil"/>
              <w:left w:val="nil"/>
              <w:bottom w:val="single" w:color="auto" w:sz="8" w:space="0"/>
              <w:right w:val="single" w:color="000000" w:sz="8" w:space="0"/>
            </w:tcBorders>
            <w:shd w:val="clear" w:color="auto" w:fill="E6F4FF"/>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r>
    </w:tbl>
    <w:p>
      <w:pPr>
        <w:keepNext w:val="0"/>
        <w:keepLines w:val="0"/>
        <w:pageBreakBefore w:val="0"/>
        <w:widowControl/>
        <w:kinsoku/>
        <w:wordWrap/>
        <w:overflowPunct/>
        <w:topLinePunct w:val="0"/>
        <w:autoSpaceDE/>
        <w:autoSpaceDN/>
        <w:bidi w:val="0"/>
        <w:adjustRightInd w:val="0"/>
        <w:snapToGrid w:val="0"/>
        <w:spacing w:line="600" w:lineRule="exact"/>
        <w:ind w:firstLine="480"/>
        <w:textAlignment w:val="auto"/>
        <w:rPr>
          <w:rFonts w:ascii="宋体" w:hAnsi="宋体" w:eastAsia="宋体" w:cs="宋体"/>
          <w:b/>
          <w:bCs/>
          <w:color w:val="000000"/>
          <w:kern w:val="0"/>
          <w:sz w:val="16"/>
          <w:szCs w:val="16"/>
        </w:rPr>
      </w:pPr>
    </w:p>
    <w:p>
      <w:pPr>
        <w:keepNext w:val="0"/>
        <w:keepLines w:val="0"/>
        <w:pageBreakBefore w:val="0"/>
        <w:widowControl/>
        <w:kinsoku/>
        <w:wordWrap/>
        <w:overflowPunct/>
        <w:topLinePunct w:val="0"/>
        <w:autoSpaceDE/>
        <w:autoSpaceDN/>
        <w:bidi w:val="0"/>
        <w:adjustRightInd w:val="0"/>
        <w:snapToGrid w:val="0"/>
        <w:spacing w:line="600" w:lineRule="exact"/>
        <w:ind w:firstLine="480"/>
        <w:textAlignment w:val="auto"/>
        <w:rPr>
          <w:rFonts w:ascii="宋体" w:hAnsi="宋体" w:eastAsia="宋体" w:cs="宋体"/>
          <w:b/>
          <w:bCs/>
          <w:color w:val="000000"/>
          <w:kern w:val="0"/>
          <w:sz w:val="16"/>
          <w:szCs w:val="16"/>
        </w:rPr>
      </w:pPr>
    </w:p>
    <w:p>
      <w:pPr>
        <w:keepNext w:val="0"/>
        <w:keepLines w:val="0"/>
        <w:pageBreakBefore w:val="0"/>
        <w:widowControl/>
        <w:kinsoku/>
        <w:wordWrap/>
        <w:overflowPunct/>
        <w:topLinePunct w:val="0"/>
        <w:autoSpaceDE/>
        <w:autoSpaceDN/>
        <w:bidi w:val="0"/>
        <w:adjustRightInd w:val="0"/>
        <w:snapToGrid w:val="0"/>
        <w:spacing w:line="600" w:lineRule="exact"/>
        <w:ind w:firstLine="480"/>
        <w:textAlignment w:val="auto"/>
        <w:rPr>
          <w:rFonts w:ascii="黑体" w:hAnsi="黑体" w:eastAsia="黑体" w:cs="宋体"/>
          <w:color w:val="000000"/>
          <w:kern w:val="0"/>
          <w:sz w:val="32"/>
          <w:szCs w:val="32"/>
        </w:rPr>
      </w:pPr>
      <w:r>
        <w:rPr>
          <w:rFonts w:hint="eastAsia" w:ascii="黑体" w:hAnsi="黑体" w:eastAsia="黑体" w:cs="宋体"/>
          <w:bCs/>
          <w:color w:val="000000"/>
          <w:kern w:val="0"/>
          <w:sz w:val="32"/>
          <w:szCs w:val="32"/>
        </w:rPr>
        <w:t>三、收到和处理政府信息公开申请情况</w:t>
      </w:r>
    </w:p>
    <w:tbl>
      <w:tblPr>
        <w:tblStyle w:val="7"/>
        <w:tblW w:w="9071" w:type="dxa"/>
        <w:jc w:val="center"/>
        <w:tblLayout w:type="autofit"/>
        <w:tblCellMar>
          <w:top w:w="15" w:type="dxa"/>
          <w:left w:w="15" w:type="dxa"/>
          <w:bottom w:w="15" w:type="dxa"/>
          <w:right w:w="15" w:type="dxa"/>
        </w:tblCellMar>
      </w:tblPr>
      <w:tblGrid>
        <w:gridCol w:w="616"/>
        <w:gridCol w:w="854"/>
        <w:gridCol w:w="2086"/>
        <w:gridCol w:w="813"/>
        <w:gridCol w:w="755"/>
        <w:gridCol w:w="755"/>
        <w:gridCol w:w="813"/>
        <w:gridCol w:w="973"/>
        <w:gridCol w:w="711"/>
        <w:gridCol w:w="695"/>
      </w:tblGrid>
      <w:tr>
        <w:tblPrEx>
          <w:tblCellMar>
            <w:top w:w="15" w:type="dxa"/>
            <w:left w:w="15" w:type="dxa"/>
            <w:bottom w:w="15" w:type="dxa"/>
            <w:right w:w="15" w:type="dxa"/>
          </w:tblCellMar>
        </w:tblPrEx>
        <w:trPr>
          <w:jc w:val="center"/>
        </w:trPr>
        <w:tc>
          <w:tcPr>
            <w:tcW w:w="3479" w:type="dxa"/>
            <w:gridSpan w:val="3"/>
            <w:vMerge w:val="restart"/>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（本列数据的钩稽关系为：第一项加第二项之和，等于第三项加第四项之和）</w:t>
            </w:r>
          </w:p>
        </w:tc>
        <w:tc>
          <w:tcPr>
            <w:tcW w:w="5592" w:type="dxa"/>
            <w:gridSpan w:val="7"/>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申请人情况</w:t>
            </w:r>
          </w:p>
        </w:tc>
      </w:tr>
      <w:tr>
        <w:tblPrEx>
          <w:tblCellMar>
            <w:top w:w="15" w:type="dxa"/>
            <w:left w:w="15" w:type="dxa"/>
            <w:bottom w:w="15" w:type="dxa"/>
            <w:right w:w="15"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p>
        </w:tc>
        <w:tc>
          <w:tcPr>
            <w:tcW w:w="825"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自然人</w:t>
            </w:r>
          </w:p>
        </w:tc>
        <w:tc>
          <w:tcPr>
            <w:tcW w:w="4065" w:type="dxa"/>
            <w:gridSpan w:val="5"/>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法人或其他组织</w:t>
            </w:r>
          </w:p>
        </w:tc>
        <w:tc>
          <w:tcPr>
            <w:tcW w:w="702"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总计</w:t>
            </w:r>
          </w:p>
        </w:tc>
      </w:tr>
      <w:tr>
        <w:tblPrEx>
          <w:tblCellMar>
            <w:top w:w="15" w:type="dxa"/>
            <w:left w:w="15" w:type="dxa"/>
            <w:bottom w:w="15" w:type="dxa"/>
            <w:right w:w="15"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商业企业</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科研机构</w:t>
            </w:r>
          </w:p>
        </w:tc>
        <w:tc>
          <w:tcPr>
            <w:tcW w:w="82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社会公益组织</w:t>
            </w:r>
          </w:p>
        </w:tc>
        <w:tc>
          <w:tcPr>
            <w:tcW w:w="990"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法律服务机构</w:t>
            </w:r>
          </w:p>
        </w:tc>
        <w:tc>
          <w:tcPr>
            <w:tcW w:w="720"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p>
        </w:tc>
      </w:tr>
      <w:tr>
        <w:tblPrEx>
          <w:tblCellMar>
            <w:top w:w="15" w:type="dxa"/>
            <w:left w:w="15" w:type="dxa"/>
            <w:bottom w:w="15" w:type="dxa"/>
            <w:right w:w="15" w:type="dxa"/>
          </w:tblCellMar>
        </w:tblPrEx>
        <w:trPr>
          <w:jc w:val="center"/>
        </w:trPr>
        <w:tc>
          <w:tcPr>
            <w:tcW w:w="3479" w:type="dxa"/>
            <w:gridSpan w:val="3"/>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一、本年新收政府信息公开申请数量</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color w:val="000000"/>
                <w:kern w:val="0"/>
                <w:sz w:val="24"/>
                <w:szCs w:val="24"/>
                <w:lang w:eastAsia="zh-CN"/>
              </w:rPr>
            </w:pPr>
            <w:r>
              <w:rPr>
                <w:rFonts w:hint="eastAsia" w:ascii="Calibri" w:hAnsi="Calibri" w:eastAsia="宋体" w:cs="Calibri"/>
                <w:color w:val="000000"/>
                <w:kern w:val="0"/>
                <w:sz w:val="20"/>
                <w:szCs w:val="20"/>
                <w:lang w:val="en-US" w:eastAsia="zh-CN"/>
              </w:rPr>
              <w:t>7</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c>
          <w:tcPr>
            <w:tcW w:w="7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color w:val="000000"/>
                <w:kern w:val="0"/>
                <w:sz w:val="24"/>
                <w:szCs w:val="24"/>
                <w:lang w:eastAsia="zh-CN"/>
              </w:rPr>
            </w:pPr>
            <w:r>
              <w:rPr>
                <w:rFonts w:hint="eastAsia" w:ascii="Calibri" w:hAnsi="Calibri" w:eastAsia="宋体" w:cs="Calibri"/>
                <w:color w:val="000000"/>
                <w:kern w:val="0"/>
                <w:sz w:val="20"/>
                <w:szCs w:val="20"/>
                <w:lang w:val="en-US" w:eastAsia="zh-CN"/>
              </w:rPr>
              <w:t>7</w:t>
            </w:r>
          </w:p>
        </w:tc>
      </w:tr>
      <w:tr>
        <w:tblPrEx>
          <w:tblCellMar>
            <w:top w:w="15" w:type="dxa"/>
            <w:left w:w="15" w:type="dxa"/>
            <w:bottom w:w="15" w:type="dxa"/>
            <w:right w:w="15" w:type="dxa"/>
          </w:tblCellMar>
        </w:tblPrEx>
        <w:trPr>
          <w:jc w:val="center"/>
        </w:trPr>
        <w:tc>
          <w:tcPr>
            <w:tcW w:w="3479" w:type="dxa"/>
            <w:gridSpan w:val="3"/>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二、上年结转政府信息公开申请数量</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c>
          <w:tcPr>
            <w:tcW w:w="7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r>
      <w:tr>
        <w:tblPrEx>
          <w:tblCellMar>
            <w:top w:w="15" w:type="dxa"/>
            <w:left w:w="15" w:type="dxa"/>
            <w:bottom w:w="15" w:type="dxa"/>
            <w:right w:w="15" w:type="dxa"/>
          </w:tblCellMar>
        </w:tblPrEx>
        <w:trPr>
          <w:jc w:val="center"/>
        </w:trPr>
        <w:tc>
          <w:tcPr>
            <w:tcW w:w="494" w:type="dxa"/>
            <w:vMerge w:val="restart"/>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三、本年度办理结果</w:t>
            </w:r>
          </w:p>
        </w:tc>
        <w:tc>
          <w:tcPr>
            <w:tcW w:w="2985"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r>
              <w:rPr>
                <w:rFonts w:hint="eastAsia" w:ascii="楷体" w:hAnsi="楷体" w:eastAsia="楷体" w:cs="宋体"/>
                <w:color w:val="000000"/>
                <w:kern w:val="0"/>
                <w:sz w:val="20"/>
                <w:szCs w:val="20"/>
              </w:rPr>
              <w:t>（一）予以公开</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color w:val="000000"/>
                <w:kern w:val="0"/>
                <w:sz w:val="24"/>
                <w:szCs w:val="24"/>
                <w:lang w:eastAsia="zh-CN"/>
              </w:rPr>
            </w:pPr>
            <w:r>
              <w:rPr>
                <w:rFonts w:hint="eastAsia" w:ascii="Calibri" w:hAnsi="Calibri" w:eastAsia="宋体" w:cs="Calibri"/>
                <w:color w:val="000000"/>
                <w:kern w:val="0"/>
                <w:sz w:val="20"/>
                <w:szCs w:val="20"/>
                <w:lang w:val="en-US" w:eastAsia="zh-CN"/>
              </w:rPr>
              <w:t>6</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702"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color w:val="000000"/>
                <w:kern w:val="0"/>
                <w:sz w:val="24"/>
                <w:szCs w:val="24"/>
                <w:lang w:eastAsia="zh-CN"/>
              </w:rPr>
            </w:pPr>
            <w:r>
              <w:rPr>
                <w:rFonts w:hint="eastAsia" w:ascii="Calibri" w:hAnsi="Calibri" w:eastAsia="宋体" w:cs="Calibri"/>
                <w:color w:val="000000"/>
                <w:kern w:val="0"/>
                <w:sz w:val="20"/>
                <w:szCs w:val="20"/>
                <w:lang w:val="en-US" w:eastAsia="zh-CN"/>
              </w:rPr>
              <w:t>6</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p>
        </w:tc>
        <w:tc>
          <w:tcPr>
            <w:tcW w:w="2985"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r>
              <w:rPr>
                <w:rFonts w:hint="eastAsia" w:ascii="楷体" w:hAnsi="楷体" w:eastAsia="楷体" w:cs="宋体"/>
                <w:color w:val="000000"/>
                <w:kern w:val="0"/>
                <w:sz w:val="20"/>
                <w:szCs w:val="20"/>
              </w:rPr>
              <w:t>（二）部分公开（区分处理的，只计这一情形，不计其他情形）</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7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p>
        </w:tc>
        <w:tc>
          <w:tcPr>
            <w:tcW w:w="855"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r>
              <w:rPr>
                <w:rFonts w:hint="eastAsia" w:ascii="楷体" w:hAnsi="楷体" w:eastAsia="楷体" w:cs="宋体"/>
                <w:color w:val="000000"/>
                <w:kern w:val="0"/>
                <w:sz w:val="20"/>
                <w:szCs w:val="20"/>
              </w:rPr>
              <w:t>（三）不予公开</w:t>
            </w:r>
          </w:p>
        </w:tc>
        <w:tc>
          <w:tcPr>
            <w:tcW w:w="213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r>
              <w:rPr>
                <w:rFonts w:hint="eastAsia" w:ascii="楷体" w:hAnsi="楷体" w:eastAsia="楷体" w:cs="宋体"/>
                <w:color w:val="000000"/>
                <w:kern w:val="0"/>
                <w:sz w:val="20"/>
                <w:szCs w:val="20"/>
              </w:rPr>
              <w:t>1.属于国家秘密</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c>
          <w:tcPr>
            <w:tcW w:w="702"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p>
        </w:tc>
        <w:tc>
          <w:tcPr>
            <w:tcW w:w="213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r>
              <w:rPr>
                <w:rFonts w:hint="eastAsia" w:ascii="楷体" w:hAnsi="楷体" w:eastAsia="楷体" w:cs="宋体"/>
                <w:color w:val="000000"/>
                <w:kern w:val="0"/>
                <w:sz w:val="20"/>
                <w:szCs w:val="20"/>
              </w:rPr>
              <w:t>2.其他法律行政法规禁止公开</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c>
          <w:tcPr>
            <w:tcW w:w="7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p>
        </w:tc>
        <w:tc>
          <w:tcPr>
            <w:tcW w:w="213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r>
              <w:rPr>
                <w:rFonts w:hint="eastAsia" w:ascii="楷体" w:hAnsi="楷体" w:eastAsia="楷体" w:cs="宋体"/>
                <w:color w:val="000000"/>
                <w:kern w:val="0"/>
                <w:sz w:val="20"/>
                <w:szCs w:val="20"/>
              </w:rPr>
              <w:t>3.危及“三安全一稳定”</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7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p>
        </w:tc>
        <w:tc>
          <w:tcPr>
            <w:tcW w:w="213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r>
              <w:rPr>
                <w:rFonts w:hint="eastAsia" w:ascii="楷体" w:hAnsi="楷体" w:eastAsia="楷体" w:cs="宋体"/>
                <w:color w:val="000000"/>
                <w:kern w:val="0"/>
                <w:sz w:val="20"/>
                <w:szCs w:val="20"/>
              </w:rPr>
              <w:t>4.保护第三方合法权益</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7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p>
        </w:tc>
        <w:tc>
          <w:tcPr>
            <w:tcW w:w="213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r>
              <w:rPr>
                <w:rFonts w:hint="eastAsia" w:ascii="楷体" w:hAnsi="楷体" w:eastAsia="楷体" w:cs="宋体"/>
                <w:color w:val="000000"/>
                <w:kern w:val="0"/>
                <w:sz w:val="20"/>
                <w:szCs w:val="20"/>
              </w:rPr>
              <w:t>5.属于三类内部事务信息</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7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p>
        </w:tc>
        <w:tc>
          <w:tcPr>
            <w:tcW w:w="213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r>
              <w:rPr>
                <w:rFonts w:hint="eastAsia" w:ascii="楷体" w:hAnsi="楷体" w:eastAsia="楷体" w:cs="宋体"/>
                <w:color w:val="000000"/>
                <w:kern w:val="0"/>
                <w:sz w:val="20"/>
                <w:szCs w:val="20"/>
              </w:rPr>
              <w:t>6.属于四类过程性信息</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7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p>
        </w:tc>
        <w:tc>
          <w:tcPr>
            <w:tcW w:w="213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r>
              <w:rPr>
                <w:rFonts w:hint="eastAsia" w:ascii="楷体" w:hAnsi="楷体" w:eastAsia="楷体" w:cs="宋体"/>
                <w:color w:val="000000"/>
                <w:kern w:val="0"/>
                <w:sz w:val="20"/>
                <w:szCs w:val="20"/>
              </w:rPr>
              <w:t>7.属于行政执法案卷</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c>
          <w:tcPr>
            <w:tcW w:w="7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p>
        </w:tc>
        <w:tc>
          <w:tcPr>
            <w:tcW w:w="213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r>
              <w:rPr>
                <w:rFonts w:hint="eastAsia" w:ascii="楷体" w:hAnsi="楷体" w:eastAsia="楷体" w:cs="宋体"/>
                <w:color w:val="000000"/>
                <w:kern w:val="0"/>
                <w:sz w:val="20"/>
                <w:szCs w:val="20"/>
              </w:rPr>
              <w:t>8.属于行政查询事项</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7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p>
        </w:tc>
        <w:tc>
          <w:tcPr>
            <w:tcW w:w="855"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r>
              <w:rPr>
                <w:rFonts w:hint="eastAsia" w:ascii="楷体" w:hAnsi="楷体" w:eastAsia="楷体" w:cs="宋体"/>
                <w:color w:val="000000"/>
                <w:kern w:val="0"/>
                <w:sz w:val="20"/>
                <w:szCs w:val="20"/>
              </w:rPr>
              <w:t>（四）无法提供</w:t>
            </w:r>
          </w:p>
        </w:tc>
        <w:tc>
          <w:tcPr>
            <w:tcW w:w="213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r>
              <w:rPr>
                <w:rFonts w:hint="eastAsia" w:ascii="楷体" w:hAnsi="楷体" w:eastAsia="楷体" w:cs="宋体"/>
                <w:color w:val="000000"/>
                <w:kern w:val="0"/>
                <w:sz w:val="20"/>
                <w:szCs w:val="20"/>
              </w:rPr>
              <w:t>1.本机关不掌握相关政府信息</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7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p>
        </w:tc>
        <w:tc>
          <w:tcPr>
            <w:tcW w:w="213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r>
              <w:rPr>
                <w:rFonts w:hint="eastAsia" w:ascii="楷体" w:hAnsi="楷体" w:eastAsia="楷体" w:cs="宋体"/>
                <w:color w:val="000000"/>
                <w:kern w:val="0"/>
                <w:sz w:val="20"/>
                <w:szCs w:val="20"/>
              </w:rPr>
              <w:t>2.没有现成信息需要另行制作</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7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p>
        </w:tc>
        <w:tc>
          <w:tcPr>
            <w:tcW w:w="213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r>
              <w:rPr>
                <w:rFonts w:hint="eastAsia" w:ascii="楷体" w:hAnsi="楷体" w:eastAsia="楷体" w:cs="宋体"/>
                <w:color w:val="000000"/>
                <w:kern w:val="0"/>
                <w:sz w:val="20"/>
                <w:szCs w:val="20"/>
              </w:rPr>
              <w:t>3.补正后申请内容仍不明确</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7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p>
        </w:tc>
        <w:tc>
          <w:tcPr>
            <w:tcW w:w="855"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r>
              <w:rPr>
                <w:rFonts w:hint="eastAsia" w:ascii="楷体" w:hAnsi="楷体" w:eastAsia="楷体" w:cs="宋体"/>
                <w:color w:val="000000"/>
                <w:kern w:val="0"/>
                <w:sz w:val="20"/>
                <w:szCs w:val="20"/>
              </w:rPr>
              <w:t>（五）不予处理</w:t>
            </w:r>
          </w:p>
        </w:tc>
        <w:tc>
          <w:tcPr>
            <w:tcW w:w="213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r>
              <w:rPr>
                <w:rFonts w:hint="eastAsia" w:ascii="楷体" w:hAnsi="楷体" w:eastAsia="楷体" w:cs="宋体"/>
                <w:color w:val="000000"/>
                <w:kern w:val="0"/>
                <w:sz w:val="20"/>
                <w:szCs w:val="20"/>
              </w:rPr>
              <w:t>1.信访举报投诉类申请</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c>
          <w:tcPr>
            <w:tcW w:w="7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p>
        </w:tc>
        <w:tc>
          <w:tcPr>
            <w:tcW w:w="213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r>
              <w:rPr>
                <w:rFonts w:hint="eastAsia" w:ascii="楷体" w:hAnsi="楷体" w:eastAsia="楷体" w:cs="宋体"/>
                <w:color w:val="000000"/>
                <w:kern w:val="0"/>
                <w:sz w:val="20"/>
                <w:szCs w:val="20"/>
              </w:rPr>
              <w:t>2.重复申请</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c>
          <w:tcPr>
            <w:tcW w:w="7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p>
        </w:tc>
        <w:tc>
          <w:tcPr>
            <w:tcW w:w="213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r>
              <w:rPr>
                <w:rFonts w:hint="eastAsia" w:ascii="楷体" w:hAnsi="楷体" w:eastAsia="楷体" w:cs="宋体"/>
                <w:color w:val="000000"/>
                <w:kern w:val="0"/>
                <w:sz w:val="20"/>
                <w:szCs w:val="20"/>
              </w:rPr>
              <w:t>3.要求提供公开出版物</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c>
          <w:tcPr>
            <w:tcW w:w="7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p>
        </w:tc>
        <w:tc>
          <w:tcPr>
            <w:tcW w:w="213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r>
              <w:rPr>
                <w:rFonts w:hint="eastAsia" w:ascii="楷体" w:hAnsi="楷体" w:eastAsia="楷体" w:cs="宋体"/>
                <w:color w:val="000000"/>
                <w:kern w:val="0"/>
                <w:sz w:val="20"/>
                <w:szCs w:val="20"/>
              </w:rPr>
              <w:t>4.无正当理由大量反复申请</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c>
          <w:tcPr>
            <w:tcW w:w="7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p>
        </w:tc>
        <w:tc>
          <w:tcPr>
            <w:tcW w:w="213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r>
              <w:rPr>
                <w:rFonts w:hint="eastAsia" w:ascii="楷体" w:hAnsi="楷体" w:eastAsia="楷体" w:cs="宋体"/>
                <w:color w:val="000000"/>
                <w:kern w:val="0"/>
                <w:sz w:val="20"/>
                <w:szCs w:val="20"/>
              </w:rPr>
              <w:t>5.要求行政机关确认或重新出具已获取信息</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c>
          <w:tcPr>
            <w:tcW w:w="7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p>
        </w:tc>
        <w:tc>
          <w:tcPr>
            <w:tcW w:w="2985"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r>
              <w:rPr>
                <w:rFonts w:hint="eastAsia" w:ascii="楷体" w:hAnsi="楷体" w:eastAsia="楷体" w:cs="宋体"/>
                <w:color w:val="000000"/>
                <w:kern w:val="0"/>
                <w:sz w:val="20"/>
                <w:szCs w:val="20"/>
              </w:rPr>
              <w:t>（六）其他处理</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7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p>
        </w:tc>
        <w:tc>
          <w:tcPr>
            <w:tcW w:w="2985" w:type="dxa"/>
            <w:gridSpan w:val="2"/>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r>
              <w:rPr>
                <w:rFonts w:hint="eastAsia" w:ascii="楷体" w:hAnsi="楷体" w:eastAsia="楷体" w:cs="宋体"/>
                <w:color w:val="000000"/>
                <w:kern w:val="0"/>
                <w:sz w:val="20"/>
                <w:szCs w:val="20"/>
              </w:rPr>
              <w:t>（七）总计</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c>
          <w:tcPr>
            <w:tcW w:w="7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r>
      <w:tr>
        <w:tblPrEx>
          <w:tblCellMar>
            <w:top w:w="15" w:type="dxa"/>
            <w:left w:w="15" w:type="dxa"/>
            <w:bottom w:w="15" w:type="dxa"/>
            <w:right w:w="15" w:type="dxa"/>
          </w:tblCellMar>
        </w:tblPrEx>
        <w:trPr>
          <w:jc w:val="center"/>
        </w:trPr>
        <w:tc>
          <w:tcPr>
            <w:tcW w:w="3479" w:type="dxa"/>
            <w:gridSpan w:val="3"/>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四、结转下年度继续办理</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lang w:val="en-US" w:eastAsia="zh-CN"/>
              </w:rPr>
              <w:t>1</w:t>
            </w:r>
            <w:r>
              <w:rPr>
                <w:rFonts w:ascii="Calibri" w:hAnsi="Calibri" w:eastAsia="宋体" w:cs="Calibri"/>
                <w:color w:val="000000"/>
                <w:kern w:val="0"/>
                <w:sz w:val="20"/>
                <w:szCs w:val="20"/>
              </w:rPr>
              <w:t> </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76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82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99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72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702"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1</w:t>
            </w:r>
          </w:p>
        </w:tc>
      </w:tr>
    </w:tbl>
    <w:p>
      <w:pPr>
        <w:keepNext w:val="0"/>
        <w:keepLines w:val="0"/>
        <w:pageBreakBefore w:val="0"/>
        <w:widowControl/>
        <w:kinsoku/>
        <w:wordWrap/>
        <w:overflowPunct/>
        <w:topLinePunct w:val="0"/>
        <w:autoSpaceDE/>
        <w:autoSpaceDN/>
        <w:bidi w:val="0"/>
        <w:adjustRightInd w:val="0"/>
        <w:snapToGrid w:val="0"/>
        <w:spacing w:line="600" w:lineRule="exact"/>
        <w:ind w:firstLine="480"/>
        <w:textAlignment w:val="auto"/>
        <w:rPr>
          <w:rFonts w:ascii="宋体" w:hAnsi="宋体" w:eastAsia="宋体" w:cs="宋体"/>
          <w:color w:val="000000"/>
          <w:kern w:val="0"/>
          <w:sz w:val="16"/>
          <w:szCs w:val="16"/>
        </w:rPr>
      </w:pPr>
    </w:p>
    <w:p>
      <w:pPr>
        <w:keepNext w:val="0"/>
        <w:keepLines w:val="0"/>
        <w:pageBreakBefore w:val="0"/>
        <w:widowControl/>
        <w:kinsoku/>
        <w:wordWrap/>
        <w:overflowPunct/>
        <w:topLinePunct w:val="0"/>
        <w:autoSpaceDE/>
        <w:autoSpaceDN/>
        <w:bidi w:val="0"/>
        <w:adjustRightInd w:val="0"/>
        <w:snapToGrid w:val="0"/>
        <w:spacing w:line="600" w:lineRule="exact"/>
        <w:ind w:firstLine="480"/>
        <w:textAlignment w:val="auto"/>
        <w:rPr>
          <w:rFonts w:ascii="宋体" w:hAnsi="宋体" w:eastAsia="宋体" w:cs="宋体"/>
          <w:color w:val="000000"/>
          <w:kern w:val="0"/>
          <w:sz w:val="16"/>
          <w:szCs w:val="16"/>
        </w:rPr>
      </w:pPr>
      <w:r>
        <w:rPr>
          <w:rFonts w:hint="eastAsia" w:ascii="黑体" w:hAnsi="黑体" w:eastAsia="黑体" w:cs="宋体"/>
          <w:bCs/>
          <w:color w:val="000000"/>
          <w:kern w:val="0"/>
          <w:sz w:val="32"/>
          <w:szCs w:val="32"/>
        </w:rPr>
        <w:t>四、政府信息公开行政复议、行政诉讼情况</w:t>
      </w:r>
    </w:p>
    <w:tbl>
      <w:tblPr>
        <w:tblStyle w:val="7"/>
        <w:tblW w:w="9071" w:type="dxa"/>
        <w:jc w:val="center"/>
        <w:tblLayout w:type="autofit"/>
        <w:tblCellMar>
          <w:top w:w="15" w:type="dxa"/>
          <w:left w:w="15" w:type="dxa"/>
          <w:bottom w:w="15" w:type="dxa"/>
          <w:right w:w="15"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15" w:type="dxa"/>
            <w:left w:w="15" w:type="dxa"/>
            <w:bottom w:w="15" w:type="dxa"/>
            <w:right w:w="15"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行政诉讼</w:t>
            </w:r>
          </w:p>
        </w:tc>
      </w:tr>
      <w:tr>
        <w:tblPrEx>
          <w:tblCellMar>
            <w:top w:w="15" w:type="dxa"/>
            <w:left w:w="15" w:type="dxa"/>
            <w:bottom w:w="15" w:type="dxa"/>
            <w:right w:w="15"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结果维持</w:t>
            </w:r>
          </w:p>
        </w:tc>
        <w:tc>
          <w:tcPr>
            <w:tcW w:w="604" w:type="dxa"/>
            <w:vMerge w:val="restart"/>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总计</w:t>
            </w:r>
          </w:p>
        </w:tc>
        <w:tc>
          <w:tcPr>
            <w:tcW w:w="2970" w:type="dxa"/>
            <w:gridSpan w:val="5"/>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复议后起诉</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p>
        </w:tc>
        <w:tc>
          <w:tcPr>
            <w:tcW w:w="55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结果维持</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其他结果</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尚未审结</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总计</w:t>
            </w:r>
          </w:p>
        </w:tc>
      </w:tr>
      <w:tr>
        <w:tblPrEx>
          <w:tblCellMar>
            <w:top w:w="15" w:type="dxa"/>
            <w:left w:w="15" w:type="dxa"/>
            <w:bottom w:w="15" w:type="dxa"/>
            <w:right w:w="15"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604"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604"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Calibri" w:hAnsi="Calibri" w:eastAsia="宋体" w:cs="Calibri"/>
                <w:color w:val="000000"/>
                <w:kern w:val="0"/>
                <w:sz w:val="20"/>
                <w:szCs w:val="20"/>
              </w:rPr>
              <w:t>0</w:t>
            </w:r>
            <w:r>
              <w:rPr>
                <w:rFonts w:ascii="Calibri" w:hAnsi="Calibri" w:eastAsia="宋体" w:cs="Calibri"/>
                <w:color w:val="000000"/>
                <w:kern w:val="0"/>
                <w:sz w:val="20"/>
                <w:szCs w:val="20"/>
              </w:rPr>
              <w:t> </w:t>
            </w:r>
          </w:p>
        </w:tc>
        <w:tc>
          <w:tcPr>
            <w:tcW w:w="604"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658"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w:t>
            </w:r>
          </w:p>
        </w:tc>
        <w:tc>
          <w:tcPr>
            <w:tcW w:w="550"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 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 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 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 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 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 0</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0 </w:t>
            </w:r>
          </w:p>
        </w:tc>
        <w:tc>
          <w:tcPr>
            <w:tcW w:w="605"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 0</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0 </w:t>
            </w:r>
          </w:p>
        </w:tc>
        <w:tc>
          <w:tcPr>
            <w:tcW w:w="606" w:type="dxa"/>
            <w:tcBorders>
              <w:top w:val="nil"/>
              <w:left w:val="nil"/>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r>
    </w:tbl>
    <w:p>
      <w:pPr>
        <w:keepNext w:val="0"/>
        <w:keepLines w:val="0"/>
        <w:pageBreakBefore w:val="0"/>
        <w:widowControl/>
        <w:kinsoku/>
        <w:wordWrap/>
        <w:overflowPunct/>
        <w:topLinePunct w:val="0"/>
        <w:autoSpaceDE/>
        <w:autoSpaceDN/>
        <w:bidi w:val="0"/>
        <w:adjustRightInd w:val="0"/>
        <w:snapToGrid w:val="0"/>
        <w:spacing w:line="600" w:lineRule="exact"/>
        <w:ind w:firstLine="480"/>
        <w:textAlignment w:val="auto"/>
        <w:rPr>
          <w:rFonts w:ascii="黑体" w:hAnsi="黑体" w:eastAsia="黑体" w:cs="宋体"/>
          <w:color w:val="000000"/>
          <w:kern w:val="0"/>
          <w:sz w:val="32"/>
          <w:szCs w:val="32"/>
        </w:rPr>
      </w:pPr>
      <w:r>
        <w:rPr>
          <w:rFonts w:hint="eastAsia" w:ascii="黑体" w:hAnsi="黑体" w:eastAsia="黑体" w:cs="宋体"/>
          <w:bCs/>
          <w:color w:val="000000"/>
          <w:kern w:val="0"/>
          <w:sz w:val="32"/>
          <w:szCs w:val="32"/>
        </w:rPr>
        <w:t>五、存在的主要问题及改进情况</w:t>
      </w:r>
    </w:p>
    <w:p>
      <w:pPr>
        <w:keepNext w:val="0"/>
        <w:keepLines w:val="0"/>
        <w:pageBreakBefore w:val="0"/>
        <w:widowControl/>
        <w:kinsoku/>
        <w:wordWrap/>
        <w:overflowPunct/>
        <w:topLinePunct w:val="0"/>
        <w:autoSpaceDE/>
        <w:autoSpaceDN/>
        <w:bidi w:val="0"/>
        <w:adjustRightInd w:val="0"/>
        <w:snapToGrid w:val="0"/>
        <w:spacing w:line="600" w:lineRule="exact"/>
        <w:ind w:firstLine="48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val="en-US" w:eastAsia="zh-CN"/>
        </w:rPr>
        <w:t>2020</w:t>
      </w:r>
      <w:r>
        <w:rPr>
          <w:rFonts w:hint="eastAsia" w:ascii="仿宋_GB2312" w:hAnsi="仿宋_GB2312" w:eastAsia="仿宋_GB2312" w:cs="仿宋_GB2312"/>
          <w:b w:val="0"/>
          <w:bCs/>
          <w:color w:val="000000"/>
          <w:sz w:val="32"/>
          <w:szCs w:val="32"/>
        </w:rPr>
        <w:t>年，我局的政府信息公开工作取得了一定的成绩，但与全面实行新《条例》以及社会公众的需求相比，还存在着一定的不足：</w:t>
      </w:r>
      <w:r>
        <w:rPr>
          <w:rFonts w:hint="eastAsia" w:ascii="仿宋_GB2312" w:hAnsi="仿宋_GB2312" w:eastAsia="仿宋_GB2312" w:cs="仿宋_GB2312"/>
          <w:b w:val="0"/>
          <w:bCs/>
          <w:color w:val="000000"/>
          <w:sz w:val="32"/>
          <w:szCs w:val="32"/>
          <w:lang w:eastAsia="zh-CN"/>
        </w:rPr>
        <w:t>主要</w:t>
      </w:r>
      <w:r>
        <w:rPr>
          <w:rFonts w:hint="eastAsia" w:ascii="仿宋_GB2312" w:hAnsi="仿宋_GB2312" w:eastAsia="仿宋_GB2312" w:cs="仿宋_GB2312"/>
          <w:b w:val="0"/>
          <w:bCs/>
          <w:color w:val="000000"/>
          <w:sz w:val="32"/>
          <w:szCs w:val="32"/>
        </w:rPr>
        <w:t>是个别科室服务意识不强。接受政务公开申请时，存在“怕、躲、推”的心理，对主动服务公众，认真履行信息公开义务的要求认识不到位。</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rPr>
        <w:t>下一步，我局将进一步</w:t>
      </w:r>
      <w:r>
        <w:rPr>
          <w:rFonts w:hint="eastAsia" w:ascii="仿宋_GB2312" w:hAnsi="仿宋_GB2312" w:eastAsia="仿宋_GB2312" w:cs="仿宋_GB2312"/>
          <w:b w:val="0"/>
          <w:bCs/>
          <w:color w:val="000000"/>
          <w:sz w:val="32"/>
          <w:szCs w:val="32"/>
          <w:lang w:eastAsia="zh-CN"/>
        </w:rPr>
        <w:t>加强政府</w:t>
      </w:r>
      <w:r>
        <w:rPr>
          <w:rFonts w:hint="eastAsia" w:ascii="仿宋_GB2312" w:hAnsi="仿宋_GB2312" w:eastAsia="仿宋_GB2312" w:cs="仿宋_GB2312"/>
          <w:b w:val="0"/>
          <w:bCs/>
          <w:color w:val="000000"/>
          <w:sz w:val="32"/>
          <w:szCs w:val="32"/>
        </w:rPr>
        <w:t>信息公开</w:t>
      </w:r>
      <w:r>
        <w:rPr>
          <w:rFonts w:hint="eastAsia" w:ascii="仿宋_GB2312" w:hAnsi="仿宋_GB2312" w:eastAsia="仿宋_GB2312" w:cs="仿宋_GB2312"/>
          <w:b w:val="0"/>
          <w:bCs/>
          <w:color w:val="000000"/>
          <w:sz w:val="32"/>
          <w:szCs w:val="32"/>
          <w:lang w:eastAsia="zh-CN"/>
        </w:rPr>
        <w:t>方面业务学习</w:t>
      </w:r>
      <w:r>
        <w:rPr>
          <w:rFonts w:hint="eastAsia" w:ascii="仿宋_GB2312" w:hAnsi="仿宋_GB2312" w:eastAsia="仿宋_GB2312" w:cs="仿宋_GB2312"/>
          <w:b w:val="0"/>
          <w:bCs/>
          <w:color w:val="000000"/>
          <w:sz w:val="32"/>
          <w:szCs w:val="32"/>
        </w:rPr>
        <w:t>力度，</w:t>
      </w:r>
      <w:r>
        <w:rPr>
          <w:rFonts w:hint="eastAsia" w:ascii="仿宋_GB2312" w:hAnsi="仿宋_GB2312" w:eastAsia="仿宋_GB2312" w:cs="仿宋_GB2312"/>
          <w:b w:val="0"/>
          <w:bCs/>
          <w:color w:val="000000"/>
          <w:sz w:val="32"/>
          <w:szCs w:val="32"/>
          <w:lang w:eastAsia="zh-CN"/>
        </w:rPr>
        <w:t>进一步提高服务意识，不断</w:t>
      </w:r>
      <w:r>
        <w:rPr>
          <w:rFonts w:hint="eastAsia" w:ascii="仿宋_GB2312" w:hAnsi="仿宋_GB2312" w:eastAsia="仿宋_GB2312" w:cs="仿宋_GB2312"/>
          <w:b w:val="0"/>
          <w:bCs/>
          <w:color w:val="000000"/>
          <w:sz w:val="32"/>
          <w:szCs w:val="32"/>
        </w:rPr>
        <w:t>完善政府信息</w:t>
      </w:r>
      <w:r>
        <w:rPr>
          <w:rFonts w:hint="eastAsia" w:ascii="仿宋_GB2312" w:hAnsi="仿宋_GB2312" w:eastAsia="仿宋_GB2312" w:cs="仿宋_GB2312"/>
          <w:b w:val="0"/>
          <w:bCs/>
          <w:color w:val="000000"/>
          <w:sz w:val="32"/>
          <w:szCs w:val="32"/>
          <w:lang w:eastAsia="zh-CN"/>
        </w:rPr>
        <w:t>公开</w:t>
      </w:r>
      <w:r>
        <w:rPr>
          <w:rFonts w:hint="eastAsia" w:ascii="仿宋_GB2312" w:hAnsi="仿宋_GB2312" w:eastAsia="仿宋_GB2312" w:cs="仿宋_GB2312"/>
          <w:b w:val="0"/>
          <w:bCs/>
          <w:color w:val="000000"/>
          <w:sz w:val="32"/>
          <w:szCs w:val="32"/>
        </w:rPr>
        <w:t>工作</w:t>
      </w:r>
      <w:r>
        <w:rPr>
          <w:rFonts w:hint="eastAsia" w:ascii="仿宋_GB2312" w:hAnsi="仿宋_GB2312" w:eastAsia="仿宋_GB2312" w:cs="仿宋_GB2312"/>
          <w:b w:val="0"/>
          <w:bCs/>
          <w:color w:val="000000"/>
          <w:sz w:val="32"/>
          <w:szCs w:val="32"/>
          <w:lang w:eastAsia="zh-CN"/>
        </w:rPr>
        <w:t>，抓好群众关注、涉及群众切身利益的各类政府信息的公开。</w:t>
      </w:r>
    </w:p>
    <w:p>
      <w:pPr>
        <w:keepNext w:val="0"/>
        <w:keepLines w:val="0"/>
        <w:pageBreakBefore w:val="0"/>
        <w:widowControl/>
        <w:kinsoku/>
        <w:wordWrap/>
        <w:overflowPunct/>
        <w:topLinePunct w:val="0"/>
        <w:autoSpaceDE/>
        <w:autoSpaceDN/>
        <w:bidi w:val="0"/>
        <w:adjustRightInd w:val="0"/>
        <w:snapToGrid w:val="0"/>
        <w:spacing w:line="600" w:lineRule="exact"/>
        <w:ind w:firstLine="480"/>
        <w:textAlignment w:val="auto"/>
        <w:rPr>
          <w:rFonts w:ascii="黑体" w:hAnsi="黑体" w:eastAsia="黑体" w:cs="宋体"/>
          <w:color w:val="000000"/>
          <w:kern w:val="0"/>
          <w:sz w:val="32"/>
          <w:szCs w:val="32"/>
        </w:rPr>
      </w:pPr>
      <w:r>
        <w:rPr>
          <w:rFonts w:hint="eastAsia" w:ascii="黑体" w:hAnsi="黑体" w:eastAsia="黑体" w:cs="宋体"/>
          <w:bCs/>
          <w:color w:val="000000"/>
          <w:kern w:val="0"/>
          <w:sz w:val="32"/>
          <w:szCs w:val="32"/>
        </w:rPr>
        <w:t>六、其他需要报告的事项</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line="600" w:lineRule="exact"/>
        <w:ind w:firstLine="1120" w:firstLineChars="35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无</w:t>
      </w:r>
    </w:p>
    <w:p>
      <w:pPr>
        <w:keepNext w:val="0"/>
        <w:keepLines w:val="0"/>
        <w:pageBreakBefore w:val="0"/>
        <w:widowControl/>
        <w:kinsoku/>
        <w:wordWrap/>
        <w:overflowPunct/>
        <w:topLinePunct w:val="0"/>
        <w:autoSpaceDE/>
        <w:autoSpaceDN/>
        <w:bidi w:val="0"/>
        <w:adjustRightInd w:val="0"/>
        <w:snapToGrid w:val="0"/>
        <w:spacing w:line="600" w:lineRule="exact"/>
        <w:ind w:firstLine="1120" w:firstLineChars="350"/>
        <w:textAlignment w:val="auto"/>
        <w:rPr>
          <w:rFonts w:ascii="仿宋_GB2312" w:hAnsi="宋体" w:eastAsia="仿宋_GB2312" w:cs="宋体"/>
          <w:color w:val="000000"/>
          <w:kern w:val="0"/>
          <w:sz w:val="32"/>
          <w:szCs w:val="32"/>
        </w:rPr>
      </w:pPr>
    </w:p>
    <w:p>
      <w:pPr>
        <w:keepNext w:val="0"/>
        <w:keepLines w:val="0"/>
        <w:pageBreakBefore w:val="0"/>
        <w:widowControl/>
        <w:kinsoku/>
        <w:wordWrap/>
        <w:overflowPunct/>
        <w:topLinePunct w:val="0"/>
        <w:autoSpaceDE/>
        <w:autoSpaceDN/>
        <w:bidi w:val="0"/>
        <w:adjustRightInd w:val="0"/>
        <w:snapToGrid w:val="0"/>
        <w:spacing w:line="600" w:lineRule="exact"/>
        <w:ind w:firstLine="1120" w:firstLineChars="350"/>
        <w:textAlignment w:val="auto"/>
        <w:rPr>
          <w:rFonts w:ascii="仿宋_GB2312" w:hAnsi="宋体" w:eastAsia="仿宋_GB2312" w:cs="宋体"/>
          <w:color w:val="000000"/>
          <w:kern w:val="0"/>
          <w:sz w:val="32"/>
          <w:szCs w:val="32"/>
        </w:rPr>
      </w:pPr>
    </w:p>
    <w:p>
      <w:pPr>
        <w:keepNext w:val="0"/>
        <w:keepLines w:val="0"/>
        <w:pageBreakBefore w:val="0"/>
        <w:widowControl/>
        <w:kinsoku/>
        <w:wordWrap/>
        <w:overflowPunct/>
        <w:topLinePunct w:val="0"/>
        <w:autoSpaceDE/>
        <w:autoSpaceDN/>
        <w:bidi w:val="0"/>
        <w:adjustRightInd w:val="0"/>
        <w:snapToGrid w:val="0"/>
        <w:spacing w:line="600" w:lineRule="exact"/>
        <w:jc w:val="right"/>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南安市人力资源和社会保障局</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right"/>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202</w:t>
      </w:r>
      <w:r>
        <w:rPr>
          <w:rFonts w:hint="eastAsia" w:ascii="仿宋_GB2312" w:hAnsi="仿宋" w:eastAsia="仿宋_GB2312" w:cs="宋体"/>
          <w:kern w:val="0"/>
          <w:sz w:val="32"/>
          <w:szCs w:val="32"/>
          <w:lang w:val="en-US" w:eastAsia="zh-CN"/>
        </w:rPr>
        <w:t>1</w:t>
      </w:r>
      <w:r>
        <w:rPr>
          <w:rFonts w:hint="eastAsia" w:ascii="仿宋_GB2312" w:hAnsi="仿宋" w:eastAsia="仿宋_GB2312" w:cs="宋体"/>
          <w:kern w:val="0"/>
          <w:sz w:val="32"/>
          <w:szCs w:val="32"/>
        </w:rPr>
        <w:t>年1月</w:t>
      </w:r>
      <w:r>
        <w:rPr>
          <w:rFonts w:hint="eastAsia" w:ascii="仿宋_GB2312" w:hAnsi="仿宋" w:eastAsia="仿宋_GB2312" w:cs="宋体"/>
          <w:kern w:val="0"/>
          <w:sz w:val="32"/>
          <w:szCs w:val="32"/>
          <w:lang w:val="en-US" w:eastAsia="zh-CN"/>
        </w:rPr>
        <w:t>5</w:t>
      </w:r>
      <w:r>
        <w:rPr>
          <w:rFonts w:hint="eastAsia" w:ascii="仿宋_GB2312" w:hAnsi="仿宋" w:eastAsia="仿宋_GB2312" w:cs="宋体"/>
          <w:kern w:val="0"/>
          <w:sz w:val="32"/>
          <w:szCs w:val="32"/>
        </w:rPr>
        <w:t>日</w:t>
      </w:r>
    </w:p>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ascii="宋体" w:hAnsi="宋体" w:eastAsia="仿宋_GB2312" w:cs="宋体"/>
          <w:bCs/>
          <w:kern w:val="0"/>
          <w:sz w:val="32"/>
          <w:szCs w:val="32"/>
        </w:rPr>
      </w:pPr>
      <w:r>
        <w:rPr>
          <w:rFonts w:hint="eastAsia" w:ascii="宋体" w:hAnsi="宋体" w:eastAsia="仿宋_GB2312" w:cs="宋体"/>
          <w:bCs/>
          <w:kern w:val="0"/>
          <w:sz w:val="32"/>
          <w:szCs w:val="32"/>
        </w:rPr>
        <w:t xml:space="preserve"> (此件主动公开)</w:t>
      </w:r>
    </w:p>
    <w:p>
      <w:pPr>
        <w:pStyle w:val="6"/>
        <w:spacing w:line="540" w:lineRule="exact"/>
        <w:jc w:val="both"/>
        <w:rPr>
          <w:rFonts w:ascii="仿宋_GB2312" w:hAnsi="仿宋_GB2312" w:eastAsia="仿宋_GB2312" w:cs="仿宋_GB2312"/>
          <w:sz w:val="32"/>
          <w:szCs w:val="32"/>
        </w:rPr>
      </w:pPr>
    </w:p>
    <w:p>
      <w:pPr>
        <w:pStyle w:val="6"/>
        <w:spacing w:line="540" w:lineRule="exact"/>
        <w:jc w:val="both"/>
        <w:rPr>
          <w:rFonts w:ascii="仿宋_GB2312" w:hAnsi="仿宋_GB2312" w:eastAsia="仿宋_GB2312" w:cs="仿宋_GB2312"/>
          <w:sz w:val="32"/>
          <w:szCs w:val="32"/>
        </w:rPr>
      </w:pPr>
    </w:p>
    <w:p>
      <w:pPr>
        <w:pStyle w:val="6"/>
        <w:spacing w:line="540" w:lineRule="exact"/>
        <w:jc w:val="both"/>
        <w:rPr>
          <w:rFonts w:ascii="仿宋_GB2312" w:hAnsi="仿宋_GB2312" w:eastAsia="仿宋_GB2312" w:cs="仿宋_GB2312"/>
          <w:sz w:val="32"/>
          <w:szCs w:val="32"/>
        </w:rPr>
      </w:pPr>
    </w:p>
    <w:p>
      <w:pPr>
        <w:pStyle w:val="6"/>
        <w:spacing w:line="540" w:lineRule="exact"/>
        <w:jc w:val="both"/>
        <w:rPr>
          <w:rFonts w:ascii="仿宋_GB2312" w:hAnsi="仿宋_GB2312" w:eastAsia="仿宋_GB2312" w:cs="仿宋_GB2312"/>
          <w:sz w:val="32"/>
          <w:szCs w:val="32"/>
        </w:rPr>
      </w:pPr>
    </w:p>
    <w:p>
      <w:pPr>
        <w:pStyle w:val="6"/>
        <w:spacing w:line="540" w:lineRule="exact"/>
        <w:jc w:val="both"/>
        <w:rPr>
          <w:rFonts w:ascii="仿宋_GB2312" w:hAnsi="仿宋_GB2312" w:eastAsia="仿宋_GB2312" w:cs="仿宋_GB2312"/>
          <w:sz w:val="32"/>
          <w:szCs w:val="32"/>
        </w:rPr>
      </w:pPr>
    </w:p>
    <w:p>
      <w:pPr>
        <w:pStyle w:val="6"/>
        <w:spacing w:line="540" w:lineRule="exact"/>
        <w:jc w:val="both"/>
        <w:rPr>
          <w:rFonts w:ascii="仿宋_GB2312" w:hAnsi="仿宋_GB2312" w:eastAsia="仿宋_GB2312" w:cs="仿宋_GB2312"/>
          <w:sz w:val="32"/>
          <w:szCs w:val="32"/>
        </w:rPr>
      </w:pPr>
    </w:p>
    <w:p>
      <w:pPr>
        <w:pStyle w:val="6"/>
        <w:spacing w:line="540" w:lineRule="exact"/>
        <w:jc w:val="both"/>
        <w:rPr>
          <w:rFonts w:ascii="仿宋_GB2312" w:hAnsi="仿宋_GB2312" w:eastAsia="仿宋_GB2312" w:cs="仿宋_GB2312"/>
          <w:sz w:val="32"/>
          <w:szCs w:val="32"/>
        </w:rPr>
      </w:pPr>
    </w:p>
    <w:p>
      <w:pPr>
        <w:spacing w:line="600" w:lineRule="exact"/>
        <w:rPr>
          <w:rFonts w:ascii="宋体" w:hAnsi="宋体" w:eastAsia="仿宋_GB2312" w:cs="宋体"/>
          <w:bCs/>
          <w:kern w:val="0"/>
          <w:sz w:val="32"/>
          <w:szCs w:val="32"/>
        </w:rPr>
      </w:pPr>
      <w:r>
        <w:rPr>
          <w:rFonts w:eastAsia="宋体"/>
        </w:rPr>
        <w:pict>
          <v:line id="直线 7" o:spid="_x0000_s1026" o:spt="20" style="position:absolute;left:0pt;flip:y;margin-left:0pt;margin-top:1.4pt;height:0.05pt;width:441pt;z-index:251660288;mso-width-relative:page;mso-height-relative:page;" coordsize="21600,21600">
            <v:path arrowok="t"/>
            <v:fill focussize="0,0"/>
            <v:stroke/>
            <v:imagedata o:title=""/>
            <o:lock v:ext="edit"/>
          </v:line>
        </w:pict>
      </w:r>
      <w:r>
        <w:rPr>
          <w:rFonts w:eastAsia="宋体"/>
        </w:rPr>
        <w:pict>
          <v:line id="_x0000_s1028" o:spid="_x0000_s1028" o:spt="20" style="position:absolute;left:0pt;flip:y;margin-left:0pt;margin-top:35.4pt;height:0.05pt;width:441pt;z-index:251662336;mso-width-relative:page;mso-height-relative:page;" coordsize="21600,21600">
            <v:path arrowok="t"/>
            <v:fill focussize="0,0"/>
            <v:stroke/>
            <v:imagedata o:title=""/>
            <o:lock v:ext="edit"/>
          </v:line>
        </w:pict>
      </w:r>
      <w:r>
        <w:rPr>
          <w:rFonts w:eastAsia="宋体"/>
        </w:rPr>
        <w:pict>
          <v:rect id="_x0000_s1027" o:spid="_x0000_s1027" o:spt="1" style="position:absolute;left:0pt;margin-left:-9pt;margin-top:97.5pt;height:39pt;width:63pt;z-index:251661312;mso-width-relative:page;mso-height-relative:page;" stroked="f" coordsize="21600,21600">
            <v:path/>
            <v:fill focussize="0,0"/>
            <v:stroke on="f"/>
            <v:imagedata o:title=""/>
            <o:lock v:ext="edit"/>
            <v:textbox>
              <w:txbxContent>
                <w:p/>
              </w:txbxContent>
            </v:textbox>
          </v:rect>
        </w:pict>
      </w:r>
      <w:r>
        <w:rPr>
          <w:rFonts w:ascii="仿宋_GB2312" w:hAnsi="华文中宋" w:eastAsia="仿宋_GB2312"/>
          <w:color w:val="000000"/>
          <w:sz w:val="32"/>
          <w:szCs w:val="32"/>
        </w:rPr>
        <w:t xml:space="preserve">  </w:t>
      </w:r>
      <w:r>
        <w:rPr>
          <w:rFonts w:hint="eastAsia" w:ascii="仿宋_GB2312" w:hAnsi="华文中宋" w:eastAsia="仿宋_GB2312"/>
          <w:color w:val="000000"/>
          <w:spacing w:val="-10"/>
          <w:sz w:val="28"/>
          <w:szCs w:val="28"/>
        </w:rPr>
        <w:t>南安市人力资源和社会保障局办公室</w:t>
      </w:r>
      <w:r>
        <w:rPr>
          <w:rFonts w:ascii="仿宋_GB2312" w:hAnsi="华文中宋" w:eastAsia="仿宋_GB2312"/>
          <w:color w:val="000000"/>
          <w:sz w:val="28"/>
          <w:szCs w:val="28"/>
        </w:rPr>
        <w:t xml:space="preserve">         202</w:t>
      </w:r>
      <w:r>
        <w:rPr>
          <w:rFonts w:hint="eastAsia" w:ascii="仿宋_GB2312" w:hAnsi="华文中宋" w:eastAsia="仿宋_GB2312"/>
          <w:color w:val="000000"/>
          <w:sz w:val="28"/>
          <w:szCs w:val="28"/>
          <w:lang w:val="en-US" w:eastAsia="zh-CN"/>
        </w:rPr>
        <w:t>1</w:t>
      </w:r>
      <w:r>
        <w:rPr>
          <w:rFonts w:hint="eastAsia" w:ascii="仿宋_GB2312" w:hAnsi="华文中宋" w:eastAsia="仿宋_GB2312"/>
          <w:color w:val="000000"/>
          <w:sz w:val="28"/>
          <w:szCs w:val="28"/>
        </w:rPr>
        <w:t>年</w:t>
      </w:r>
      <w:r>
        <w:rPr>
          <w:rFonts w:ascii="仿宋_GB2312" w:hAnsi="华文中宋" w:eastAsia="仿宋_GB2312"/>
          <w:color w:val="000000"/>
          <w:sz w:val="28"/>
          <w:szCs w:val="28"/>
        </w:rPr>
        <w:t>1</w:t>
      </w:r>
      <w:r>
        <w:rPr>
          <w:rFonts w:hint="eastAsia" w:ascii="仿宋_GB2312" w:hAnsi="华文中宋" w:eastAsia="仿宋_GB2312"/>
          <w:color w:val="000000"/>
          <w:sz w:val="28"/>
          <w:szCs w:val="28"/>
        </w:rPr>
        <w:t>月</w:t>
      </w:r>
      <w:r>
        <w:rPr>
          <w:rFonts w:hint="eastAsia" w:ascii="仿宋_GB2312" w:hAnsi="华文中宋" w:eastAsia="仿宋_GB2312"/>
          <w:color w:val="000000"/>
          <w:sz w:val="28"/>
          <w:szCs w:val="28"/>
          <w:lang w:val="en-US" w:eastAsia="zh-CN"/>
        </w:rPr>
        <w:t>5</w:t>
      </w:r>
      <w:r>
        <w:rPr>
          <w:rFonts w:hint="eastAsia" w:ascii="仿宋_GB2312" w:hAnsi="华文中宋" w:eastAsia="仿宋_GB2312"/>
          <w:color w:val="000000"/>
          <w:sz w:val="28"/>
          <w:szCs w:val="28"/>
        </w:rPr>
        <w:t>日印发</w:t>
      </w:r>
    </w:p>
    <w:sectPr>
      <w:pgSz w:w="11906" w:h="16838"/>
      <w:pgMar w:top="1871"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73B0BD"/>
    <w:multiLevelType w:val="singleLevel"/>
    <w:tmpl w:val="B873B0B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04DD"/>
    <w:rsid w:val="000422F0"/>
    <w:rsid w:val="000E35E1"/>
    <w:rsid w:val="001124D5"/>
    <w:rsid w:val="001228B7"/>
    <w:rsid w:val="00155B1E"/>
    <w:rsid w:val="00157AE7"/>
    <w:rsid w:val="00173D72"/>
    <w:rsid w:val="0018248C"/>
    <w:rsid w:val="00194EE7"/>
    <w:rsid w:val="001E374C"/>
    <w:rsid w:val="00212643"/>
    <w:rsid w:val="00215D2A"/>
    <w:rsid w:val="00226343"/>
    <w:rsid w:val="002B6331"/>
    <w:rsid w:val="002F5087"/>
    <w:rsid w:val="00306999"/>
    <w:rsid w:val="00306A15"/>
    <w:rsid w:val="003260E2"/>
    <w:rsid w:val="003D30CE"/>
    <w:rsid w:val="003E0969"/>
    <w:rsid w:val="004600A6"/>
    <w:rsid w:val="00483E25"/>
    <w:rsid w:val="00580DFD"/>
    <w:rsid w:val="005F6968"/>
    <w:rsid w:val="00610BC6"/>
    <w:rsid w:val="00665C59"/>
    <w:rsid w:val="00695094"/>
    <w:rsid w:val="006E5478"/>
    <w:rsid w:val="007600FC"/>
    <w:rsid w:val="007743A8"/>
    <w:rsid w:val="007B24C4"/>
    <w:rsid w:val="00801810"/>
    <w:rsid w:val="008570A4"/>
    <w:rsid w:val="0089793C"/>
    <w:rsid w:val="008A494D"/>
    <w:rsid w:val="008A5550"/>
    <w:rsid w:val="008B076B"/>
    <w:rsid w:val="00905188"/>
    <w:rsid w:val="009475B5"/>
    <w:rsid w:val="0095029C"/>
    <w:rsid w:val="009D3E1E"/>
    <w:rsid w:val="009E0B58"/>
    <w:rsid w:val="00A05248"/>
    <w:rsid w:val="00A4734C"/>
    <w:rsid w:val="00A961E5"/>
    <w:rsid w:val="00AB55D4"/>
    <w:rsid w:val="00AD3E45"/>
    <w:rsid w:val="00B067D4"/>
    <w:rsid w:val="00B21504"/>
    <w:rsid w:val="00B42C76"/>
    <w:rsid w:val="00B61DC8"/>
    <w:rsid w:val="00B62414"/>
    <w:rsid w:val="00BD2C4E"/>
    <w:rsid w:val="00BE7621"/>
    <w:rsid w:val="00C12692"/>
    <w:rsid w:val="00C15DEB"/>
    <w:rsid w:val="00C341E6"/>
    <w:rsid w:val="00C97D92"/>
    <w:rsid w:val="00D074F1"/>
    <w:rsid w:val="00D21C7C"/>
    <w:rsid w:val="00D70AFE"/>
    <w:rsid w:val="00D74EA9"/>
    <w:rsid w:val="00DB127B"/>
    <w:rsid w:val="00DB4665"/>
    <w:rsid w:val="00E302FC"/>
    <w:rsid w:val="00E362BC"/>
    <w:rsid w:val="00E55B6A"/>
    <w:rsid w:val="00E74234"/>
    <w:rsid w:val="00E930AA"/>
    <w:rsid w:val="00EA7D90"/>
    <w:rsid w:val="00F076ED"/>
    <w:rsid w:val="00F504DD"/>
    <w:rsid w:val="00F519F5"/>
    <w:rsid w:val="00F522AF"/>
    <w:rsid w:val="00FD1A08"/>
    <w:rsid w:val="00FD3804"/>
    <w:rsid w:val="00FD7092"/>
    <w:rsid w:val="00FE760A"/>
    <w:rsid w:val="19F039B1"/>
    <w:rsid w:val="1DE64B44"/>
    <w:rsid w:val="355B73A0"/>
    <w:rsid w:val="584A0DBD"/>
    <w:rsid w:val="639558BC"/>
    <w:rsid w:val="6CAE3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qFormat/>
    <w:uiPriority w:val="99"/>
    <w:rPr>
      <w:color w:val="0000FF" w:themeColor="hyperlink"/>
      <w:u w:val="single"/>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character" w:customStyle="1" w:styleId="12">
    <w:name w:val="HTML 预设格式 Char"/>
    <w:basedOn w:val="8"/>
    <w:link w:val="5"/>
    <w:semiHidden/>
    <w:qFormat/>
    <w:uiPriority w:val="99"/>
    <w:rPr>
      <w:rFonts w:ascii="宋体" w:hAnsi="宋体" w:eastAsia="宋体" w:cs="宋体"/>
      <w:kern w:val="0"/>
      <w:sz w:val="24"/>
      <w:szCs w:val="24"/>
    </w:rPr>
  </w:style>
  <w:style w:type="character" w:customStyle="1" w:styleId="13">
    <w:name w:val="日期 Char"/>
    <w:basedOn w:val="8"/>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E894EE-DEF7-4E39-A1F0-0D79C115FCC8}">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685</Words>
  <Characters>3906</Characters>
  <Lines>32</Lines>
  <Paragraphs>9</Paragraphs>
  <TotalTime>9</TotalTime>
  <ScaleCrop>false</ScaleCrop>
  <LinksUpToDate>false</LinksUpToDate>
  <CharactersWithSpaces>4582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2019-11-28T09:05:00Z</dcterms:created>
  <dc:creator>Windows 用户</dc:creator>
  <cp:lastModifiedBy>Administrator</cp:lastModifiedBy>
  <cp:lastPrinted>2021-01-04T09:27:00Z</cp:lastPrinted>
  <dcterms:modified xsi:type="dcterms:W3CDTF">2021-01-05T07:13:18Z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